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0" w:type="dxa"/>
        <w:tblInd w:w="49" w:type="dxa"/>
        <w:tblCellMar>
          <w:left w:w="70" w:type="dxa"/>
          <w:right w:w="70" w:type="dxa"/>
        </w:tblCellMar>
        <w:tblLook w:val="04A0" w:firstRow="1" w:lastRow="0" w:firstColumn="1" w:lastColumn="0" w:noHBand="0" w:noVBand="1"/>
      </w:tblPr>
      <w:tblGrid>
        <w:gridCol w:w="2431"/>
        <w:gridCol w:w="8969"/>
      </w:tblGrid>
      <w:tr w:rsidR="0019150D" w:rsidRPr="003F4258" w:rsidTr="00BA1B63">
        <w:trPr>
          <w:trHeight w:val="540"/>
        </w:trPr>
        <w:tc>
          <w:tcPr>
            <w:tcW w:w="2431" w:type="dxa"/>
            <w:tcBorders>
              <w:top w:val="single" w:sz="8" w:space="0" w:color="943634"/>
              <w:left w:val="single" w:sz="8" w:space="0" w:color="943634"/>
              <w:right w:val="single" w:sz="8" w:space="0" w:color="943634"/>
            </w:tcBorders>
            <w:shd w:val="clear" w:color="auto" w:fill="auto"/>
            <w:vAlign w:val="center"/>
            <w:hideMark/>
          </w:tcPr>
          <w:p w:rsidR="0019150D" w:rsidRPr="003F4258" w:rsidRDefault="0019150D" w:rsidP="00BA1B63">
            <w:pPr>
              <w:spacing w:after="0" w:line="240" w:lineRule="auto"/>
              <w:rPr>
                <w:b/>
                <w:color w:val="000000"/>
                <w:lang w:val="tr-TR"/>
              </w:rPr>
            </w:pPr>
            <w:r w:rsidRPr="003F4258">
              <w:rPr>
                <w:b/>
                <w:color w:val="000000"/>
                <w:lang w:val="tr-TR"/>
              </w:rPr>
              <w:t>İstatistik adı</w:t>
            </w:r>
          </w:p>
        </w:tc>
        <w:tc>
          <w:tcPr>
            <w:tcW w:w="8969" w:type="dxa"/>
            <w:tcBorders>
              <w:top w:val="single" w:sz="8" w:space="0" w:color="943634"/>
              <w:left w:val="single" w:sz="8" w:space="0" w:color="943634"/>
              <w:right w:val="single" w:sz="8" w:space="0" w:color="943634"/>
            </w:tcBorders>
            <w:shd w:val="clear" w:color="auto" w:fill="auto"/>
            <w:hideMark/>
          </w:tcPr>
          <w:p w:rsidR="0019150D" w:rsidRPr="003F4258" w:rsidRDefault="00D94679" w:rsidP="00BA1B63">
            <w:pPr>
              <w:spacing w:before="120" w:after="120" w:line="240" w:lineRule="auto"/>
              <w:rPr>
                <w:color w:val="000000"/>
                <w:sz w:val="20"/>
                <w:szCs w:val="20"/>
                <w:lang w:val="tr-TR"/>
              </w:rPr>
            </w:pPr>
            <w:r w:rsidRPr="003F4258">
              <w:rPr>
                <w:color w:val="000000"/>
                <w:sz w:val="20"/>
                <w:szCs w:val="20"/>
                <w:lang w:val="tr-TR"/>
              </w:rPr>
              <w:t>Enerji Yoğunlukları ve Endeksi</w:t>
            </w:r>
          </w:p>
        </w:tc>
      </w:tr>
      <w:tr w:rsidR="0019150D" w:rsidRPr="003F4258" w:rsidTr="0008287C">
        <w:trPr>
          <w:trHeight w:val="76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3F4258" w:rsidRDefault="0019150D" w:rsidP="008F2072">
            <w:pPr>
              <w:spacing w:after="0" w:line="240" w:lineRule="auto"/>
              <w:rPr>
                <w:b/>
                <w:bCs/>
                <w:color w:val="FFFFFF"/>
                <w:sz w:val="24"/>
                <w:szCs w:val="24"/>
                <w:lang w:val="tr-TR"/>
              </w:rPr>
            </w:pPr>
            <w:r w:rsidRPr="003F4258">
              <w:rPr>
                <w:b/>
                <w:bCs/>
                <w:color w:val="FFFFFF"/>
                <w:sz w:val="24"/>
                <w:szCs w:val="24"/>
                <w:lang w:val="tr-TR"/>
              </w:rPr>
              <w:t>Veri: Kapsam, Dönemsellik ve Zamanlılık</w:t>
            </w:r>
          </w:p>
        </w:tc>
      </w:tr>
      <w:tr w:rsidR="00514923" w:rsidRPr="003F4258"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3F4258" w:rsidRDefault="00514923" w:rsidP="008F2072">
            <w:pPr>
              <w:spacing w:after="0" w:line="240" w:lineRule="auto"/>
              <w:rPr>
                <w:b/>
                <w:color w:val="000000"/>
                <w:lang w:val="tr-TR"/>
              </w:rPr>
            </w:pPr>
            <w:r w:rsidRPr="003F4258">
              <w:rPr>
                <w:b/>
                <w:color w:val="000000"/>
                <w:lang w:val="tr-TR"/>
              </w:rPr>
              <w:t>Kapsam karakteristikleri</w:t>
            </w:r>
          </w:p>
        </w:tc>
        <w:tc>
          <w:tcPr>
            <w:tcW w:w="8969" w:type="dxa"/>
            <w:tcBorders>
              <w:top w:val="single" w:sz="8" w:space="0" w:color="943634"/>
              <w:left w:val="single" w:sz="8" w:space="0" w:color="943634"/>
              <w:right w:val="single" w:sz="8" w:space="0" w:color="943634"/>
            </w:tcBorders>
            <w:vAlign w:val="center"/>
          </w:tcPr>
          <w:p w:rsidR="00BC5AC3" w:rsidRPr="003F4258" w:rsidRDefault="00514923" w:rsidP="00C633D3">
            <w:pPr>
              <w:spacing w:before="120" w:after="120" w:line="240" w:lineRule="auto"/>
              <w:jc w:val="both"/>
              <w:rPr>
                <w:b/>
                <w:color w:val="000000"/>
                <w:sz w:val="20"/>
                <w:szCs w:val="20"/>
                <w:lang w:val="tr-TR"/>
              </w:rPr>
            </w:pPr>
            <w:r w:rsidRPr="003F4258">
              <w:rPr>
                <w:b/>
                <w:color w:val="000000"/>
                <w:sz w:val="20"/>
                <w:szCs w:val="20"/>
                <w:lang w:val="tr-TR"/>
              </w:rPr>
              <w:t>Çalışmanın amacı:</w:t>
            </w:r>
            <w:r w:rsidR="00497E8F">
              <w:rPr>
                <w:b/>
                <w:color w:val="000000"/>
                <w:sz w:val="20"/>
                <w:szCs w:val="20"/>
                <w:lang w:val="tr-TR"/>
              </w:rPr>
              <w:t xml:space="preserve"> </w:t>
            </w:r>
            <w:r w:rsidR="00497E8F" w:rsidRPr="00497E8F">
              <w:rPr>
                <w:color w:val="000000"/>
                <w:sz w:val="20"/>
                <w:szCs w:val="20"/>
                <w:lang w:val="tr-TR"/>
              </w:rPr>
              <w:t>Enerji ve Tabii Kaynaklar Bakanlığı/Enerji Verimliliği ve Çevre Dairesi Başkanlığı tarafından belgelendirilen enerji yoğunluğu ve endekslerine ilişkin istatistiklerin oluşturulmasının amacı bir birim Gayrisafi Yurt İçi Hasıla (GSYH) üretebilmek için ne kadar enerji kullanıldığını ölçerek enerji verimliliği politikalarının geliştirilmesine altyapı sağlamak, karar alıcıların, araştırmacıların ve diğer ulusal ve uluslararası kullanıcıların veri ihtiyacını karşılamaktır</w:t>
            </w:r>
          </w:p>
        </w:tc>
      </w:tr>
      <w:tr w:rsidR="00514923" w:rsidRPr="003F4258"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Default="00514923" w:rsidP="00C633D3">
            <w:pPr>
              <w:spacing w:before="120" w:after="120" w:line="240" w:lineRule="auto"/>
              <w:jc w:val="both"/>
              <w:rPr>
                <w:color w:val="000000"/>
                <w:sz w:val="20"/>
                <w:szCs w:val="20"/>
                <w:lang w:val="tr-TR"/>
              </w:rPr>
            </w:pPr>
            <w:r w:rsidRPr="003F4258">
              <w:rPr>
                <w:b/>
                <w:color w:val="000000"/>
                <w:sz w:val="20"/>
                <w:szCs w:val="20"/>
                <w:lang w:val="tr-TR"/>
              </w:rPr>
              <w:t>Verinin tanımı:</w:t>
            </w:r>
            <w:r w:rsidRPr="003F4258">
              <w:rPr>
                <w:color w:val="000000"/>
                <w:sz w:val="20"/>
                <w:szCs w:val="20"/>
                <w:lang w:val="tr-TR"/>
              </w:rPr>
              <w:t xml:space="preserve"> </w:t>
            </w:r>
            <w:r w:rsidR="006349AA" w:rsidRPr="003F4258">
              <w:rPr>
                <w:color w:val="000000"/>
                <w:sz w:val="20"/>
                <w:szCs w:val="20"/>
                <w:lang w:val="tr-TR"/>
              </w:rPr>
              <w:t>Enerji yoğunluğu ülke veya bölge bazında bir birim gayrisafi yurtiçi hasıla (GSYH) üretebilmek için gerekli enerji miktarını ölçen bir enerji verimliliği göstergesidir.</w:t>
            </w:r>
            <w:r w:rsidR="00997F7A" w:rsidRPr="003F4258">
              <w:rPr>
                <w:color w:val="000000"/>
                <w:sz w:val="20"/>
                <w:szCs w:val="20"/>
                <w:lang w:val="tr-TR"/>
              </w:rPr>
              <w:t xml:space="preserve"> </w:t>
            </w:r>
            <w:r w:rsidR="00997F7A">
              <w:rPr>
                <w:color w:val="000000"/>
                <w:sz w:val="20"/>
                <w:szCs w:val="20"/>
                <w:lang w:val="tr-TR"/>
              </w:rPr>
              <w:t>G</w:t>
            </w:r>
            <w:r w:rsidR="00997F7A" w:rsidRPr="003F4258">
              <w:rPr>
                <w:color w:val="000000"/>
                <w:sz w:val="20"/>
                <w:szCs w:val="20"/>
                <w:lang w:val="tr-TR"/>
              </w:rPr>
              <w:t>östergenin düzeyi ülkelerin veya bölgelerin ekonomik yapısı, enerji tüketim yapısı, iklimsel koşulları ve teknik enerji verimliliğini göstermektedir. Gösterge değerlerindeki düşüş enerji verimliliğinin iyileşmesi anlamına gelmektedir</w:t>
            </w:r>
          </w:p>
          <w:p w:rsidR="00BC5AC3" w:rsidRPr="003F4258" w:rsidRDefault="00BC5AC3">
            <w:pPr>
              <w:spacing w:before="120" w:after="120" w:line="240" w:lineRule="auto"/>
              <w:jc w:val="both"/>
              <w:rPr>
                <w:color w:val="000000"/>
                <w:sz w:val="20"/>
                <w:szCs w:val="20"/>
                <w:lang w:val="tr-TR"/>
              </w:rPr>
            </w:pPr>
          </w:p>
        </w:tc>
      </w:tr>
      <w:tr w:rsidR="00514923" w:rsidRPr="003F4258" w:rsidTr="00287CBF">
        <w:trPr>
          <w:trHeight w:val="610"/>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3F4258" w:rsidRDefault="00514923" w:rsidP="00C633D3">
            <w:pPr>
              <w:spacing w:before="120" w:after="120" w:line="240" w:lineRule="auto"/>
              <w:jc w:val="both"/>
              <w:rPr>
                <w:sz w:val="20"/>
                <w:szCs w:val="20"/>
                <w:lang w:val="tr-TR"/>
              </w:rPr>
            </w:pPr>
            <w:r w:rsidRPr="003F4258">
              <w:rPr>
                <w:b/>
                <w:color w:val="000000"/>
                <w:sz w:val="20"/>
                <w:szCs w:val="20"/>
                <w:lang w:val="tr-TR"/>
              </w:rPr>
              <w:t>İstatistiki kavramlar ve tanımlar</w:t>
            </w:r>
            <w:r w:rsidRPr="003F4258">
              <w:rPr>
                <w:sz w:val="20"/>
                <w:szCs w:val="20"/>
                <w:lang w:val="tr-TR"/>
              </w:rPr>
              <w:t>:</w:t>
            </w:r>
            <w:r w:rsidR="006349AA" w:rsidRPr="003F4258">
              <w:rPr>
                <w:sz w:val="20"/>
                <w:szCs w:val="20"/>
                <w:lang w:val="tr-TR"/>
              </w:rPr>
              <w:t xml:space="preserve"> </w:t>
            </w:r>
          </w:p>
          <w:p w:rsidR="00823ECE" w:rsidRPr="003F4258" w:rsidRDefault="00823ECE" w:rsidP="00C633D3">
            <w:pPr>
              <w:spacing w:before="120" w:after="120" w:line="240" w:lineRule="auto"/>
              <w:jc w:val="both"/>
              <w:rPr>
                <w:sz w:val="20"/>
                <w:szCs w:val="20"/>
                <w:lang w:val="tr-TR"/>
              </w:rPr>
            </w:pPr>
            <w:r w:rsidRPr="003F4258">
              <w:rPr>
                <w:b/>
                <w:color w:val="000000"/>
                <w:sz w:val="20"/>
                <w:szCs w:val="20"/>
                <w:lang w:val="tr-TR"/>
              </w:rPr>
              <w:t>Birincil enerji</w:t>
            </w:r>
            <w:r w:rsidR="00DB2DC5" w:rsidRPr="003F4258">
              <w:rPr>
                <w:b/>
                <w:color w:val="000000"/>
                <w:sz w:val="20"/>
                <w:szCs w:val="20"/>
                <w:lang w:val="tr-TR"/>
              </w:rPr>
              <w:t xml:space="preserve"> arzı</w:t>
            </w:r>
            <w:r w:rsidRPr="003F4258">
              <w:rPr>
                <w:b/>
                <w:color w:val="000000"/>
                <w:sz w:val="20"/>
                <w:szCs w:val="20"/>
                <w:lang w:val="tr-TR"/>
              </w:rPr>
              <w:t xml:space="preserve">: </w:t>
            </w:r>
            <w:r w:rsidR="00DD0A68" w:rsidRPr="003F4258">
              <w:rPr>
                <w:sz w:val="20"/>
                <w:szCs w:val="20"/>
                <w:lang w:val="tr-TR"/>
              </w:rPr>
              <w:t>Petrol, doğal gaz, kömür, odun gibi doğrudan tüketilebilen ve herhangi bir enerji dönüşümüne girmemiş enerji kaynakları</w:t>
            </w:r>
            <w:r w:rsidR="008478AD" w:rsidRPr="003F4258">
              <w:rPr>
                <w:sz w:val="20"/>
                <w:szCs w:val="20"/>
                <w:lang w:val="tr-TR"/>
              </w:rPr>
              <w:t>nın yurtiçindeki toplam tüketimidir.</w:t>
            </w:r>
          </w:p>
          <w:p w:rsidR="00DB2DC5" w:rsidRPr="003F4258" w:rsidRDefault="00DB2DC5" w:rsidP="00C633D3">
            <w:pPr>
              <w:spacing w:before="120" w:after="120" w:line="240" w:lineRule="auto"/>
              <w:jc w:val="both"/>
              <w:rPr>
                <w:b/>
                <w:color w:val="000000"/>
                <w:sz w:val="20"/>
                <w:szCs w:val="20"/>
                <w:lang w:val="tr-TR"/>
              </w:rPr>
            </w:pPr>
            <w:r w:rsidRPr="003F4258">
              <w:rPr>
                <w:b/>
                <w:color w:val="000000"/>
                <w:sz w:val="20"/>
                <w:szCs w:val="20"/>
                <w:lang w:val="tr-TR"/>
              </w:rPr>
              <w:t>Nihai enerji tüketimi:</w:t>
            </w:r>
            <w:r w:rsidR="00DD0A68" w:rsidRPr="003F4258">
              <w:rPr>
                <w:b/>
                <w:color w:val="000000"/>
                <w:sz w:val="20"/>
                <w:szCs w:val="20"/>
                <w:lang w:val="tr-TR"/>
              </w:rPr>
              <w:t xml:space="preserve"> </w:t>
            </w:r>
            <w:r w:rsidR="00DD0A68" w:rsidRPr="003F4258">
              <w:rPr>
                <w:sz w:val="20"/>
                <w:szCs w:val="20"/>
                <w:lang w:val="tr-TR"/>
              </w:rPr>
              <w:t>Tüm enerji kullanımları için nihai tüketicinin kapısına kadar ulaştırılan enerjiyi kapsar.</w:t>
            </w:r>
            <w:r w:rsidR="00DD0A68" w:rsidRPr="003F4258">
              <w:rPr>
                <w:rFonts w:ascii="Arial" w:hAnsi="Arial" w:cs="Arial"/>
                <w:color w:val="333333"/>
                <w:sz w:val="21"/>
                <w:szCs w:val="21"/>
                <w:shd w:val="clear" w:color="auto" w:fill="FFFFFF"/>
                <w:lang w:val="tr-TR"/>
              </w:rPr>
              <w:t> </w:t>
            </w:r>
          </w:p>
          <w:p w:rsidR="00823ECE" w:rsidRPr="003F4258" w:rsidRDefault="00823ECE" w:rsidP="00C633D3">
            <w:pPr>
              <w:spacing w:before="120" w:after="120" w:line="240" w:lineRule="auto"/>
              <w:jc w:val="both"/>
              <w:rPr>
                <w:b/>
                <w:color w:val="000000"/>
                <w:sz w:val="20"/>
                <w:szCs w:val="20"/>
                <w:lang w:val="tr-TR"/>
              </w:rPr>
            </w:pPr>
            <w:r w:rsidRPr="003F4258">
              <w:rPr>
                <w:b/>
                <w:color w:val="000000"/>
                <w:sz w:val="20"/>
                <w:szCs w:val="20"/>
                <w:lang w:val="tr-TR"/>
              </w:rPr>
              <w:t>Gayrisafi yurtiçi hasıla:</w:t>
            </w:r>
            <w:r w:rsidR="006805CF" w:rsidRPr="003F4258">
              <w:rPr>
                <w:b/>
                <w:color w:val="000000"/>
                <w:sz w:val="20"/>
                <w:szCs w:val="20"/>
                <w:lang w:val="tr-TR"/>
              </w:rPr>
              <w:t xml:space="preserve"> </w:t>
            </w:r>
            <w:r w:rsidR="008478AD" w:rsidRPr="003F4258">
              <w:rPr>
                <w:sz w:val="20"/>
                <w:szCs w:val="20"/>
                <w:lang w:val="tr-TR"/>
              </w:rPr>
              <w:t>Belirli bir zaman aralığında üretilen tüm nihai ürünlerin, piyasa değerindeki </w:t>
            </w:r>
            <w:hyperlink r:id="rId8" w:tooltip="Ekonomi" w:history="1">
              <w:r w:rsidR="008478AD" w:rsidRPr="003F4258">
                <w:rPr>
                  <w:sz w:val="20"/>
                  <w:szCs w:val="20"/>
                  <w:lang w:val="tr-TR"/>
                </w:rPr>
                <w:t>ekonomik</w:t>
              </w:r>
            </w:hyperlink>
            <w:r w:rsidR="008478AD" w:rsidRPr="003F4258">
              <w:rPr>
                <w:sz w:val="20"/>
                <w:szCs w:val="20"/>
                <w:lang w:val="tr-TR"/>
              </w:rPr>
              <w:t> ölçüsüdür.</w:t>
            </w:r>
          </w:p>
          <w:p w:rsidR="00A377C0" w:rsidRPr="003F4258" w:rsidRDefault="00A377C0" w:rsidP="00C633D3">
            <w:pPr>
              <w:spacing w:before="120" w:after="120" w:line="240" w:lineRule="auto"/>
              <w:jc w:val="both"/>
              <w:rPr>
                <w:color w:val="000000"/>
                <w:sz w:val="20"/>
                <w:szCs w:val="20"/>
                <w:lang w:val="tr-TR"/>
              </w:rPr>
            </w:pPr>
          </w:p>
        </w:tc>
      </w:tr>
      <w:tr w:rsidR="00514923" w:rsidRPr="003F4258" w:rsidTr="00287CBF">
        <w:trPr>
          <w:trHeight w:val="562"/>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FC771D" w:rsidRPr="003F4258" w:rsidRDefault="00514923" w:rsidP="00287CBF">
            <w:pPr>
              <w:spacing w:before="120" w:after="120" w:line="240" w:lineRule="auto"/>
              <w:jc w:val="both"/>
              <w:rPr>
                <w:color w:val="000000"/>
                <w:sz w:val="20"/>
                <w:szCs w:val="20"/>
                <w:lang w:val="tr-TR"/>
              </w:rPr>
            </w:pPr>
            <w:r w:rsidRPr="003F4258">
              <w:rPr>
                <w:b/>
                <w:color w:val="000000"/>
                <w:sz w:val="20"/>
                <w:szCs w:val="20"/>
                <w:lang w:val="tr-TR"/>
              </w:rPr>
              <w:t>Sınıflamalar</w:t>
            </w:r>
            <w:r w:rsidR="00F031C6">
              <w:rPr>
                <w:color w:val="000000"/>
                <w:sz w:val="20"/>
                <w:szCs w:val="20"/>
                <w:lang w:val="tr-TR"/>
              </w:rPr>
              <w:t xml:space="preserve">: </w:t>
            </w:r>
            <w:r w:rsidR="00C15A65">
              <w:rPr>
                <w:color w:val="000000"/>
                <w:sz w:val="20"/>
                <w:szCs w:val="20"/>
                <w:lang w:val="tr-TR"/>
              </w:rPr>
              <w:t>Yoktur.</w:t>
            </w:r>
          </w:p>
        </w:tc>
      </w:tr>
      <w:tr w:rsidR="00514923" w:rsidRPr="003F4258" w:rsidTr="00514923">
        <w:trPr>
          <w:trHeight w:val="754"/>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B74D14" w:rsidRPr="00316E5F" w:rsidRDefault="00312EC7">
            <w:pPr>
              <w:spacing w:before="120" w:after="120" w:line="240" w:lineRule="auto"/>
              <w:jc w:val="both"/>
              <w:rPr>
                <w:color w:val="000000"/>
                <w:sz w:val="20"/>
                <w:szCs w:val="20"/>
                <w:lang w:val="tr-TR"/>
              </w:rPr>
            </w:pPr>
            <w:r w:rsidRPr="00A526B4">
              <w:rPr>
                <w:b/>
                <w:color w:val="000000"/>
                <w:sz w:val="20"/>
                <w:szCs w:val="20"/>
                <w:lang w:val="tr-TR"/>
              </w:rPr>
              <w:t>Kitle:</w:t>
            </w:r>
            <w:r w:rsidR="00B74D14">
              <w:rPr>
                <w:b/>
                <w:color w:val="000000"/>
                <w:sz w:val="20"/>
                <w:szCs w:val="20"/>
                <w:lang w:val="tr-TR"/>
              </w:rPr>
              <w:t xml:space="preserve"> </w:t>
            </w:r>
            <w:r w:rsidR="00B74D14" w:rsidRPr="00316E5F">
              <w:rPr>
                <w:color w:val="000000"/>
                <w:sz w:val="20"/>
                <w:szCs w:val="20"/>
                <w:lang w:val="tr-TR"/>
              </w:rPr>
              <w:t>Türkiye</w:t>
            </w:r>
          </w:p>
        </w:tc>
      </w:tr>
      <w:tr w:rsidR="00514923" w:rsidRPr="003F4258"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3F4258" w:rsidRDefault="00514923" w:rsidP="00C633D3">
            <w:pPr>
              <w:spacing w:before="120" w:after="120" w:line="240" w:lineRule="auto"/>
              <w:jc w:val="both"/>
              <w:rPr>
                <w:color w:val="000000"/>
                <w:sz w:val="20"/>
                <w:szCs w:val="20"/>
                <w:lang w:val="tr-TR"/>
              </w:rPr>
            </w:pPr>
            <w:r w:rsidRPr="003F4258">
              <w:rPr>
                <w:b/>
                <w:color w:val="000000"/>
                <w:sz w:val="20"/>
                <w:szCs w:val="20"/>
                <w:lang w:val="tr-TR"/>
              </w:rPr>
              <w:t>Coğrafi kapsam:</w:t>
            </w:r>
            <w:r w:rsidRPr="003F4258">
              <w:rPr>
                <w:color w:val="000000"/>
                <w:sz w:val="20"/>
                <w:szCs w:val="20"/>
                <w:lang w:val="tr-TR"/>
              </w:rPr>
              <w:t xml:space="preserve"> </w:t>
            </w:r>
            <w:r w:rsidR="007D5C19" w:rsidRPr="003F4258">
              <w:rPr>
                <w:color w:val="000000"/>
                <w:sz w:val="20"/>
                <w:szCs w:val="20"/>
                <w:lang w:val="tr-TR"/>
              </w:rPr>
              <w:t>Türkiye</w:t>
            </w:r>
            <w:r w:rsidR="00801CB4">
              <w:rPr>
                <w:color w:val="000000"/>
                <w:sz w:val="20"/>
                <w:szCs w:val="20"/>
                <w:lang w:val="tr-TR"/>
              </w:rPr>
              <w:t xml:space="preserve"> geneli</w:t>
            </w:r>
          </w:p>
        </w:tc>
      </w:tr>
      <w:tr w:rsidR="00514923" w:rsidRPr="003F4258"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C6849" w:rsidRPr="003F4258" w:rsidRDefault="00514923">
            <w:pPr>
              <w:spacing w:before="120" w:after="120" w:line="240" w:lineRule="auto"/>
              <w:jc w:val="both"/>
              <w:rPr>
                <w:color w:val="000000"/>
                <w:sz w:val="20"/>
                <w:szCs w:val="20"/>
                <w:lang w:val="tr-TR"/>
              </w:rPr>
            </w:pPr>
            <w:r w:rsidRPr="003F4258">
              <w:rPr>
                <w:b/>
                <w:color w:val="000000"/>
                <w:sz w:val="20"/>
                <w:szCs w:val="20"/>
                <w:lang w:val="tr-TR"/>
              </w:rPr>
              <w:t>Coğrafi düzey:</w:t>
            </w:r>
            <w:r w:rsidR="00F031C6">
              <w:rPr>
                <w:b/>
                <w:color w:val="000000"/>
                <w:sz w:val="20"/>
                <w:szCs w:val="20"/>
                <w:lang w:val="tr-TR"/>
              </w:rPr>
              <w:t xml:space="preserve"> </w:t>
            </w:r>
            <w:r w:rsidR="00F031C6">
              <w:rPr>
                <w:color w:val="000000"/>
                <w:sz w:val="20"/>
                <w:szCs w:val="20"/>
                <w:lang w:val="tr-TR"/>
              </w:rPr>
              <w:t xml:space="preserve">Türkiye </w:t>
            </w:r>
          </w:p>
        </w:tc>
      </w:tr>
      <w:tr w:rsidR="00514923" w:rsidRPr="003F4258"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C6849" w:rsidRPr="003F4258" w:rsidRDefault="00514923" w:rsidP="00C633D3">
            <w:pPr>
              <w:spacing w:before="120" w:after="120" w:line="240" w:lineRule="auto"/>
              <w:jc w:val="both"/>
              <w:rPr>
                <w:sz w:val="20"/>
                <w:szCs w:val="20"/>
                <w:lang w:val="tr-TR"/>
              </w:rPr>
            </w:pPr>
            <w:proofErr w:type="spellStart"/>
            <w:r w:rsidRPr="003F4258">
              <w:rPr>
                <w:b/>
                <w:color w:val="000000"/>
                <w:sz w:val="20"/>
                <w:szCs w:val="20"/>
                <w:lang w:val="tr-TR"/>
              </w:rPr>
              <w:t>Sektörel</w:t>
            </w:r>
            <w:proofErr w:type="spellEnd"/>
            <w:r w:rsidRPr="003F4258">
              <w:rPr>
                <w:b/>
                <w:color w:val="000000"/>
                <w:sz w:val="20"/>
                <w:szCs w:val="20"/>
                <w:lang w:val="tr-TR"/>
              </w:rPr>
              <w:t xml:space="preserve"> kapsam:</w:t>
            </w:r>
            <w:r w:rsidRPr="003F4258">
              <w:rPr>
                <w:color w:val="000000"/>
                <w:sz w:val="20"/>
                <w:szCs w:val="20"/>
                <w:lang w:val="tr-TR"/>
              </w:rPr>
              <w:t xml:space="preserve"> </w:t>
            </w:r>
            <w:r w:rsidR="001125F8">
              <w:rPr>
                <w:color w:val="000000"/>
                <w:sz w:val="20"/>
                <w:szCs w:val="20"/>
                <w:lang w:val="tr-TR"/>
              </w:rPr>
              <w:t>Yoktur.</w:t>
            </w:r>
          </w:p>
        </w:tc>
      </w:tr>
      <w:tr w:rsidR="00514923" w:rsidRPr="003F4258"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3F4258" w:rsidRDefault="00514923" w:rsidP="00C633D3">
            <w:pPr>
              <w:spacing w:before="120" w:after="120" w:line="240" w:lineRule="auto"/>
              <w:jc w:val="both"/>
              <w:rPr>
                <w:color w:val="000000"/>
                <w:sz w:val="20"/>
                <w:szCs w:val="20"/>
                <w:lang w:val="tr-TR"/>
              </w:rPr>
            </w:pPr>
            <w:r w:rsidRPr="003F4258">
              <w:rPr>
                <w:b/>
                <w:color w:val="000000"/>
                <w:sz w:val="20"/>
                <w:szCs w:val="20"/>
                <w:lang w:val="tr-TR"/>
              </w:rPr>
              <w:t>Zaman kapsamı:</w:t>
            </w:r>
            <w:r w:rsidRPr="003F4258">
              <w:rPr>
                <w:color w:val="000000"/>
                <w:sz w:val="20"/>
                <w:szCs w:val="20"/>
                <w:lang w:val="tr-TR"/>
              </w:rPr>
              <w:t xml:space="preserve"> </w:t>
            </w:r>
            <w:r w:rsidR="007D5C19" w:rsidRPr="003F4258">
              <w:rPr>
                <w:color w:val="000000"/>
                <w:sz w:val="20"/>
                <w:szCs w:val="20"/>
                <w:lang w:val="tr-TR"/>
              </w:rPr>
              <w:t xml:space="preserve">Yıllık olarak 2000 yılından günümüze olan verileri kapsamaktadır. </w:t>
            </w:r>
          </w:p>
        </w:tc>
      </w:tr>
      <w:tr w:rsidR="00514923" w:rsidRPr="003F4258"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C6849" w:rsidRPr="003F4258" w:rsidRDefault="00514923" w:rsidP="00C633D3">
            <w:pPr>
              <w:spacing w:before="120" w:after="120" w:line="240" w:lineRule="auto"/>
              <w:jc w:val="both"/>
              <w:rPr>
                <w:color w:val="000000"/>
                <w:sz w:val="20"/>
                <w:szCs w:val="20"/>
                <w:lang w:val="tr-TR"/>
              </w:rPr>
            </w:pPr>
            <w:r w:rsidRPr="003F4258">
              <w:rPr>
                <w:b/>
                <w:color w:val="000000"/>
                <w:sz w:val="20"/>
                <w:szCs w:val="20"/>
                <w:lang w:val="tr-TR"/>
              </w:rPr>
              <w:t>Diğer kapsam:</w:t>
            </w:r>
            <w:r w:rsidRPr="003F4258">
              <w:rPr>
                <w:color w:val="000000"/>
                <w:sz w:val="20"/>
                <w:szCs w:val="20"/>
                <w:lang w:val="tr-TR"/>
              </w:rPr>
              <w:t xml:space="preserve"> </w:t>
            </w:r>
            <w:r w:rsidR="001125F8">
              <w:rPr>
                <w:color w:val="000000"/>
                <w:sz w:val="20"/>
                <w:szCs w:val="20"/>
                <w:lang w:val="tr-TR"/>
              </w:rPr>
              <w:t>Yoktur.</w:t>
            </w:r>
          </w:p>
        </w:tc>
      </w:tr>
      <w:tr w:rsidR="00514923" w:rsidRPr="003F4258" w:rsidTr="00514923">
        <w:trPr>
          <w:trHeight w:val="598"/>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C6849" w:rsidRPr="003F4258" w:rsidRDefault="00514923" w:rsidP="00C633D3">
            <w:pPr>
              <w:spacing w:before="120" w:after="120" w:line="240" w:lineRule="auto"/>
              <w:jc w:val="both"/>
              <w:rPr>
                <w:sz w:val="20"/>
                <w:szCs w:val="20"/>
                <w:lang w:val="tr-TR"/>
              </w:rPr>
            </w:pPr>
            <w:r w:rsidRPr="003F4258">
              <w:rPr>
                <w:b/>
                <w:color w:val="000000"/>
                <w:sz w:val="20"/>
                <w:szCs w:val="20"/>
                <w:lang w:val="tr-TR"/>
              </w:rPr>
              <w:t>Kapsamdaki sınırlılıklar:</w:t>
            </w:r>
            <w:r w:rsidR="00497E8F">
              <w:rPr>
                <w:color w:val="000000"/>
                <w:sz w:val="20"/>
                <w:szCs w:val="20"/>
                <w:lang w:val="tr-TR"/>
              </w:rPr>
              <w:t xml:space="preserve"> </w:t>
            </w:r>
            <w:r w:rsidR="00801CB4">
              <w:rPr>
                <w:color w:val="000000"/>
                <w:sz w:val="20"/>
                <w:szCs w:val="20"/>
                <w:lang w:val="tr-TR"/>
              </w:rPr>
              <w:t>Yoktur.</w:t>
            </w:r>
          </w:p>
        </w:tc>
      </w:tr>
      <w:tr w:rsidR="00514923" w:rsidRPr="003F4258" w:rsidTr="00514923">
        <w:trPr>
          <w:trHeight w:val="638"/>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9A277C" w:rsidRPr="003F4258" w:rsidRDefault="00514923" w:rsidP="009A277C">
            <w:pPr>
              <w:spacing w:before="120" w:after="120" w:line="240" w:lineRule="auto"/>
              <w:jc w:val="both"/>
              <w:rPr>
                <w:color w:val="000000"/>
                <w:sz w:val="20"/>
                <w:szCs w:val="20"/>
                <w:lang w:val="tr-TR"/>
              </w:rPr>
            </w:pPr>
            <w:r w:rsidRPr="003F4258">
              <w:rPr>
                <w:b/>
                <w:color w:val="000000"/>
                <w:sz w:val="20"/>
                <w:szCs w:val="20"/>
                <w:lang w:val="tr-TR"/>
              </w:rPr>
              <w:t>İstatistiki birim:</w:t>
            </w:r>
            <w:r w:rsidRPr="003F4258">
              <w:rPr>
                <w:color w:val="000000"/>
                <w:sz w:val="20"/>
                <w:szCs w:val="20"/>
                <w:lang w:val="tr-TR"/>
              </w:rPr>
              <w:t xml:space="preserve"> </w:t>
            </w:r>
            <w:r w:rsidR="003F7F0E">
              <w:rPr>
                <w:color w:val="000000"/>
                <w:sz w:val="20"/>
                <w:szCs w:val="20"/>
                <w:lang w:val="tr-TR"/>
              </w:rPr>
              <w:t>Yoktur.</w:t>
            </w:r>
          </w:p>
        </w:tc>
      </w:tr>
      <w:tr w:rsidR="00514923" w:rsidRPr="003F4258" w:rsidTr="00514923">
        <w:trPr>
          <w:trHeight w:val="608"/>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3F4258" w:rsidRDefault="00514923" w:rsidP="00C633D3">
            <w:pPr>
              <w:spacing w:before="120" w:after="120" w:line="240" w:lineRule="auto"/>
              <w:jc w:val="both"/>
              <w:rPr>
                <w:color w:val="000000"/>
                <w:sz w:val="20"/>
                <w:szCs w:val="20"/>
                <w:lang w:val="tr-TR"/>
              </w:rPr>
            </w:pPr>
            <w:r w:rsidRPr="003F4258">
              <w:rPr>
                <w:b/>
                <w:color w:val="000000"/>
                <w:sz w:val="20"/>
                <w:szCs w:val="20"/>
                <w:lang w:val="tr-TR"/>
              </w:rPr>
              <w:t>Temel dönem/yıl:</w:t>
            </w:r>
            <w:r w:rsidRPr="003F4258">
              <w:rPr>
                <w:color w:val="000000"/>
                <w:sz w:val="20"/>
                <w:szCs w:val="20"/>
                <w:lang w:val="tr-TR"/>
              </w:rPr>
              <w:t xml:space="preserve"> </w:t>
            </w:r>
            <w:r w:rsidR="00A377C0" w:rsidRPr="003F4258">
              <w:rPr>
                <w:color w:val="000000"/>
                <w:sz w:val="20"/>
                <w:szCs w:val="20"/>
                <w:lang w:val="tr-TR"/>
              </w:rPr>
              <w:t>Enerji yoğunluğu endeksi hesaplanırken 2000 yılı endeksi 100 kabul edilerek diğer yıllar hesaplanmaktadır.</w:t>
            </w:r>
          </w:p>
        </w:tc>
      </w:tr>
      <w:tr w:rsidR="00514923" w:rsidRPr="003F4258"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3F4258" w:rsidRDefault="00514923" w:rsidP="00C633D3">
            <w:pPr>
              <w:spacing w:before="120" w:after="120" w:line="240" w:lineRule="auto"/>
              <w:jc w:val="both"/>
              <w:rPr>
                <w:color w:val="000000"/>
                <w:sz w:val="20"/>
                <w:szCs w:val="20"/>
                <w:lang w:val="tr-TR"/>
              </w:rPr>
            </w:pPr>
            <w:r w:rsidRPr="003F4258">
              <w:rPr>
                <w:b/>
                <w:color w:val="000000"/>
                <w:sz w:val="20"/>
                <w:szCs w:val="20"/>
                <w:lang w:val="tr-TR"/>
              </w:rPr>
              <w:t>Referans dönemi:</w:t>
            </w:r>
            <w:r w:rsidRPr="003F4258">
              <w:rPr>
                <w:color w:val="000000"/>
                <w:sz w:val="20"/>
                <w:szCs w:val="20"/>
                <w:lang w:val="tr-TR"/>
              </w:rPr>
              <w:t xml:space="preserve"> </w:t>
            </w:r>
            <w:r w:rsidR="007D5C19" w:rsidRPr="003F4258">
              <w:rPr>
                <w:color w:val="000000"/>
                <w:sz w:val="20"/>
                <w:szCs w:val="20"/>
                <w:lang w:val="tr-TR"/>
              </w:rPr>
              <w:t>Bir önceki yıl</w:t>
            </w:r>
          </w:p>
        </w:tc>
      </w:tr>
      <w:tr w:rsidR="00514923" w:rsidRPr="003F4258" w:rsidTr="002A78F1">
        <w:trPr>
          <w:trHeight w:val="2269"/>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BC6BA8" w:rsidRPr="003F4258" w:rsidRDefault="00514923" w:rsidP="00C633D3">
            <w:pPr>
              <w:spacing w:before="120" w:after="120" w:line="240" w:lineRule="auto"/>
              <w:jc w:val="both"/>
              <w:rPr>
                <w:color w:val="000000"/>
                <w:sz w:val="20"/>
                <w:szCs w:val="20"/>
                <w:lang w:val="tr-TR"/>
              </w:rPr>
            </w:pPr>
            <w:r w:rsidRPr="003F4258">
              <w:rPr>
                <w:b/>
                <w:color w:val="000000"/>
                <w:sz w:val="20"/>
                <w:szCs w:val="20"/>
                <w:lang w:val="tr-TR"/>
              </w:rPr>
              <w:t>Ölçü birimi:</w:t>
            </w:r>
            <w:r w:rsidRPr="003F4258">
              <w:rPr>
                <w:color w:val="000000"/>
                <w:sz w:val="20"/>
                <w:szCs w:val="20"/>
                <w:lang w:val="tr-TR"/>
              </w:rPr>
              <w:t xml:space="preserve"> </w:t>
            </w:r>
            <w:r w:rsidR="00A377C0" w:rsidRPr="003F4258">
              <w:rPr>
                <w:color w:val="000000"/>
                <w:sz w:val="20"/>
                <w:szCs w:val="20"/>
                <w:lang w:val="tr-TR"/>
              </w:rPr>
              <w:t>tep/2015 ABD Doları</w:t>
            </w:r>
          </w:p>
          <w:p w:rsidR="00287CBF" w:rsidRPr="003F4258" w:rsidRDefault="00287CBF" w:rsidP="00C633D3">
            <w:pPr>
              <w:spacing w:before="120" w:after="120" w:line="240" w:lineRule="auto"/>
              <w:jc w:val="both"/>
              <w:rPr>
                <w:color w:val="000000"/>
                <w:sz w:val="20"/>
                <w:szCs w:val="20"/>
                <w:lang w:val="tr-TR"/>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6662"/>
              <w:gridCol w:w="2047"/>
            </w:tblGrid>
            <w:tr w:rsidR="00514923" w:rsidRPr="003F4258" w:rsidTr="00EF24E5">
              <w:tc>
                <w:tcPr>
                  <w:tcW w:w="6662" w:type="dxa"/>
                  <w:tcBorders>
                    <w:top w:val="single" w:sz="8" w:space="0" w:color="CF7B79"/>
                    <w:left w:val="single" w:sz="8" w:space="0" w:color="CF7B79"/>
                    <w:bottom w:val="single" w:sz="8" w:space="0" w:color="CF7B79"/>
                    <w:right w:val="single" w:sz="8" w:space="0" w:color="CF7B79"/>
                  </w:tcBorders>
                  <w:shd w:val="clear" w:color="auto" w:fill="C0504D"/>
                </w:tcPr>
                <w:p w:rsidR="00514923" w:rsidRPr="003F4258" w:rsidRDefault="00514923" w:rsidP="00EF24E5">
                  <w:pPr>
                    <w:spacing w:after="0" w:line="240" w:lineRule="auto"/>
                    <w:rPr>
                      <w:b/>
                      <w:bCs/>
                      <w:color w:val="FFFFFF"/>
                      <w:sz w:val="20"/>
                      <w:szCs w:val="20"/>
                      <w:lang w:val="tr-TR"/>
                    </w:rPr>
                  </w:pPr>
                  <w:r w:rsidRPr="003F4258">
                    <w:rPr>
                      <w:bCs/>
                      <w:color w:val="FFFFFF"/>
                      <w:sz w:val="20"/>
                      <w:szCs w:val="20"/>
                      <w:lang w:val="tr-TR"/>
                    </w:rPr>
                    <w:t>Değişken/Gösterge</w:t>
                  </w:r>
                </w:p>
              </w:tc>
              <w:tc>
                <w:tcPr>
                  <w:tcW w:w="2047" w:type="dxa"/>
                  <w:tcBorders>
                    <w:top w:val="single" w:sz="8" w:space="0" w:color="CF7B79"/>
                    <w:left w:val="single" w:sz="8" w:space="0" w:color="CF7B79"/>
                    <w:bottom w:val="single" w:sz="8" w:space="0" w:color="CF7B79"/>
                    <w:right w:val="single" w:sz="8" w:space="0" w:color="CF7B79"/>
                  </w:tcBorders>
                  <w:shd w:val="clear" w:color="auto" w:fill="C0504D"/>
                </w:tcPr>
                <w:p w:rsidR="00514923" w:rsidRPr="003F4258" w:rsidRDefault="00514923" w:rsidP="00EF24E5">
                  <w:pPr>
                    <w:spacing w:after="0" w:line="240" w:lineRule="auto"/>
                    <w:rPr>
                      <w:b/>
                      <w:bCs/>
                      <w:color w:val="FFFFFF"/>
                      <w:sz w:val="20"/>
                      <w:szCs w:val="20"/>
                      <w:lang w:val="tr-TR"/>
                    </w:rPr>
                  </w:pPr>
                  <w:r w:rsidRPr="003F4258">
                    <w:rPr>
                      <w:bCs/>
                      <w:color w:val="FFFFFF"/>
                      <w:sz w:val="20"/>
                      <w:szCs w:val="20"/>
                      <w:lang w:val="tr-TR"/>
                    </w:rPr>
                    <w:t>Ölçü Birimi</w:t>
                  </w:r>
                </w:p>
              </w:tc>
            </w:tr>
            <w:tr w:rsidR="00514923" w:rsidRPr="003F4258" w:rsidTr="00EF24E5">
              <w:tc>
                <w:tcPr>
                  <w:tcW w:w="6662" w:type="dxa"/>
                  <w:tcBorders>
                    <w:right w:val="single" w:sz="8" w:space="0" w:color="CF7B79"/>
                  </w:tcBorders>
                </w:tcPr>
                <w:p w:rsidR="00514923" w:rsidRPr="003F4258" w:rsidRDefault="007D5C19" w:rsidP="00EF24E5">
                  <w:pPr>
                    <w:spacing w:after="0"/>
                    <w:rPr>
                      <w:bCs/>
                      <w:sz w:val="20"/>
                      <w:szCs w:val="20"/>
                      <w:lang w:val="tr-TR"/>
                    </w:rPr>
                  </w:pPr>
                  <w:r w:rsidRPr="003F4258">
                    <w:rPr>
                      <w:bCs/>
                      <w:sz w:val="20"/>
                      <w:szCs w:val="20"/>
                      <w:lang w:val="tr-TR"/>
                    </w:rPr>
                    <w:t>Birincil Enerji Arzı</w:t>
                  </w:r>
                </w:p>
              </w:tc>
              <w:tc>
                <w:tcPr>
                  <w:tcW w:w="2047" w:type="dxa"/>
                  <w:tcBorders>
                    <w:left w:val="single" w:sz="8" w:space="0" w:color="CF7B79"/>
                  </w:tcBorders>
                </w:tcPr>
                <w:p w:rsidR="00514923" w:rsidRPr="003F4258" w:rsidRDefault="00A377C0" w:rsidP="00EF24E5">
                  <w:pPr>
                    <w:spacing w:after="0"/>
                    <w:rPr>
                      <w:sz w:val="20"/>
                      <w:szCs w:val="20"/>
                      <w:lang w:val="tr-TR"/>
                    </w:rPr>
                  </w:pPr>
                  <w:proofErr w:type="gramStart"/>
                  <w:r w:rsidRPr="003F4258">
                    <w:rPr>
                      <w:sz w:val="20"/>
                      <w:szCs w:val="20"/>
                      <w:lang w:val="tr-TR"/>
                    </w:rPr>
                    <w:t>tep</w:t>
                  </w:r>
                  <w:proofErr w:type="gramEnd"/>
                </w:p>
              </w:tc>
            </w:tr>
            <w:tr w:rsidR="00514923" w:rsidRPr="003F4258" w:rsidTr="00EF24E5">
              <w:tc>
                <w:tcPr>
                  <w:tcW w:w="6662" w:type="dxa"/>
                  <w:tcBorders>
                    <w:right w:val="single" w:sz="8" w:space="0" w:color="CF7B79"/>
                  </w:tcBorders>
                </w:tcPr>
                <w:p w:rsidR="00514923" w:rsidRPr="003F4258" w:rsidRDefault="00750C79" w:rsidP="00EF24E5">
                  <w:pPr>
                    <w:spacing w:after="0"/>
                    <w:rPr>
                      <w:bCs/>
                      <w:sz w:val="20"/>
                      <w:szCs w:val="20"/>
                      <w:lang w:val="tr-TR"/>
                    </w:rPr>
                  </w:pPr>
                  <w:r w:rsidRPr="003F4258">
                    <w:rPr>
                      <w:bCs/>
                      <w:sz w:val="20"/>
                      <w:szCs w:val="20"/>
                      <w:lang w:val="tr-TR"/>
                    </w:rPr>
                    <w:t>Nihai Enerji Tüketimi</w:t>
                  </w:r>
                </w:p>
              </w:tc>
              <w:tc>
                <w:tcPr>
                  <w:tcW w:w="2047" w:type="dxa"/>
                  <w:tcBorders>
                    <w:left w:val="single" w:sz="8" w:space="0" w:color="CF7B79"/>
                  </w:tcBorders>
                </w:tcPr>
                <w:p w:rsidR="00514923" w:rsidRPr="003F4258" w:rsidRDefault="00750C79" w:rsidP="00EF24E5">
                  <w:pPr>
                    <w:spacing w:after="0"/>
                    <w:rPr>
                      <w:sz w:val="20"/>
                      <w:szCs w:val="20"/>
                      <w:lang w:val="tr-TR"/>
                    </w:rPr>
                  </w:pPr>
                  <w:proofErr w:type="gramStart"/>
                  <w:r w:rsidRPr="003F4258">
                    <w:rPr>
                      <w:sz w:val="20"/>
                      <w:szCs w:val="20"/>
                      <w:lang w:val="tr-TR"/>
                    </w:rPr>
                    <w:t>tep</w:t>
                  </w:r>
                  <w:proofErr w:type="gramEnd"/>
                </w:p>
              </w:tc>
            </w:tr>
            <w:tr w:rsidR="00514923" w:rsidRPr="003F4258" w:rsidTr="00EF24E5">
              <w:tc>
                <w:tcPr>
                  <w:tcW w:w="6662" w:type="dxa"/>
                  <w:tcBorders>
                    <w:right w:val="single" w:sz="8" w:space="0" w:color="CF7B79"/>
                  </w:tcBorders>
                </w:tcPr>
                <w:p w:rsidR="00514923" w:rsidRPr="003F4258" w:rsidRDefault="00750C79" w:rsidP="00EF24E5">
                  <w:pPr>
                    <w:spacing w:after="0"/>
                    <w:rPr>
                      <w:b/>
                      <w:bCs/>
                      <w:sz w:val="20"/>
                      <w:szCs w:val="20"/>
                      <w:lang w:val="tr-TR"/>
                    </w:rPr>
                  </w:pPr>
                  <w:r w:rsidRPr="003F4258">
                    <w:rPr>
                      <w:bCs/>
                      <w:sz w:val="20"/>
                      <w:szCs w:val="20"/>
                      <w:lang w:val="tr-TR"/>
                    </w:rPr>
                    <w:t>GSYH</w:t>
                  </w:r>
                </w:p>
              </w:tc>
              <w:tc>
                <w:tcPr>
                  <w:tcW w:w="2047" w:type="dxa"/>
                  <w:tcBorders>
                    <w:left w:val="single" w:sz="8" w:space="0" w:color="CF7B79"/>
                  </w:tcBorders>
                </w:tcPr>
                <w:p w:rsidR="00514923" w:rsidRPr="003F4258" w:rsidRDefault="00750C79" w:rsidP="00EF24E5">
                  <w:pPr>
                    <w:spacing w:after="0"/>
                    <w:rPr>
                      <w:sz w:val="20"/>
                      <w:szCs w:val="20"/>
                      <w:lang w:val="tr-TR"/>
                    </w:rPr>
                  </w:pPr>
                  <w:r w:rsidRPr="003F4258">
                    <w:rPr>
                      <w:sz w:val="20"/>
                      <w:szCs w:val="20"/>
                      <w:lang w:val="tr-TR"/>
                    </w:rPr>
                    <w:t>2015 ABD Doları</w:t>
                  </w:r>
                </w:p>
              </w:tc>
            </w:tr>
            <w:tr w:rsidR="00514923" w:rsidRPr="003F4258" w:rsidTr="00EF24E5">
              <w:tc>
                <w:tcPr>
                  <w:tcW w:w="6662" w:type="dxa"/>
                  <w:tcBorders>
                    <w:right w:val="single" w:sz="8" w:space="0" w:color="CF7B79"/>
                  </w:tcBorders>
                </w:tcPr>
                <w:p w:rsidR="00514923" w:rsidRPr="003F4258" w:rsidRDefault="00514923" w:rsidP="00EF24E5">
                  <w:pPr>
                    <w:spacing w:after="0"/>
                    <w:rPr>
                      <w:b/>
                      <w:bCs/>
                      <w:sz w:val="20"/>
                      <w:szCs w:val="20"/>
                      <w:lang w:val="tr-TR"/>
                    </w:rPr>
                  </w:pPr>
                </w:p>
              </w:tc>
              <w:tc>
                <w:tcPr>
                  <w:tcW w:w="2047" w:type="dxa"/>
                  <w:tcBorders>
                    <w:left w:val="single" w:sz="8" w:space="0" w:color="CF7B79"/>
                  </w:tcBorders>
                </w:tcPr>
                <w:p w:rsidR="00514923" w:rsidRPr="003F4258" w:rsidRDefault="00514923" w:rsidP="00EF24E5">
                  <w:pPr>
                    <w:spacing w:after="0"/>
                    <w:rPr>
                      <w:sz w:val="20"/>
                      <w:szCs w:val="20"/>
                      <w:lang w:val="tr-TR"/>
                    </w:rPr>
                  </w:pPr>
                </w:p>
              </w:tc>
            </w:tr>
          </w:tbl>
          <w:p w:rsidR="00514923" w:rsidRPr="003F4258" w:rsidRDefault="00514923" w:rsidP="008929EA">
            <w:pPr>
              <w:rPr>
                <w:color w:val="000000"/>
                <w:sz w:val="20"/>
                <w:szCs w:val="20"/>
                <w:lang w:val="tr-TR"/>
              </w:rPr>
            </w:pPr>
          </w:p>
        </w:tc>
      </w:tr>
      <w:tr w:rsidR="00514923" w:rsidRPr="003F4258"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3F4258" w:rsidRDefault="00514923" w:rsidP="008F2072">
            <w:pPr>
              <w:spacing w:after="0" w:line="240" w:lineRule="auto"/>
              <w:rPr>
                <w:b/>
                <w:color w:val="000000"/>
                <w:lang w:val="tr-TR"/>
              </w:rPr>
            </w:pPr>
            <w:r w:rsidRPr="003F4258">
              <w:rPr>
                <w:b/>
                <w:color w:val="000000"/>
                <w:lang w:val="tr-TR"/>
              </w:rPr>
              <w:lastRenderedPageBreak/>
              <w:t>Dönemsellik</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514923" w:rsidRPr="003F4258" w:rsidRDefault="00514923" w:rsidP="004623D7">
            <w:pPr>
              <w:spacing w:before="120" w:after="120" w:line="240" w:lineRule="auto"/>
              <w:jc w:val="both"/>
              <w:rPr>
                <w:color w:val="000000"/>
                <w:sz w:val="20"/>
                <w:szCs w:val="20"/>
                <w:lang w:val="tr-TR"/>
              </w:rPr>
            </w:pPr>
            <w:r w:rsidRPr="003F4258">
              <w:rPr>
                <w:b/>
                <w:color w:val="000000"/>
                <w:sz w:val="20"/>
                <w:szCs w:val="20"/>
                <w:lang w:val="tr-TR"/>
              </w:rPr>
              <w:t>Verinin toplama sıklığı:</w:t>
            </w:r>
            <w:r w:rsidR="007054C8" w:rsidRPr="003F4258">
              <w:rPr>
                <w:lang w:val="tr-TR"/>
              </w:rPr>
              <w:t xml:space="preserve"> </w:t>
            </w:r>
            <w:r w:rsidR="0088302D" w:rsidRPr="00BC6BA8">
              <w:rPr>
                <w:color w:val="000000"/>
                <w:sz w:val="20"/>
                <w:szCs w:val="20"/>
                <w:lang w:val="tr-TR"/>
              </w:rPr>
              <w:t>İstatistiğin oluşturulmasında kullanılan i</w:t>
            </w:r>
            <w:r w:rsidR="007054C8" w:rsidRPr="00BC6BA8">
              <w:rPr>
                <w:color w:val="000000"/>
                <w:sz w:val="20"/>
                <w:szCs w:val="20"/>
                <w:lang w:val="tr-TR"/>
              </w:rPr>
              <w:t>dari kay</w:t>
            </w:r>
            <w:r w:rsidR="0088302D" w:rsidRPr="00BC6BA8">
              <w:rPr>
                <w:color w:val="000000"/>
                <w:sz w:val="20"/>
                <w:szCs w:val="20"/>
                <w:lang w:val="tr-TR"/>
              </w:rPr>
              <w:t>ıtların</w:t>
            </w:r>
            <w:r w:rsidR="007054C8" w:rsidRPr="00BC6BA8">
              <w:rPr>
                <w:color w:val="000000"/>
                <w:sz w:val="20"/>
                <w:szCs w:val="20"/>
                <w:lang w:val="tr-TR"/>
              </w:rPr>
              <w:t xml:space="preserve"> oluşturulma sıklığı </w:t>
            </w:r>
            <w:r w:rsidR="0088302D" w:rsidRPr="00BC6BA8">
              <w:rPr>
                <w:color w:val="000000"/>
                <w:sz w:val="20"/>
                <w:szCs w:val="20"/>
                <w:lang w:val="tr-TR"/>
              </w:rPr>
              <w:t>ve</w:t>
            </w:r>
            <w:r w:rsidR="007054C8" w:rsidRPr="00BC6BA8">
              <w:rPr>
                <w:color w:val="000000"/>
                <w:sz w:val="20"/>
                <w:szCs w:val="20"/>
                <w:lang w:val="tr-TR"/>
              </w:rPr>
              <w:t xml:space="preserve"> istatistiğin oluşturulması için idari kayıtlardan verinin alınma sıklığı yıllıktır.</w:t>
            </w:r>
          </w:p>
          <w:p w:rsidR="008D24E0" w:rsidRPr="003F4258" w:rsidRDefault="008D24E0" w:rsidP="004623D7">
            <w:pPr>
              <w:spacing w:before="120" w:after="120" w:line="240" w:lineRule="auto"/>
              <w:jc w:val="both"/>
              <w:rPr>
                <w:color w:val="0D0D0D"/>
                <w:sz w:val="20"/>
                <w:szCs w:val="20"/>
                <w:lang w:val="tr-TR"/>
              </w:rPr>
            </w:pPr>
          </w:p>
        </w:tc>
      </w:tr>
      <w:tr w:rsidR="00514923" w:rsidRPr="003F4258" w:rsidTr="00514923">
        <w:trPr>
          <w:trHeight w:val="924"/>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514923" w:rsidRPr="003F4258" w:rsidRDefault="00514923" w:rsidP="004623D7">
            <w:pPr>
              <w:spacing w:before="120" w:after="120" w:line="240" w:lineRule="auto"/>
              <w:jc w:val="both"/>
              <w:rPr>
                <w:color w:val="000000"/>
                <w:sz w:val="20"/>
                <w:szCs w:val="20"/>
                <w:lang w:val="tr-TR"/>
              </w:rPr>
            </w:pPr>
            <w:r w:rsidRPr="003F4258">
              <w:rPr>
                <w:b/>
                <w:color w:val="000000"/>
                <w:sz w:val="20"/>
                <w:szCs w:val="20"/>
                <w:lang w:val="tr-TR"/>
              </w:rPr>
              <w:t>Verinin yayımlama sıklığı:</w:t>
            </w:r>
            <w:r w:rsidRPr="003F4258">
              <w:rPr>
                <w:color w:val="000000"/>
                <w:sz w:val="20"/>
                <w:szCs w:val="20"/>
                <w:lang w:val="tr-TR"/>
              </w:rPr>
              <w:t xml:space="preserve"> </w:t>
            </w:r>
            <w:r w:rsidR="007D5C19" w:rsidRPr="003F4258">
              <w:rPr>
                <w:color w:val="000000"/>
                <w:sz w:val="20"/>
                <w:szCs w:val="20"/>
                <w:lang w:val="tr-TR"/>
              </w:rPr>
              <w:t>Yıllık</w:t>
            </w:r>
          </w:p>
          <w:p w:rsidR="008D24E0" w:rsidRPr="003F4258" w:rsidRDefault="008D24E0" w:rsidP="004623D7">
            <w:pPr>
              <w:spacing w:before="120" w:after="120" w:line="240" w:lineRule="auto"/>
              <w:jc w:val="both"/>
              <w:rPr>
                <w:color w:val="000000"/>
                <w:sz w:val="20"/>
                <w:szCs w:val="20"/>
                <w:lang w:val="tr-TR"/>
              </w:rPr>
            </w:pPr>
          </w:p>
          <w:p w:rsidR="008D24E0" w:rsidRPr="003F4258" w:rsidRDefault="008D24E0" w:rsidP="004623D7">
            <w:pPr>
              <w:spacing w:before="120" w:after="120" w:line="240" w:lineRule="auto"/>
              <w:jc w:val="both"/>
              <w:rPr>
                <w:color w:val="0D0D0D"/>
                <w:sz w:val="20"/>
                <w:szCs w:val="20"/>
                <w:lang w:val="tr-TR"/>
              </w:rPr>
            </w:pPr>
          </w:p>
        </w:tc>
      </w:tr>
      <w:tr w:rsidR="00514923" w:rsidRPr="003F4258"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3F4258" w:rsidRDefault="00514923" w:rsidP="008F2072">
            <w:pPr>
              <w:spacing w:after="0" w:line="240" w:lineRule="auto"/>
              <w:rPr>
                <w:b/>
                <w:color w:val="000000"/>
                <w:lang w:val="tr-TR"/>
              </w:rPr>
            </w:pPr>
            <w:r w:rsidRPr="003F4258">
              <w:rPr>
                <w:b/>
                <w:color w:val="000000"/>
                <w:lang w:val="tr-TR"/>
              </w:rPr>
              <w:t>Zamanlılık</w:t>
            </w:r>
          </w:p>
          <w:p w:rsidR="00514923" w:rsidRPr="003F4258" w:rsidRDefault="00514923" w:rsidP="008F2072">
            <w:pPr>
              <w:spacing w:after="0" w:line="240" w:lineRule="auto"/>
              <w:rPr>
                <w:b/>
                <w:color w:val="000000"/>
                <w:lang w:val="tr-TR"/>
              </w:rPr>
            </w:pPr>
            <w:r w:rsidRPr="003F4258">
              <w:rPr>
                <w:b/>
                <w:color w:val="000000"/>
                <w:lang w:val="tr-TR"/>
              </w:rPr>
              <w:t> </w:t>
            </w:r>
          </w:p>
          <w:p w:rsidR="00514923" w:rsidRPr="003F4258" w:rsidRDefault="00514923" w:rsidP="008F2072">
            <w:pPr>
              <w:spacing w:after="0" w:line="240" w:lineRule="auto"/>
              <w:rPr>
                <w:b/>
                <w:color w:val="000000"/>
                <w:lang w:val="tr-TR"/>
              </w:rPr>
            </w:pPr>
            <w:r w:rsidRPr="003F4258">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514923" w:rsidRPr="003F4258" w:rsidRDefault="00514923" w:rsidP="004623D7">
            <w:pPr>
              <w:spacing w:before="120" w:after="120" w:line="240" w:lineRule="auto"/>
              <w:jc w:val="both"/>
              <w:rPr>
                <w:color w:val="0D0D0D"/>
                <w:sz w:val="20"/>
                <w:szCs w:val="20"/>
                <w:lang w:val="tr-TR"/>
              </w:rPr>
            </w:pPr>
            <w:r w:rsidRPr="003F4258">
              <w:rPr>
                <w:color w:val="000000"/>
                <w:sz w:val="20"/>
                <w:szCs w:val="20"/>
                <w:lang w:val="tr-TR"/>
              </w:rPr>
              <w:t>Yayımlanan her veri için ortalama üretim süresi</w:t>
            </w:r>
          </w:p>
        </w:tc>
      </w:tr>
      <w:tr w:rsidR="00514923" w:rsidRPr="003F4258" w:rsidTr="00514923">
        <w:trPr>
          <w:trHeight w:val="540"/>
        </w:trPr>
        <w:tc>
          <w:tcPr>
            <w:tcW w:w="2431" w:type="dxa"/>
            <w:vMerge/>
            <w:tcBorders>
              <w:left w:val="single" w:sz="8" w:space="0" w:color="943634"/>
              <w:right w:val="single" w:sz="8" w:space="0" w:color="943634"/>
            </w:tcBorders>
            <w:shd w:val="clear" w:color="000000" w:fill="FFFFFF"/>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3F4258" w:rsidRDefault="00514923" w:rsidP="004623D7">
            <w:pPr>
              <w:spacing w:before="120" w:after="120" w:line="240" w:lineRule="auto"/>
              <w:jc w:val="both"/>
              <w:rPr>
                <w:b/>
                <w:color w:val="0D0D0D"/>
                <w:sz w:val="20"/>
                <w:szCs w:val="20"/>
                <w:lang w:val="tr-TR"/>
              </w:rPr>
            </w:pPr>
            <w:r w:rsidRPr="003F4258">
              <w:rPr>
                <w:b/>
                <w:color w:val="000000"/>
                <w:sz w:val="20"/>
                <w:szCs w:val="20"/>
                <w:lang w:val="tr-TR"/>
              </w:rPr>
              <w:t xml:space="preserve">İlk sonuçların yayımlandığı tarih ile referans döneminin son tarihi arasındaki fark (gün): </w:t>
            </w:r>
            <w:r w:rsidR="0063399D" w:rsidRPr="003F4258">
              <w:rPr>
                <w:b/>
                <w:color w:val="000000"/>
                <w:sz w:val="20"/>
                <w:szCs w:val="20"/>
                <w:lang w:val="tr-TR"/>
              </w:rPr>
              <w:t xml:space="preserve"> </w:t>
            </w:r>
            <w:r w:rsidR="0063399D" w:rsidRPr="003F4258">
              <w:rPr>
                <w:color w:val="000000"/>
                <w:sz w:val="20"/>
                <w:szCs w:val="20"/>
                <w:lang w:val="tr-TR"/>
              </w:rPr>
              <w:t>-</w:t>
            </w:r>
          </w:p>
        </w:tc>
      </w:tr>
      <w:tr w:rsidR="00514923" w:rsidRPr="003F4258" w:rsidTr="00287CBF">
        <w:trPr>
          <w:trHeight w:val="1261"/>
        </w:trPr>
        <w:tc>
          <w:tcPr>
            <w:tcW w:w="2431" w:type="dxa"/>
            <w:vMerge/>
            <w:tcBorders>
              <w:left w:val="single" w:sz="8" w:space="0" w:color="943634"/>
              <w:bottom w:val="nil"/>
              <w:right w:val="single" w:sz="8" w:space="0" w:color="943634"/>
            </w:tcBorders>
            <w:shd w:val="clear" w:color="000000" w:fill="FFFFFF"/>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3F4258" w:rsidRDefault="00514923" w:rsidP="004623D7">
            <w:pPr>
              <w:spacing w:before="120" w:after="120" w:line="240" w:lineRule="auto"/>
              <w:jc w:val="both"/>
              <w:rPr>
                <w:sz w:val="20"/>
                <w:szCs w:val="20"/>
                <w:lang w:val="tr-TR"/>
              </w:rPr>
            </w:pPr>
            <w:r w:rsidRPr="003F4258">
              <w:rPr>
                <w:b/>
                <w:color w:val="000000"/>
                <w:sz w:val="20"/>
                <w:szCs w:val="20"/>
                <w:lang w:val="tr-TR"/>
              </w:rPr>
              <w:t>Nihai sonuçların yayımlandığı tarih ile referans döneminin son tarihi arasındaki fark (gün):</w:t>
            </w:r>
            <w:r w:rsidR="0063399D" w:rsidRPr="003F4258">
              <w:rPr>
                <w:b/>
                <w:color w:val="000000"/>
                <w:sz w:val="20"/>
                <w:szCs w:val="20"/>
                <w:lang w:val="tr-TR"/>
              </w:rPr>
              <w:t xml:space="preserve"> </w:t>
            </w:r>
            <w:r w:rsidR="00643C8D" w:rsidRPr="003F4258">
              <w:rPr>
                <w:color w:val="000000"/>
                <w:sz w:val="20"/>
                <w:szCs w:val="20"/>
                <w:lang w:val="tr-TR"/>
              </w:rPr>
              <w:t>3</w:t>
            </w:r>
            <w:r w:rsidR="006848EE">
              <w:rPr>
                <w:color w:val="000000"/>
                <w:sz w:val="20"/>
                <w:szCs w:val="20"/>
                <w:lang w:val="tr-TR"/>
              </w:rPr>
              <w:t>50</w:t>
            </w:r>
            <w:r w:rsidR="00643C8D" w:rsidRPr="003F4258">
              <w:rPr>
                <w:color w:val="000000"/>
                <w:sz w:val="20"/>
                <w:szCs w:val="20"/>
                <w:lang w:val="tr-TR"/>
              </w:rPr>
              <w:t xml:space="preserve"> gün</w:t>
            </w:r>
          </w:p>
        </w:tc>
      </w:tr>
      <w:tr w:rsidR="0019150D" w:rsidRPr="003F4258" w:rsidTr="0008287C">
        <w:trPr>
          <w:trHeight w:val="690"/>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3F4258" w:rsidRDefault="0019150D" w:rsidP="008F2072">
            <w:pPr>
              <w:spacing w:after="0" w:line="240" w:lineRule="auto"/>
              <w:rPr>
                <w:b/>
                <w:bCs/>
                <w:color w:val="FFFFFF"/>
                <w:sz w:val="24"/>
                <w:szCs w:val="24"/>
                <w:lang w:val="tr-TR"/>
              </w:rPr>
            </w:pPr>
            <w:r w:rsidRPr="003F4258">
              <w:rPr>
                <w:b/>
                <w:bCs/>
                <w:color w:val="FFFFFF"/>
                <w:sz w:val="24"/>
                <w:szCs w:val="24"/>
                <w:lang w:val="tr-TR"/>
              </w:rPr>
              <w:t>Kamuoyunun Bilgiye Erişimi</w:t>
            </w:r>
          </w:p>
        </w:tc>
      </w:tr>
      <w:tr w:rsidR="00514923" w:rsidRPr="003F4258" w:rsidTr="00514923">
        <w:trPr>
          <w:trHeight w:val="540"/>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3F4258" w:rsidRDefault="00514923" w:rsidP="008F2072">
            <w:pPr>
              <w:spacing w:after="0" w:line="240" w:lineRule="auto"/>
              <w:rPr>
                <w:b/>
                <w:color w:val="000000"/>
                <w:lang w:val="tr-TR"/>
              </w:rPr>
            </w:pPr>
            <w:r w:rsidRPr="003F4258">
              <w:rPr>
                <w:b/>
                <w:color w:val="000000"/>
                <w:lang w:val="tr-TR"/>
              </w:rPr>
              <w:t>Yayımlama takviminin önceden duyurulması</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801CB4" w:rsidRPr="00BC6BA8" w:rsidRDefault="00801CB4" w:rsidP="00BC6BA8">
            <w:pPr>
              <w:spacing w:before="120" w:after="120" w:line="240" w:lineRule="auto"/>
              <w:jc w:val="both"/>
              <w:rPr>
                <w:color w:val="000000"/>
                <w:sz w:val="20"/>
                <w:szCs w:val="20"/>
                <w:lang w:val="tr-TR"/>
              </w:rPr>
            </w:pPr>
            <w:r w:rsidRPr="00BC6BA8">
              <w:rPr>
                <w:color w:val="000000"/>
                <w:sz w:val="20"/>
                <w:szCs w:val="20"/>
                <w:lang w:val="tr-TR"/>
              </w:rPr>
              <w:t>Her yılı</w:t>
            </w:r>
            <w:r>
              <w:rPr>
                <w:color w:val="000000"/>
                <w:sz w:val="20"/>
                <w:szCs w:val="20"/>
                <w:lang w:val="tr-TR"/>
              </w:rPr>
              <w:t>n</w:t>
            </w:r>
            <w:r w:rsidRPr="00BC6BA8">
              <w:rPr>
                <w:color w:val="000000"/>
                <w:sz w:val="20"/>
                <w:szCs w:val="20"/>
                <w:lang w:val="tr-TR"/>
              </w:rPr>
              <w:t xml:space="preserve"> </w:t>
            </w:r>
            <w:proofErr w:type="gramStart"/>
            <w:r w:rsidR="00865491">
              <w:rPr>
                <w:color w:val="000000"/>
                <w:sz w:val="20"/>
                <w:szCs w:val="20"/>
                <w:lang w:val="tr-TR"/>
              </w:rPr>
              <w:t>Aralık</w:t>
            </w:r>
            <w:proofErr w:type="gramEnd"/>
            <w:r w:rsidR="00865491" w:rsidRPr="00BC6BA8">
              <w:rPr>
                <w:color w:val="000000"/>
                <w:sz w:val="20"/>
                <w:szCs w:val="20"/>
                <w:lang w:val="tr-TR"/>
              </w:rPr>
              <w:t xml:space="preserve"> </w:t>
            </w:r>
            <w:r w:rsidRPr="00BC6BA8">
              <w:rPr>
                <w:color w:val="000000"/>
                <w:sz w:val="20"/>
                <w:szCs w:val="20"/>
                <w:lang w:val="tr-TR"/>
              </w:rPr>
              <w:t>ayında Ulusal Veri Dağıtım Sistemi aracılığıyla yayınlanma bilgisi önceden duyurulmaktadır</w:t>
            </w:r>
            <w:r w:rsidR="009C09D0">
              <w:rPr>
                <w:color w:val="000000"/>
                <w:sz w:val="20"/>
                <w:szCs w:val="20"/>
                <w:lang w:val="tr-TR"/>
              </w:rPr>
              <w:t>.</w:t>
            </w:r>
          </w:p>
          <w:p w:rsidR="00514923" w:rsidRPr="003F4258" w:rsidRDefault="008D24E0" w:rsidP="00801CB4">
            <w:pPr>
              <w:spacing w:before="120" w:after="120" w:line="240" w:lineRule="auto"/>
              <w:jc w:val="both"/>
              <w:rPr>
                <w:color w:val="0D0D0D"/>
                <w:sz w:val="20"/>
                <w:szCs w:val="20"/>
                <w:lang w:val="tr-TR"/>
              </w:rPr>
            </w:pPr>
            <w:r w:rsidRPr="00C62512">
              <w:rPr>
                <w:b/>
                <w:color w:val="000000"/>
                <w:sz w:val="20"/>
                <w:szCs w:val="20"/>
                <w:lang w:val="tr-TR"/>
              </w:rPr>
              <w:t>Veri yayımlama takviminin internet adresi:</w:t>
            </w:r>
            <w:r w:rsidR="00A377C0" w:rsidRPr="00C62512">
              <w:rPr>
                <w:b/>
                <w:color w:val="000000"/>
                <w:sz w:val="20"/>
                <w:szCs w:val="20"/>
                <w:lang w:val="tr-TR"/>
              </w:rPr>
              <w:t xml:space="preserve"> </w:t>
            </w:r>
            <w:hyperlink r:id="rId9" w:history="1">
              <w:r w:rsidR="00C3642A">
                <w:rPr>
                  <w:rStyle w:val="Kpr"/>
                  <w:sz w:val="20"/>
                  <w:szCs w:val="20"/>
                  <w:lang w:val="tr-TR"/>
                </w:rPr>
                <w:t>https://www.tuik.gov.tr/Kurumsal/Veri_Takvimi</w:t>
              </w:r>
            </w:hyperlink>
            <w:r w:rsidR="00C3642A">
              <w:rPr>
                <w:color w:val="000000"/>
                <w:sz w:val="20"/>
                <w:szCs w:val="20"/>
                <w:lang w:val="tr-TR"/>
              </w:rPr>
              <w:t xml:space="preserve"> </w:t>
            </w:r>
          </w:p>
        </w:tc>
      </w:tr>
      <w:tr w:rsidR="00514923" w:rsidRPr="003F4258" w:rsidTr="00514923">
        <w:trPr>
          <w:trHeight w:val="938"/>
        </w:trPr>
        <w:tc>
          <w:tcPr>
            <w:tcW w:w="2431" w:type="dxa"/>
            <w:vMerge/>
            <w:tcBorders>
              <w:left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8D24E0" w:rsidRPr="003F4258" w:rsidRDefault="008D24E0" w:rsidP="008D24E0">
            <w:pPr>
              <w:spacing w:before="120" w:after="120" w:line="240" w:lineRule="auto"/>
              <w:jc w:val="both"/>
              <w:rPr>
                <w:b/>
                <w:color w:val="000000"/>
                <w:sz w:val="20"/>
                <w:szCs w:val="20"/>
                <w:lang w:val="tr-TR"/>
              </w:rPr>
            </w:pPr>
          </w:p>
          <w:p w:rsidR="008D24E0" w:rsidRDefault="008D24E0" w:rsidP="008D24E0">
            <w:pPr>
              <w:spacing w:before="120" w:after="120" w:line="240" w:lineRule="auto"/>
              <w:jc w:val="both"/>
              <w:rPr>
                <w:color w:val="000000"/>
                <w:sz w:val="20"/>
                <w:szCs w:val="20"/>
                <w:lang w:val="tr-TR"/>
              </w:rPr>
            </w:pPr>
            <w:r w:rsidRPr="003F4258">
              <w:rPr>
                <w:b/>
                <w:color w:val="000000"/>
                <w:sz w:val="20"/>
                <w:szCs w:val="20"/>
                <w:lang w:val="tr-TR"/>
              </w:rPr>
              <w:t>Veri dağıtım politikası:</w:t>
            </w:r>
            <w:r w:rsidRPr="003F4258">
              <w:rPr>
                <w:color w:val="000000"/>
                <w:sz w:val="20"/>
                <w:szCs w:val="20"/>
                <w:lang w:val="tr-TR"/>
              </w:rPr>
              <w:t xml:space="preserve"> </w:t>
            </w:r>
            <w:r w:rsidR="00E70391">
              <w:rPr>
                <w:color w:val="000000"/>
                <w:sz w:val="20"/>
                <w:szCs w:val="20"/>
                <w:lang w:val="tr-TR"/>
              </w:rPr>
              <w:t>“Enerji Yoğunlukları ve Endeksleri”</w:t>
            </w:r>
            <w:r w:rsidR="00FD4F43">
              <w:rPr>
                <w:color w:val="000000"/>
                <w:sz w:val="20"/>
                <w:szCs w:val="20"/>
                <w:lang w:val="tr-TR"/>
              </w:rPr>
              <w:t xml:space="preserve"> konulu</w:t>
            </w:r>
            <w:r w:rsidR="00E70391">
              <w:rPr>
                <w:color w:val="000000"/>
                <w:sz w:val="20"/>
                <w:szCs w:val="20"/>
                <w:lang w:val="tr-TR"/>
              </w:rPr>
              <w:t xml:space="preserve"> verimiz </w:t>
            </w:r>
            <w:r w:rsidR="00FD4F43" w:rsidRPr="003F4258">
              <w:rPr>
                <w:color w:val="000000"/>
                <w:sz w:val="20"/>
                <w:szCs w:val="20"/>
                <w:lang w:val="tr-TR"/>
              </w:rPr>
              <w:t xml:space="preserve">her yıl </w:t>
            </w:r>
            <w:r w:rsidR="00FD4F43">
              <w:rPr>
                <w:color w:val="000000"/>
                <w:sz w:val="20"/>
                <w:szCs w:val="20"/>
                <w:lang w:val="tr-TR"/>
              </w:rPr>
              <w:t>düzenli</w:t>
            </w:r>
            <w:r w:rsidR="00E70391">
              <w:rPr>
                <w:color w:val="000000"/>
                <w:sz w:val="20"/>
                <w:szCs w:val="20"/>
                <w:lang w:val="tr-TR"/>
              </w:rPr>
              <w:t xml:space="preserve"> olarak </w:t>
            </w:r>
            <w:r w:rsidR="00ED5B6E">
              <w:rPr>
                <w:color w:val="000000"/>
                <w:sz w:val="20"/>
                <w:szCs w:val="20"/>
                <w:lang w:val="tr-TR"/>
              </w:rPr>
              <w:t>bir önceki yılın verisi</w:t>
            </w:r>
            <w:r w:rsidR="00FB1AFD">
              <w:rPr>
                <w:color w:val="000000"/>
                <w:sz w:val="20"/>
                <w:szCs w:val="20"/>
                <w:lang w:val="tr-TR"/>
              </w:rPr>
              <w:t xml:space="preserve"> olacak şekilde</w:t>
            </w:r>
            <w:r w:rsidR="00ED5B6E">
              <w:rPr>
                <w:color w:val="000000"/>
                <w:sz w:val="20"/>
                <w:szCs w:val="20"/>
                <w:lang w:val="tr-TR"/>
              </w:rPr>
              <w:t xml:space="preserve"> </w:t>
            </w:r>
            <w:r w:rsidR="00FD4F43" w:rsidRPr="003F4258">
              <w:rPr>
                <w:color w:val="000000"/>
                <w:sz w:val="20"/>
                <w:szCs w:val="20"/>
                <w:lang w:val="tr-TR"/>
              </w:rPr>
              <w:t>haber</w:t>
            </w:r>
            <w:r w:rsidR="00765209" w:rsidRPr="003F4258">
              <w:rPr>
                <w:color w:val="000000"/>
                <w:sz w:val="20"/>
                <w:szCs w:val="20"/>
                <w:lang w:val="tr-TR"/>
              </w:rPr>
              <w:t xml:space="preserve"> bülteni olarak</w:t>
            </w:r>
            <w:r w:rsidR="009E1E8A">
              <w:rPr>
                <w:color w:val="000000"/>
                <w:sz w:val="20"/>
                <w:szCs w:val="20"/>
                <w:lang w:val="tr-TR"/>
              </w:rPr>
              <w:t xml:space="preserve"> </w:t>
            </w:r>
            <w:r w:rsidR="00865BAE">
              <w:rPr>
                <w:color w:val="000000"/>
                <w:sz w:val="20"/>
                <w:szCs w:val="20"/>
                <w:lang w:val="tr-TR"/>
              </w:rPr>
              <w:t>Enerji Verimliliği ve Çevre Dairesi Başkanlığımıza ait</w:t>
            </w:r>
            <w:r w:rsidR="009E1E8A">
              <w:rPr>
                <w:color w:val="000000"/>
                <w:sz w:val="20"/>
                <w:szCs w:val="20"/>
                <w:lang w:val="tr-TR"/>
              </w:rPr>
              <w:t xml:space="preserve"> web sitesind</w:t>
            </w:r>
            <w:r w:rsidR="00865BAE">
              <w:rPr>
                <w:color w:val="000000"/>
                <w:sz w:val="20"/>
                <w:szCs w:val="20"/>
                <w:lang w:val="tr-TR"/>
              </w:rPr>
              <w:t>e (E</w:t>
            </w:r>
            <w:r w:rsidR="002F6B27">
              <w:rPr>
                <w:color w:val="000000"/>
                <w:sz w:val="20"/>
                <w:szCs w:val="20"/>
                <w:lang w:val="tr-TR"/>
              </w:rPr>
              <w:t>NVER</w:t>
            </w:r>
            <w:r w:rsidR="00865BAE">
              <w:rPr>
                <w:color w:val="000000"/>
                <w:sz w:val="20"/>
                <w:szCs w:val="20"/>
                <w:lang w:val="tr-TR"/>
              </w:rPr>
              <w:t xml:space="preserve"> Portal)</w:t>
            </w:r>
            <w:r w:rsidR="00765209" w:rsidRPr="003F4258">
              <w:rPr>
                <w:color w:val="000000"/>
                <w:sz w:val="20"/>
                <w:szCs w:val="20"/>
                <w:lang w:val="tr-TR"/>
              </w:rPr>
              <w:t xml:space="preserve"> yayı</w:t>
            </w:r>
            <w:r w:rsidR="009E1E8A">
              <w:rPr>
                <w:color w:val="000000"/>
                <w:sz w:val="20"/>
                <w:szCs w:val="20"/>
                <w:lang w:val="tr-TR"/>
              </w:rPr>
              <w:t>n</w:t>
            </w:r>
            <w:r w:rsidR="00765209" w:rsidRPr="003F4258">
              <w:rPr>
                <w:color w:val="000000"/>
                <w:sz w:val="20"/>
                <w:szCs w:val="20"/>
                <w:lang w:val="tr-TR"/>
              </w:rPr>
              <w:t xml:space="preserve">lanmaktadır. </w:t>
            </w:r>
          </w:p>
          <w:p w:rsidR="00DA1754" w:rsidRDefault="00DA1754" w:rsidP="008D24E0">
            <w:pPr>
              <w:spacing w:before="120" w:after="120" w:line="240" w:lineRule="auto"/>
              <w:jc w:val="both"/>
              <w:rPr>
                <w:color w:val="000000"/>
                <w:sz w:val="20"/>
                <w:szCs w:val="20"/>
                <w:lang w:val="tr-TR"/>
              </w:rPr>
            </w:pPr>
            <w:r w:rsidRPr="003C434E">
              <w:rPr>
                <w:sz w:val="20"/>
                <w:szCs w:val="20"/>
                <w:lang w:val="tr-TR"/>
              </w:rPr>
              <w:t>https://enerjiverimliligi.enerji.gov.tr/</w:t>
            </w:r>
          </w:p>
          <w:p w:rsidR="00514923" w:rsidRPr="003F4258" w:rsidRDefault="00514923">
            <w:pPr>
              <w:spacing w:before="120" w:after="120" w:line="240" w:lineRule="auto"/>
              <w:jc w:val="both"/>
              <w:rPr>
                <w:sz w:val="20"/>
                <w:szCs w:val="20"/>
                <w:lang w:val="tr-TR"/>
              </w:rPr>
            </w:pPr>
          </w:p>
        </w:tc>
      </w:tr>
      <w:tr w:rsidR="00514923" w:rsidRPr="003F4258" w:rsidTr="00514923">
        <w:trPr>
          <w:trHeight w:val="330"/>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514923" w:rsidRPr="003F4258"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8D24E0" w:rsidRPr="003F4258" w:rsidRDefault="008D24E0" w:rsidP="008D24E0">
            <w:pPr>
              <w:spacing w:before="120" w:after="120" w:line="240" w:lineRule="auto"/>
              <w:jc w:val="both"/>
              <w:rPr>
                <w:color w:val="000000"/>
                <w:sz w:val="20"/>
                <w:szCs w:val="20"/>
                <w:lang w:val="tr-TR"/>
              </w:rPr>
            </w:pPr>
          </w:p>
        </w:tc>
      </w:tr>
      <w:tr w:rsidR="0008287C" w:rsidRPr="003F4258" w:rsidTr="008F2072">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08287C" w:rsidRPr="003F4258" w:rsidRDefault="0008287C" w:rsidP="008F2072">
            <w:pPr>
              <w:spacing w:after="0" w:line="240" w:lineRule="auto"/>
              <w:rPr>
                <w:b/>
                <w:color w:val="000000"/>
                <w:lang w:val="tr-TR"/>
              </w:rPr>
            </w:pPr>
            <w:r w:rsidRPr="003F4258">
              <w:rPr>
                <w:b/>
                <w:color w:val="000000"/>
                <w:lang w:val="tr-TR"/>
              </w:rPr>
              <w:t>Eş zamanlı yayımlama</w:t>
            </w:r>
          </w:p>
          <w:p w:rsidR="0008287C" w:rsidRPr="003F4258" w:rsidRDefault="0008287C" w:rsidP="008F2072">
            <w:pPr>
              <w:spacing w:after="0" w:line="240" w:lineRule="auto"/>
              <w:rPr>
                <w:b/>
                <w:color w:val="000000"/>
                <w:lang w:val="tr-TR"/>
              </w:rPr>
            </w:pPr>
            <w:r w:rsidRPr="003F4258">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08287C" w:rsidRPr="003F4258" w:rsidRDefault="0008287C" w:rsidP="004623D7">
            <w:pPr>
              <w:spacing w:before="120" w:after="120" w:line="240" w:lineRule="auto"/>
              <w:jc w:val="both"/>
              <w:rPr>
                <w:sz w:val="20"/>
                <w:szCs w:val="20"/>
                <w:lang w:val="tr-TR"/>
              </w:rPr>
            </w:pPr>
            <w:r w:rsidRPr="003F4258">
              <w:rPr>
                <w:b/>
                <w:sz w:val="20"/>
                <w:szCs w:val="20"/>
                <w:lang w:val="tr-TR"/>
              </w:rPr>
              <w:t>Tüm kullanıcılar ile aynı anda paylaşılıp paylaşılmadığı:</w:t>
            </w:r>
            <w:r w:rsidRPr="003F4258">
              <w:rPr>
                <w:sz w:val="20"/>
                <w:szCs w:val="20"/>
                <w:lang w:val="tr-TR"/>
              </w:rPr>
              <w:t xml:space="preserve"> </w:t>
            </w:r>
            <w:r w:rsidR="00801CB4">
              <w:rPr>
                <w:sz w:val="20"/>
                <w:szCs w:val="20"/>
                <w:lang w:val="tr-TR"/>
              </w:rPr>
              <w:t>A</w:t>
            </w:r>
            <w:r w:rsidR="00823ECE" w:rsidRPr="003F4258">
              <w:rPr>
                <w:sz w:val="20"/>
                <w:szCs w:val="20"/>
                <w:lang w:val="tr-TR"/>
              </w:rPr>
              <w:t>ynı anda paylaşılmaktadır.</w:t>
            </w:r>
          </w:p>
          <w:p w:rsidR="008D24E0" w:rsidRPr="003F4258" w:rsidRDefault="008D24E0" w:rsidP="004623D7">
            <w:pPr>
              <w:spacing w:before="120" w:after="120" w:line="240" w:lineRule="auto"/>
              <w:jc w:val="both"/>
              <w:rPr>
                <w:sz w:val="20"/>
                <w:szCs w:val="20"/>
                <w:lang w:val="tr-TR"/>
              </w:rPr>
            </w:pPr>
          </w:p>
        </w:tc>
      </w:tr>
      <w:tr w:rsidR="0008287C" w:rsidRPr="003F4258" w:rsidTr="008A0158">
        <w:trPr>
          <w:trHeight w:val="330"/>
        </w:trPr>
        <w:tc>
          <w:tcPr>
            <w:tcW w:w="2431" w:type="dxa"/>
            <w:vMerge/>
            <w:tcBorders>
              <w:left w:val="single" w:sz="8" w:space="0" w:color="943634"/>
              <w:bottom w:val="nil"/>
              <w:right w:val="single" w:sz="8" w:space="0" w:color="943634"/>
            </w:tcBorders>
            <w:shd w:val="clear" w:color="000000" w:fill="FFFFFF"/>
            <w:vAlign w:val="center"/>
            <w:hideMark/>
          </w:tcPr>
          <w:p w:rsidR="0008287C" w:rsidRPr="003F4258" w:rsidRDefault="0008287C"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8287C" w:rsidRPr="003F4258" w:rsidRDefault="0008287C" w:rsidP="004623D7">
            <w:pPr>
              <w:spacing w:before="120" w:after="120" w:line="240" w:lineRule="auto"/>
              <w:jc w:val="both"/>
              <w:rPr>
                <w:color w:val="000000"/>
                <w:sz w:val="20"/>
                <w:szCs w:val="20"/>
                <w:lang w:val="tr-TR"/>
              </w:rPr>
            </w:pPr>
            <w:r w:rsidRPr="003F4258">
              <w:rPr>
                <w:b/>
                <w:color w:val="000000"/>
                <w:sz w:val="20"/>
                <w:szCs w:val="20"/>
                <w:lang w:val="tr-TR"/>
              </w:rPr>
              <w:t>Basın veya diğer belirli kullanıcılar ile özel anlaşmalar kapsamında verinin önceden paylaşılıp paylaşılmadığı:</w:t>
            </w:r>
            <w:r w:rsidR="00823ECE" w:rsidRPr="003F4258">
              <w:rPr>
                <w:b/>
                <w:color w:val="000000"/>
                <w:sz w:val="20"/>
                <w:szCs w:val="20"/>
                <w:lang w:val="tr-TR"/>
              </w:rPr>
              <w:t xml:space="preserve"> </w:t>
            </w:r>
            <w:r w:rsidR="00801CB4" w:rsidRPr="00BC6BA8">
              <w:rPr>
                <w:color w:val="000000"/>
                <w:sz w:val="20"/>
                <w:szCs w:val="20"/>
                <w:lang w:val="tr-TR"/>
              </w:rPr>
              <w:t>Veri önceden</w:t>
            </w:r>
            <w:r w:rsidR="00801CB4">
              <w:rPr>
                <w:b/>
                <w:color w:val="000000"/>
                <w:sz w:val="20"/>
                <w:szCs w:val="20"/>
                <w:lang w:val="tr-TR"/>
              </w:rPr>
              <w:t xml:space="preserve"> </w:t>
            </w:r>
            <w:r w:rsidR="00801CB4">
              <w:rPr>
                <w:color w:val="000000"/>
                <w:sz w:val="20"/>
                <w:szCs w:val="20"/>
                <w:lang w:val="tr-TR"/>
              </w:rPr>
              <w:t>p</w:t>
            </w:r>
            <w:r w:rsidR="00765209" w:rsidRPr="003F4258">
              <w:rPr>
                <w:color w:val="000000"/>
                <w:sz w:val="20"/>
                <w:szCs w:val="20"/>
                <w:lang w:val="tr-TR"/>
              </w:rPr>
              <w:t>aylaşılmamaktadır.</w:t>
            </w:r>
          </w:p>
        </w:tc>
      </w:tr>
      <w:tr w:rsidR="0019150D" w:rsidRPr="003F4258" w:rsidTr="0008287C">
        <w:trPr>
          <w:trHeight w:val="58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3F4258" w:rsidRDefault="0019150D" w:rsidP="008F2072">
            <w:pPr>
              <w:spacing w:after="0" w:line="240" w:lineRule="auto"/>
              <w:rPr>
                <w:b/>
                <w:bCs/>
                <w:color w:val="FFFFFF"/>
                <w:sz w:val="24"/>
                <w:szCs w:val="24"/>
                <w:lang w:val="tr-TR"/>
              </w:rPr>
            </w:pPr>
            <w:r w:rsidRPr="003F4258">
              <w:rPr>
                <w:b/>
                <w:bCs/>
                <w:color w:val="FFFFFF"/>
                <w:sz w:val="24"/>
                <w:szCs w:val="24"/>
                <w:lang w:val="tr-TR"/>
              </w:rPr>
              <w:t>Bütünlük</w:t>
            </w:r>
          </w:p>
        </w:tc>
      </w:tr>
      <w:tr w:rsidR="006141C6" w:rsidRPr="003F4258" w:rsidTr="00514923">
        <w:trPr>
          <w:trHeight w:val="540"/>
        </w:trPr>
        <w:tc>
          <w:tcPr>
            <w:tcW w:w="2431" w:type="dxa"/>
            <w:vMerge w:val="restart"/>
            <w:tcBorders>
              <w:top w:val="single" w:sz="8" w:space="0" w:color="943634"/>
              <w:left w:val="single" w:sz="8" w:space="0" w:color="943634"/>
              <w:right w:val="single" w:sz="8" w:space="0" w:color="943634"/>
            </w:tcBorders>
            <w:shd w:val="clear" w:color="000000" w:fill="FFFFFF"/>
            <w:hideMark/>
          </w:tcPr>
          <w:p w:rsidR="006141C6" w:rsidRPr="003F4258" w:rsidRDefault="006141C6" w:rsidP="008F2072">
            <w:pPr>
              <w:spacing w:after="0" w:line="240" w:lineRule="auto"/>
              <w:rPr>
                <w:b/>
                <w:color w:val="000000"/>
                <w:lang w:val="tr-TR"/>
              </w:rPr>
            </w:pPr>
            <w:r w:rsidRPr="003F4258">
              <w:rPr>
                <w:b/>
                <w:color w:val="000000"/>
                <w:lang w:val="tr-TR"/>
              </w:rPr>
              <w:t>Resmi istatistiklerin üretilmesine ilişkin şartlar, koşullar ve gizlilik</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3C434E" w:rsidRPr="00DA1754" w:rsidRDefault="006141C6" w:rsidP="004623D7">
            <w:pPr>
              <w:spacing w:before="120" w:after="120" w:line="240" w:lineRule="auto"/>
              <w:jc w:val="both"/>
              <w:rPr>
                <w:color w:val="000000"/>
                <w:sz w:val="20"/>
                <w:szCs w:val="20"/>
                <w:lang w:val="tr-TR"/>
              </w:rPr>
            </w:pPr>
            <w:r w:rsidRPr="003F4258">
              <w:rPr>
                <w:b/>
                <w:color w:val="000000"/>
                <w:sz w:val="20"/>
                <w:szCs w:val="20"/>
                <w:lang w:val="tr-TR"/>
              </w:rPr>
              <w:t xml:space="preserve">İstatistiklerin toplanması, işlenmesi ve dağıtımına ilişkin sorumluluk: </w:t>
            </w:r>
            <w:r w:rsidR="00066ED2" w:rsidRPr="003F4258">
              <w:rPr>
                <w:color w:val="000000"/>
                <w:sz w:val="20"/>
                <w:szCs w:val="20"/>
                <w:lang w:val="tr-TR"/>
              </w:rPr>
              <w:t>Yayımlanan veri</w:t>
            </w:r>
            <w:r w:rsidR="00A259B5">
              <w:rPr>
                <w:color w:val="000000"/>
                <w:sz w:val="20"/>
                <w:szCs w:val="20"/>
                <w:lang w:val="tr-TR"/>
              </w:rPr>
              <w:t>lerin</w:t>
            </w:r>
            <w:r w:rsidR="00066ED2" w:rsidRPr="003F4258">
              <w:rPr>
                <w:color w:val="000000"/>
                <w:sz w:val="20"/>
                <w:szCs w:val="20"/>
                <w:lang w:val="tr-TR"/>
              </w:rPr>
              <w:t xml:space="preserve"> hesaplanması ve dağıtımı Enerji ve Tabii Kaynaklar Bakanlığı</w:t>
            </w:r>
            <w:r w:rsidR="00643C8D" w:rsidRPr="003F4258">
              <w:rPr>
                <w:color w:val="000000"/>
                <w:sz w:val="20"/>
                <w:szCs w:val="20"/>
                <w:lang w:val="tr-TR"/>
              </w:rPr>
              <w:t>/</w:t>
            </w:r>
            <w:r w:rsidR="00066ED2" w:rsidRPr="003F4258">
              <w:rPr>
                <w:color w:val="000000"/>
                <w:sz w:val="20"/>
                <w:szCs w:val="20"/>
                <w:lang w:val="tr-TR"/>
              </w:rPr>
              <w:t xml:space="preserve"> Enerji Verimliliği ve Çevre Dairesi Başkanlığı tarafından yürütülmektedir.</w:t>
            </w:r>
          </w:p>
        </w:tc>
      </w:tr>
      <w:tr w:rsidR="006141C6" w:rsidRPr="003F4258" w:rsidTr="0075210A">
        <w:trPr>
          <w:trHeight w:val="88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3F4258" w:rsidRDefault="006141C6" w:rsidP="004623D7">
            <w:pPr>
              <w:spacing w:before="120" w:after="120" w:line="240" w:lineRule="auto"/>
              <w:jc w:val="both"/>
              <w:rPr>
                <w:color w:val="000000"/>
                <w:sz w:val="20"/>
                <w:szCs w:val="20"/>
                <w:lang w:val="tr-TR"/>
              </w:rPr>
            </w:pPr>
            <w:r w:rsidRPr="003F4258">
              <w:rPr>
                <w:b/>
                <w:color w:val="000000"/>
                <w:sz w:val="20"/>
                <w:szCs w:val="20"/>
                <w:lang w:val="tr-TR"/>
              </w:rPr>
              <w:t>Veri üreten kuruluşlar ile veri paylaşımı ve koordinasyon:</w:t>
            </w:r>
            <w:r w:rsidR="00066ED2" w:rsidRPr="003F4258">
              <w:rPr>
                <w:b/>
                <w:color w:val="000000"/>
                <w:sz w:val="20"/>
                <w:szCs w:val="20"/>
                <w:lang w:val="tr-TR"/>
              </w:rPr>
              <w:t xml:space="preserve"> </w:t>
            </w:r>
            <w:r w:rsidR="00066ED2" w:rsidRPr="003F4258">
              <w:rPr>
                <w:color w:val="000000"/>
                <w:sz w:val="20"/>
                <w:szCs w:val="20"/>
                <w:lang w:val="tr-TR"/>
              </w:rPr>
              <w:t xml:space="preserve">Enerji yoğunluklarının hesaplanmasında Enerji ve Tabii Kaynaklar Bakanlığı Enerji İşleri Genel Müdürlüğü tarafından yayımlanan Genel Enerji Denge Tablolarından ve </w:t>
            </w:r>
            <w:proofErr w:type="spellStart"/>
            <w:r w:rsidR="00066ED2" w:rsidRPr="003F4258">
              <w:rPr>
                <w:color w:val="000000"/>
                <w:sz w:val="20"/>
                <w:szCs w:val="20"/>
                <w:lang w:val="tr-TR"/>
              </w:rPr>
              <w:t>TÜİK’in</w:t>
            </w:r>
            <w:proofErr w:type="spellEnd"/>
            <w:r w:rsidR="00066ED2" w:rsidRPr="003F4258">
              <w:rPr>
                <w:color w:val="000000"/>
                <w:sz w:val="20"/>
                <w:szCs w:val="20"/>
                <w:lang w:val="tr-TR"/>
              </w:rPr>
              <w:t xml:space="preserve"> yayımlamış olduğu GSYH verilerinden faydalanılmaktadır.  </w:t>
            </w:r>
          </w:p>
        </w:tc>
      </w:tr>
      <w:tr w:rsidR="006141C6" w:rsidRPr="003F4258"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3F4258" w:rsidRDefault="006141C6" w:rsidP="004623D7">
            <w:pPr>
              <w:spacing w:before="120" w:after="120" w:line="240" w:lineRule="auto"/>
              <w:jc w:val="both"/>
              <w:rPr>
                <w:sz w:val="20"/>
                <w:szCs w:val="20"/>
                <w:lang w:val="tr-TR"/>
              </w:rPr>
            </w:pPr>
            <w:r w:rsidRPr="003F4258">
              <w:rPr>
                <w:b/>
                <w:color w:val="000000"/>
                <w:sz w:val="20"/>
                <w:szCs w:val="20"/>
                <w:lang w:val="tr-TR"/>
              </w:rPr>
              <w:t xml:space="preserve">Bireysel </w:t>
            </w:r>
            <w:proofErr w:type="spellStart"/>
            <w:r w:rsidRPr="003F4258">
              <w:rPr>
                <w:b/>
                <w:color w:val="000000"/>
                <w:sz w:val="20"/>
                <w:szCs w:val="20"/>
                <w:lang w:val="tr-TR"/>
              </w:rPr>
              <w:t>cevaplayıcılara</w:t>
            </w:r>
            <w:proofErr w:type="spellEnd"/>
            <w:r w:rsidRPr="003F4258">
              <w:rPr>
                <w:b/>
                <w:color w:val="000000"/>
                <w:sz w:val="20"/>
                <w:szCs w:val="20"/>
                <w:lang w:val="tr-TR"/>
              </w:rPr>
              <w:t xml:space="preserve"> ait verinin gizliliği:</w:t>
            </w:r>
            <w:r w:rsidRPr="003F4258">
              <w:rPr>
                <w:color w:val="000000"/>
                <w:sz w:val="20"/>
                <w:szCs w:val="20"/>
                <w:lang w:val="tr-TR"/>
              </w:rPr>
              <w:t xml:space="preserve"> </w:t>
            </w:r>
            <w:r w:rsidR="0063641F" w:rsidRPr="003F4258">
              <w:rPr>
                <w:color w:val="000000"/>
                <w:sz w:val="20"/>
                <w:szCs w:val="20"/>
                <w:lang w:val="tr-TR"/>
              </w:rPr>
              <w:t xml:space="preserve">Yayımlanan veriler bir istatistiki gizliliğe tabi değildir. </w:t>
            </w:r>
          </w:p>
        </w:tc>
      </w:tr>
      <w:tr w:rsidR="006141C6" w:rsidRPr="003F4258" w:rsidTr="00514923">
        <w:trPr>
          <w:trHeight w:val="436"/>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3F4258" w:rsidRDefault="006141C6" w:rsidP="00100458">
            <w:pPr>
              <w:spacing w:before="120" w:after="120" w:line="240" w:lineRule="auto"/>
              <w:jc w:val="both"/>
              <w:rPr>
                <w:color w:val="000000"/>
                <w:sz w:val="20"/>
                <w:szCs w:val="20"/>
                <w:lang w:val="tr-TR"/>
              </w:rPr>
            </w:pPr>
            <w:r w:rsidRPr="003F4258">
              <w:rPr>
                <w:b/>
                <w:color w:val="000000"/>
                <w:sz w:val="20"/>
                <w:szCs w:val="20"/>
                <w:lang w:val="tr-TR"/>
              </w:rPr>
              <w:t>İstatistik üretiminde</w:t>
            </w:r>
            <w:r w:rsidR="00601334" w:rsidRPr="003F4258">
              <w:rPr>
                <w:b/>
                <w:color w:val="000000"/>
                <w:sz w:val="20"/>
                <w:szCs w:val="20"/>
                <w:lang w:val="tr-TR"/>
              </w:rPr>
              <w:t xml:space="preserve">ki insan kaynağı, mali kaynaklar ve </w:t>
            </w:r>
            <w:r w:rsidR="00100458" w:rsidRPr="003F4258">
              <w:rPr>
                <w:b/>
                <w:color w:val="000000"/>
                <w:sz w:val="20"/>
                <w:szCs w:val="20"/>
                <w:lang w:val="tr-TR"/>
              </w:rPr>
              <w:t>bilişim teknolojisi</w:t>
            </w:r>
            <w:r w:rsidR="00601334" w:rsidRPr="003F4258">
              <w:rPr>
                <w:b/>
                <w:color w:val="000000"/>
                <w:sz w:val="20"/>
                <w:szCs w:val="20"/>
                <w:lang w:val="tr-TR"/>
              </w:rPr>
              <w:t xml:space="preserve"> kaynakları:</w:t>
            </w:r>
            <w:r w:rsidR="00066ED2" w:rsidRPr="003F4258">
              <w:rPr>
                <w:b/>
                <w:color w:val="000000"/>
                <w:sz w:val="20"/>
                <w:szCs w:val="20"/>
                <w:lang w:val="tr-TR"/>
              </w:rPr>
              <w:t xml:space="preserve"> </w:t>
            </w:r>
            <w:r w:rsidR="00066ED2" w:rsidRPr="003F4258">
              <w:rPr>
                <w:color w:val="000000"/>
                <w:sz w:val="20"/>
                <w:szCs w:val="20"/>
                <w:lang w:val="tr-TR"/>
              </w:rPr>
              <w:t>Yayımlanan verinin üretiminde bir istatistikçi, bir makine mühendisi, bir elektrik</w:t>
            </w:r>
            <w:r w:rsidR="00643C8D" w:rsidRPr="003F4258">
              <w:rPr>
                <w:color w:val="000000"/>
                <w:sz w:val="20"/>
                <w:szCs w:val="20"/>
                <w:lang w:val="tr-TR"/>
              </w:rPr>
              <w:t>-</w:t>
            </w:r>
            <w:r w:rsidR="00066ED2" w:rsidRPr="003F4258">
              <w:rPr>
                <w:color w:val="000000"/>
                <w:sz w:val="20"/>
                <w:szCs w:val="20"/>
                <w:lang w:val="tr-TR"/>
              </w:rPr>
              <w:t xml:space="preserve">elektronik mühendisi ve bir endüstri mühendisi olmak üzere </w:t>
            </w:r>
            <w:r w:rsidR="00643C8D" w:rsidRPr="003F4258">
              <w:rPr>
                <w:color w:val="000000"/>
                <w:sz w:val="20"/>
                <w:szCs w:val="20"/>
                <w:lang w:val="tr-TR"/>
              </w:rPr>
              <w:t xml:space="preserve">dört personel çalışmaktadır. İstatistik çalışma grubunda dördü dizüstü, dördü masaüstü olmak üzere toplam sekiz bilgisayar bulunmaktadır. </w:t>
            </w:r>
          </w:p>
        </w:tc>
      </w:tr>
      <w:tr w:rsidR="006141C6" w:rsidRPr="003F4258" w:rsidTr="008D24E0">
        <w:trPr>
          <w:trHeight w:val="68"/>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3399D" w:rsidRPr="003F4258" w:rsidRDefault="0063399D" w:rsidP="004623D7">
            <w:pPr>
              <w:spacing w:before="120" w:after="120" w:line="240" w:lineRule="auto"/>
              <w:jc w:val="both"/>
              <w:rPr>
                <w:b/>
                <w:color w:val="000000"/>
                <w:sz w:val="20"/>
                <w:szCs w:val="20"/>
                <w:highlight w:val="yellow"/>
                <w:lang w:val="tr-TR"/>
              </w:rPr>
            </w:pPr>
          </w:p>
          <w:p w:rsidR="006141C6" w:rsidRPr="003F4258" w:rsidRDefault="006141C6" w:rsidP="004623D7">
            <w:pPr>
              <w:spacing w:before="120" w:after="120" w:line="240" w:lineRule="auto"/>
              <w:jc w:val="both"/>
              <w:rPr>
                <w:color w:val="0D0D0D"/>
                <w:sz w:val="20"/>
                <w:szCs w:val="20"/>
                <w:lang w:val="tr-TR"/>
              </w:rPr>
            </w:pPr>
            <w:r w:rsidRPr="003F4258">
              <w:rPr>
                <w:b/>
                <w:color w:val="000000"/>
                <w:sz w:val="20"/>
                <w:szCs w:val="20"/>
                <w:lang w:val="tr-TR"/>
              </w:rPr>
              <w:t>Kullanıcı ihtiyaçlarının izlenmesi:</w:t>
            </w:r>
            <w:r w:rsidRPr="003F4258">
              <w:rPr>
                <w:color w:val="000000"/>
                <w:sz w:val="20"/>
                <w:szCs w:val="20"/>
                <w:lang w:val="tr-TR"/>
              </w:rPr>
              <w:t xml:space="preserve"> </w:t>
            </w:r>
            <w:r w:rsidR="00354122">
              <w:rPr>
                <w:color w:val="000000"/>
                <w:sz w:val="20"/>
                <w:szCs w:val="20"/>
                <w:lang w:val="tr-TR"/>
              </w:rPr>
              <w:t>Kullanıcılardan gelen talepler kayıt altına alınmakla birlikte henüz ihtiyaçların izlenmesi konusunda bir çalışma bulunmamaktadır.</w:t>
            </w:r>
            <w:r w:rsidR="00E5714B" w:rsidRPr="003F4258">
              <w:rPr>
                <w:color w:val="000000"/>
                <w:sz w:val="20"/>
                <w:szCs w:val="20"/>
                <w:lang w:val="tr-TR"/>
              </w:rPr>
              <w:t xml:space="preserve"> </w:t>
            </w:r>
          </w:p>
        </w:tc>
      </w:tr>
      <w:tr w:rsidR="006141C6" w:rsidRPr="003F4258" w:rsidTr="00514923">
        <w:trPr>
          <w:trHeight w:val="117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3F4258" w:rsidRDefault="006141C6" w:rsidP="004623D7">
            <w:pPr>
              <w:spacing w:before="120" w:after="120" w:line="240" w:lineRule="auto"/>
              <w:jc w:val="both"/>
              <w:rPr>
                <w:color w:val="0D0D0D"/>
                <w:sz w:val="20"/>
                <w:szCs w:val="20"/>
                <w:lang w:val="tr-TR"/>
              </w:rPr>
            </w:pPr>
            <w:r w:rsidRPr="003F4258">
              <w:rPr>
                <w:b/>
                <w:color w:val="000000"/>
                <w:sz w:val="20"/>
                <w:szCs w:val="20"/>
                <w:lang w:val="tr-TR"/>
              </w:rPr>
              <w:t>Kalite politikası:</w:t>
            </w:r>
            <w:r w:rsidR="00E5714B" w:rsidRPr="003F4258">
              <w:rPr>
                <w:b/>
                <w:color w:val="000000"/>
                <w:sz w:val="20"/>
                <w:szCs w:val="20"/>
                <w:lang w:val="tr-TR"/>
              </w:rPr>
              <w:t xml:space="preserve"> </w:t>
            </w:r>
            <w:r w:rsidR="00E5714B" w:rsidRPr="007C4CDA">
              <w:rPr>
                <w:color w:val="000000"/>
                <w:sz w:val="20"/>
                <w:szCs w:val="20"/>
                <w:lang w:val="tr-TR"/>
              </w:rPr>
              <w:t>Uluslararası standartlara uygun, güncel ve</w:t>
            </w:r>
            <w:r w:rsidR="00643C8D" w:rsidRPr="007C4CDA">
              <w:rPr>
                <w:color w:val="000000"/>
                <w:sz w:val="20"/>
                <w:szCs w:val="20"/>
                <w:lang w:val="tr-TR"/>
              </w:rPr>
              <w:t xml:space="preserve"> </w:t>
            </w:r>
            <w:r w:rsidR="00E5714B" w:rsidRPr="007C4CDA">
              <w:rPr>
                <w:color w:val="000000"/>
                <w:sz w:val="20"/>
                <w:szCs w:val="20"/>
                <w:lang w:val="tr-TR"/>
              </w:rPr>
              <w:t>güvenilir istatistikler üretilmesi hedefiyle Kurumumuz kalite politikası dokümanının oluşturulması çalışmaları devam etmektedir.</w:t>
            </w:r>
          </w:p>
        </w:tc>
      </w:tr>
      <w:tr w:rsidR="006141C6" w:rsidRPr="003F4258"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Default="006141C6" w:rsidP="004623D7">
            <w:pPr>
              <w:spacing w:before="120" w:after="120" w:line="240" w:lineRule="auto"/>
              <w:jc w:val="both"/>
              <w:rPr>
                <w:lang w:val="tr-TR"/>
              </w:rPr>
            </w:pPr>
            <w:r w:rsidRPr="003F4258">
              <w:rPr>
                <w:b/>
                <w:color w:val="000000"/>
                <w:sz w:val="20"/>
                <w:szCs w:val="20"/>
                <w:lang w:val="tr-TR"/>
              </w:rPr>
              <w:t>Kalitenin izlenmesi:</w:t>
            </w:r>
            <w:r w:rsidRPr="003F4258">
              <w:rPr>
                <w:color w:val="000000"/>
                <w:sz w:val="20"/>
                <w:szCs w:val="20"/>
                <w:lang w:val="tr-TR"/>
              </w:rPr>
              <w:t xml:space="preserve"> </w:t>
            </w:r>
            <w:r w:rsidR="00321982" w:rsidRPr="00A526B4">
              <w:rPr>
                <w:color w:val="000000"/>
                <w:sz w:val="20"/>
                <w:szCs w:val="20"/>
                <w:lang w:val="tr-TR"/>
              </w:rPr>
              <w:t>Kalite logosu alındığı zaman güncelleme yapılacaktır.</w:t>
            </w:r>
          </w:p>
          <w:p w:rsidR="006141C6" w:rsidRPr="003F4258" w:rsidRDefault="006141C6">
            <w:pPr>
              <w:spacing w:before="120" w:after="120" w:line="240" w:lineRule="auto"/>
              <w:jc w:val="both"/>
              <w:rPr>
                <w:sz w:val="20"/>
                <w:szCs w:val="20"/>
                <w:lang w:val="tr-TR"/>
              </w:rPr>
            </w:pPr>
          </w:p>
        </w:tc>
      </w:tr>
      <w:tr w:rsidR="006141C6" w:rsidRPr="003F4258" w:rsidTr="0075210A">
        <w:trPr>
          <w:trHeight w:val="98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3F4258" w:rsidRDefault="006141C6" w:rsidP="004623D7">
            <w:pPr>
              <w:spacing w:before="120" w:after="120" w:line="240" w:lineRule="auto"/>
              <w:jc w:val="both"/>
              <w:rPr>
                <w:color w:val="0D0D0D"/>
                <w:sz w:val="20"/>
                <w:szCs w:val="20"/>
                <w:lang w:val="tr-TR"/>
              </w:rPr>
            </w:pPr>
            <w:r w:rsidRPr="003F4258">
              <w:rPr>
                <w:b/>
                <w:color w:val="000000"/>
                <w:sz w:val="20"/>
                <w:szCs w:val="20"/>
                <w:lang w:val="tr-TR"/>
              </w:rPr>
              <w:t xml:space="preserve">İstatistiklerin yansızlığı: </w:t>
            </w:r>
            <w:r w:rsidR="00A259B5">
              <w:rPr>
                <w:color w:val="000000"/>
                <w:sz w:val="20"/>
                <w:szCs w:val="20"/>
                <w:lang w:val="tr-TR"/>
              </w:rPr>
              <w:t>Yayımlanan v</w:t>
            </w:r>
            <w:r w:rsidR="00E5714B" w:rsidRPr="003F4258">
              <w:rPr>
                <w:color w:val="000000"/>
                <w:sz w:val="20"/>
                <w:szCs w:val="20"/>
                <w:lang w:val="tr-TR"/>
              </w:rPr>
              <w:t>eriler yansızdır.</w:t>
            </w:r>
          </w:p>
        </w:tc>
      </w:tr>
      <w:tr w:rsidR="006141C6" w:rsidRPr="003F4258" w:rsidTr="00514923">
        <w:trPr>
          <w:trHeight w:val="33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3F4258" w:rsidRDefault="006141C6" w:rsidP="004623D7">
            <w:pPr>
              <w:spacing w:before="120" w:after="120" w:line="240" w:lineRule="auto"/>
              <w:jc w:val="both"/>
              <w:rPr>
                <w:sz w:val="20"/>
                <w:szCs w:val="20"/>
                <w:lang w:val="tr-TR"/>
              </w:rPr>
            </w:pPr>
            <w:r w:rsidRPr="003F4258">
              <w:rPr>
                <w:b/>
                <w:color w:val="000000"/>
                <w:sz w:val="20"/>
                <w:szCs w:val="20"/>
                <w:lang w:val="tr-TR"/>
              </w:rPr>
              <w:t>Veri kaynakları:</w:t>
            </w:r>
            <w:r w:rsidRPr="003F4258">
              <w:rPr>
                <w:color w:val="000000"/>
                <w:sz w:val="20"/>
                <w:szCs w:val="20"/>
                <w:lang w:val="tr-TR"/>
              </w:rPr>
              <w:t xml:space="preserve"> </w:t>
            </w:r>
            <w:r w:rsidR="0063641F" w:rsidRPr="003F4258">
              <w:rPr>
                <w:color w:val="000000"/>
                <w:sz w:val="20"/>
                <w:szCs w:val="20"/>
                <w:lang w:val="tr-TR"/>
              </w:rPr>
              <w:t xml:space="preserve">Enerji yoğunluklarının hesaplanmasında idari kayıt niteliğinde olan Enerji ve Tabii Kaynaklar Bakanlığı Enerji İşleri Genel Müdürlüğü tarafından yayımlanan Genel Enerji Denge </w:t>
            </w:r>
            <w:proofErr w:type="spellStart"/>
            <w:r w:rsidR="0063641F" w:rsidRPr="003F4258">
              <w:rPr>
                <w:color w:val="000000"/>
                <w:sz w:val="20"/>
                <w:szCs w:val="20"/>
                <w:lang w:val="tr-TR"/>
              </w:rPr>
              <w:t>Tabloları</w:t>
            </w:r>
            <w:r w:rsidR="006A457F" w:rsidRPr="003F4258">
              <w:rPr>
                <w:color w:val="000000"/>
                <w:sz w:val="20"/>
                <w:szCs w:val="20"/>
                <w:lang w:val="tr-TR"/>
              </w:rPr>
              <w:t>’</w:t>
            </w:r>
            <w:r w:rsidR="0063641F" w:rsidRPr="003F4258">
              <w:rPr>
                <w:color w:val="000000"/>
                <w:sz w:val="20"/>
                <w:szCs w:val="20"/>
                <w:lang w:val="tr-TR"/>
              </w:rPr>
              <w:t>ndan</w:t>
            </w:r>
            <w:proofErr w:type="spellEnd"/>
            <w:r w:rsidR="0063641F" w:rsidRPr="003F4258">
              <w:rPr>
                <w:color w:val="000000"/>
                <w:sz w:val="20"/>
                <w:szCs w:val="20"/>
                <w:lang w:val="tr-TR"/>
              </w:rPr>
              <w:t xml:space="preserve"> ve </w:t>
            </w:r>
            <w:proofErr w:type="spellStart"/>
            <w:r w:rsidR="0063641F" w:rsidRPr="003F4258">
              <w:rPr>
                <w:color w:val="000000"/>
                <w:sz w:val="20"/>
                <w:szCs w:val="20"/>
                <w:lang w:val="tr-TR"/>
              </w:rPr>
              <w:t>TÜİK’in</w:t>
            </w:r>
            <w:proofErr w:type="spellEnd"/>
            <w:r w:rsidR="0063641F" w:rsidRPr="003F4258">
              <w:rPr>
                <w:color w:val="000000"/>
                <w:sz w:val="20"/>
                <w:szCs w:val="20"/>
                <w:lang w:val="tr-TR"/>
              </w:rPr>
              <w:t xml:space="preserve"> yayımlamış olduğu </w:t>
            </w:r>
            <w:r w:rsidR="00070773">
              <w:rPr>
                <w:color w:val="000000"/>
                <w:sz w:val="20"/>
                <w:szCs w:val="20"/>
                <w:lang w:val="tr-TR"/>
              </w:rPr>
              <w:t>GSYH</w:t>
            </w:r>
            <w:r w:rsidR="0063641F" w:rsidRPr="003F4258">
              <w:rPr>
                <w:color w:val="000000"/>
                <w:sz w:val="20"/>
                <w:szCs w:val="20"/>
                <w:lang w:val="tr-TR"/>
              </w:rPr>
              <w:t xml:space="preserve"> veri</w:t>
            </w:r>
            <w:r w:rsidR="006A457F" w:rsidRPr="003F4258">
              <w:rPr>
                <w:color w:val="000000"/>
                <w:sz w:val="20"/>
                <w:szCs w:val="20"/>
                <w:lang w:val="tr-TR"/>
              </w:rPr>
              <w:t>lerinden</w:t>
            </w:r>
            <w:r w:rsidR="0063641F" w:rsidRPr="003F4258">
              <w:rPr>
                <w:color w:val="000000"/>
                <w:sz w:val="20"/>
                <w:szCs w:val="20"/>
                <w:lang w:val="tr-TR"/>
              </w:rPr>
              <w:t xml:space="preserve"> faydalanılmaktadır.  </w:t>
            </w:r>
          </w:p>
          <w:p w:rsidR="006141C6" w:rsidRPr="003F4258" w:rsidRDefault="006141C6" w:rsidP="004623D7">
            <w:pPr>
              <w:spacing w:before="120" w:after="120" w:line="240" w:lineRule="auto"/>
              <w:jc w:val="both"/>
              <w:rPr>
                <w:sz w:val="20"/>
                <w:szCs w:val="20"/>
                <w:lang w:val="tr-TR"/>
              </w:rPr>
            </w:pPr>
          </w:p>
        </w:tc>
      </w:tr>
      <w:tr w:rsidR="006141C6" w:rsidRPr="003F4258" w:rsidTr="008D24E0">
        <w:trPr>
          <w:trHeight w:val="68"/>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3F4258" w:rsidRDefault="006141C6" w:rsidP="004623D7">
            <w:pPr>
              <w:spacing w:before="120" w:after="120" w:line="240" w:lineRule="auto"/>
              <w:jc w:val="both"/>
              <w:rPr>
                <w:color w:val="000000"/>
                <w:sz w:val="20"/>
                <w:szCs w:val="20"/>
                <w:lang w:val="tr-TR"/>
              </w:rPr>
            </w:pPr>
            <w:r w:rsidRPr="003F4258">
              <w:rPr>
                <w:b/>
                <w:color w:val="000000"/>
                <w:sz w:val="20"/>
                <w:szCs w:val="20"/>
                <w:lang w:val="tr-TR"/>
              </w:rPr>
              <w:t>Yöntem:</w:t>
            </w:r>
            <w:r w:rsidR="0063641F" w:rsidRPr="003F4258">
              <w:rPr>
                <w:b/>
                <w:color w:val="000000"/>
                <w:sz w:val="20"/>
                <w:szCs w:val="20"/>
                <w:lang w:val="tr-TR"/>
              </w:rPr>
              <w:t xml:space="preserve"> </w:t>
            </w:r>
            <w:r w:rsidR="006A457F" w:rsidRPr="003F4258">
              <w:rPr>
                <w:color w:val="000000"/>
                <w:sz w:val="20"/>
                <w:szCs w:val="20"/>
                <w:lang w:val="tr-TR"/>
              </w:rPr>
              <w:t>Enerji yoğunluğu, ülkede gerçekleşen tep cinsinden toplam enerji tüketiminin gayrisafi yurtiçi hasılaya bölünmesiyle hesaplanmaktadır. Birincil enerji yoğunluğu hesaplamasında ülkede toplam arz edilen ve dönüşüme uğramamış enerji kullanılırken; nihai enerji yoğunluğu için sanayi, konut, ulaştırma gibi sektörlerin nihai olarak tükettiği enerji kullanılarak hesaplama yapılır.</w:t>
            </w:r>
          </w:p>
          <w:p w:rsidR="008D24E0" w:rsidRPr="003F4258" w:rsidRDefault="008D24E0" w:rsidP="004623D7">
            <w:pPr>
              <w:spacing w:before="120" w:after="120" w:line="240" w:lineRule="auto"/>
              <w:jc w:val="both"/>
              <w:rPr>
                <w:bCs/>
                <w:sz w:val="20"/>
                <w:szCs w:val="20"/>
                <w:lang w:val="tr-TR"/>
              </w:rPr>
            </w:pPr>
          </w:p>
        </w:tc>
      </w:tr>
      <w:tr w:rsidR="006141C6" w:rsidRPr="003F4258"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Default="006141C6" w:rsidP="004623D7">
            <w:pPr>
              <w:spacing w:before="120" w:after="120" w:line="240" w:lineRule="auto"/>
              <w:jc w:val="both"/>
              <w:rPr>
                <w:color w:val="000000"/>
                <w:sz w:val="20"/>
                <w:szCs w:val="20"/>
                <w:lang w:val="tr-TR"/>
              </w:rPr>
            </w:pPr>
            <w:r w:rsidRPr="003F4258">
              <w:rPr>
                <w:b/>
                <w:color w:val="000000"/>
                <w:sz w:val="20"/>
                <w:szCs w:val="20"/>
                <w:lang w:val="tr-TR"/>
              </w:rPr>
              <w:t xml:space="preserve">Dağıtım şekilleri: </w:t>
            </w:r>
            <w:r w:rsidR="0080761E" w:rsidRPr="00A526B4">
              <w:rPr>
                <w:color w:val="000000"/>
                <w:sz w:val="20"/>
                <w:szCs w:val="20"/>
                <w:lang w:val="tr-TR"/>
              </w:rPr>
              <w:t>Birincil ve Nihai Enerji Yoğunluğu</w:t>
            </w:r>
            <w:r w:rsidR="0080761E" w:rsidRPr="00BC6BA8">
              <w:rPr>
                <w:color w:val="000000"/>
                <w:sz w:val="20"/>
                <w:szCs w:val="20"/>
                <w:lang w:val="tr-TR"/>
              </w:rPr>
              <w:t xml:space="preserve"> </w:t>
            </w:r>
            <w:r w:rsidR="00EA7E29" w:rsidRPr="00BC6BA8">
              <w:rPr>
                <w:color w:val="000000"/>
                <w:sz w:val="20"/>
                <w:szCs w:val="20"/>
                <w:lang w:val="tr-TR"/>
              </w:rPr>
              <w:t>Haber Bülteni</w:t>
            </w:r>
            <w:r w:rsidR="0080761E">
              <w:rPr>
                <w:color w:val="000000"/>
                <w:sz w:val="20"/>
                <w:szCs w:val="20"/>
                <w:lang w:val="tr-TR"/>
              </w:rPr>
              <w:t>,</w:t>
            </w:r>
            <w:r w:rsidR="00EA7E29" w:rsidRPr="00BC6BA8">
              <w:rPr>
                <w:color w:val="000000"/>
                <w:sz w:val="20"/>
                <w:szCs w:val="20"/>
                <w:lang w:val="tr-TR"/>
              </w:rPr>
              <w:t xml:space="preserve"> </w:t>
            </w:r>
            <w:r w:rsidR="002F6B27">
              <w:rPr>
                <w:color w:val="000000"/>
                <w:sz w:val="20"/>
                <w:szCs w:val="20"/>
                <w:lang w:val="tr-TR"/>
              </w:rPr>
              <w:t>Enerji Verimliliği ve Çevre Dairesi Başkanlığımıza ait</w:t>
            </w:r>
            <w:r w:rsidR="00831C20">
              <w:rPr>
                <w:color w:val="000000"/>
                <w:sz w:val="20"/>
                <w:szCs w:val="20"/>
                <w:lang w:val="tr-TR"/>
              </w:rPr>
              <w:t xml:space="preserve"> </w:t>
            </w:r>
            <w:r w:rsidR="00EA7E29" w:rsidRPr="00BC6BA8">
              <w:rPr>
                <w:color w:val="000000"/>
                <w:sz w:val="20"/>
                <w:szCs w:val="20"/>
                <w:lang w:val="tr-TR"/>
              </w:rPr>
              <w:t>web sayfası</w:t>
            </w:r>
            <w:r w:rsidR="0016399F">
              <w:rPr>
                <w:color w:val="000000"/>
                <w:sz w:val="20"/>
                <w:szCs w:val="20"/>
                <w:lang w:val="tr-TR"/>
              </w:rPr>
              <w:t xml:space="preserve"> </w:t>
            </w:r>
            <w:r w:rsidR="00831C20">
              <w:rPr>
                <w:color w:val="000000"/>
                <w:sz w:val="20"/>
                <w:szCs w:val="20"/>
                <w:lang w:val="tr-TR"/>
              </w:rPr>
              <w:t xml:space="preserve">(ENVER Portal) Bilgi Merkezi </w:t>
            </w:r>
            <w:r w:rsidR="0016399F">
              <w:rPr>
                <w:color w:val="000000"/>
                <w:sz w:val="20"/>
                <w:szCs w:val="20"/>
                <w:lang w:val="tr-TR"/>
              </w:rPr>
              <w:t xml:space="preserve">başlığı </w:t>
            </w:r>
            <w:r w:rsidR="00DF5F99">
              <w:rPr>
                <w:color w:val="000000"/>
                <w:sz w:val="20"/>
                <w:szCs w:val="20"/>
                <w:lang w:val="tr-TR"/>
              </w:rPr>
              <w:t xml:space="preserve">altında </w:t>
            </w:r>
            <w:proofErr w:type="spellStart"/>
            <w:r w:rsidR="00DF5F99" w:rsidRPr="00BC6BA8">
              <w:rPr>
                <w:color w:val="000000"/>
                <w:sz w:val="20"/>
                <w:szCs w:val="20"/>
                <w:lang w:val="tr-TR"/>
              </w:rPr>
              <w:t>pdf</w:t>
            </w:r>
            <w:proofErr w:type="spellEnd"/>
            <w:r w:rsidR="00EA7E29" w:rsidRPr="00BC6BA8">
              <w:rPr>
                <w:color w:val="000000"/>
                <w:sz w:val="20"/>
                <w:szCs w:val="20"/>
                <w:lang w:val="tr-TR"/>
              </w:rPr>
              <w:t xml:space="preserve"> formatın</w:t>
            </w:r>
            <w:r w:rsidR="00E50F1C">
              <w:rPr>
                <w:color w:val="000000"/>
                <w:sz w:val="20"/>
                <w:szCs w:val="20"/>
                <w:lang w:val="tr-TR"/>
              </w:rPr>
              <w:t>da yayınlanmaktadır.</w:t>
            </w:r>
          </w:p>
          <w:p w:rsidR="006141C6" w:rsidRPr="003F4258" w:rsidRDefault="00831C20" w:rsidP="00BC6BA8">
            <w:pPr>
              <w:spacing w:before="120" w:after="120" w:line="240" w:lineRule="auto"/>
              <w:jc w:val="both"/>
              <w:rPr>
                <w:color w:val="0D0D0D"/>
                <w:sz w:val="20"/>
                <w:szCs w:val="20"/>
                <w:lang w:val="tr-TR"/>
              </w:rPr>
            </w:pPr>
            <w:r w:rsidRPr="00831C20">
              <w:rPr>
                <w:color w:val="0D0D0D"/>
                <w:sz w:val="20"/>
                <w:szCs w:val="20"/>
                <w:lang w:val="tr-TR"/>
              </w:rPr>
              <w:t>https://enerjiverimliligi.enerji.gov.tr/</w:t>
            </w:r>
          </w:p>
        </w:tc>
      </w:tr>
      <w:tr w:rsidR="006141C6" w:rsidRPr="003F4258"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3F4258" w:rsidRDefault="006141C6" w:rsidP="004623D7">
            <w:pPr>
              <w:spacing w:before="120" w:after="120" w:line="240" w:lineRule="auto"/>
              <w:jc w:val="both"/>
              <w:rPr>
                <w:color w:val="000000"/>
                <w:sz w:val="20"/>
                <w:szCs w:val="20"/>
                <w:lang w:val="tr-TR"/>
              </w:rPr>
            </w:pPr>
            <w:r w:rsidRPr="003F4258">
              <w:rPr>
                <w:b/>
                <w:color w:val="000000"/>
                <w:sz w:val="20"/>
                <w:szCs w:val="20"/>
                <w:lang w:val="tr-TR"/>
              </w:rPr>
              <w:t xml:space="preserve">İstatistiklerin hatalı yorumlanması ve yanlış kullanımına ilişkin görüş belirtme/tekzip: </w:t>
            </w:r>
            <w:r w:rsidR="009B2D61" w:rsidRPr="003F4258">
              <w:rPr>
                <w:color w:val="000000"/>
                <w:sz w:val="20"/>
                <w:szCs w:val="20"/>
                <w:lang w:val="tr-TR"/>
              </w:rPr>
              <w:t>Veriler yayımlandıktan sonra yayım organlarında ve bilimsel makalelerde hatalı kullanımına ilişkin düzenli bir takip yapılmamaktadır.</w:t>
            </w:r>
          </w:p>
        </w:tc>
      </w:tr>
      <w:tr w:rsidR="006141C6" w:rsidRPr="003F4258"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8D24E0" w:rsidRPr="003F4258" w:rsidRDefault="008D24E0" w:rsidP="004623D7">
            <w:pPr>
              <w:spacing w:before="120" w:after="120" w:line="240" w:lineRule="auto"/>
              <w:jc w:val="both"/>
              <w:rPr>
                <w:b/>
                <w:color w:val="000000"/>
                <w:sz w:val="20"/>
                <w:szCs w:val="20"/>
                <w:lang w:val="tr-TR"/>
              </w:rPr>
            </w:pPr>
          </w:p>
          <w:p w:rsidR="006141C6" w:rsidRPr="003F4258" w:rsidRDefault="006141C6" w:rsidP="004623D7">
            <w:pPr>
              <w:spacing w:before="120" w:after="120" w:line="240" w:lineRule="auto"/>
              <w:jc w:val="both"/>
              <w:rPr>
                <w:color w:val="000000"/>
                <w:sz w:val="20"/>
                <w:szCs w:val="20"/>
                <w:lang w:val="tr-TR"/>
              </w:rPr>
            </w:pPr>
            <w:r w:rsidRPr="003F4258">
              <w:rPr>
                <w:b/>
                <w:color w:val="000000"/>
                <w:sz w:val="20"/>
                <w:szCs w:val="20"/>
                <w:lang w:val="tr-TR"/>
              </w:rPr>
              <w:t xml:space="preserve">İstatistiksel veri toplama, işleme ve dağıtımdaki şartlar ve koşulların açıklanması: </w:t>
            </w:r>
            <w:r w:rsidR="006A457F" w:rsidRPr="003F4258">
              <w:rPr>
                <w:color w:val="000000"/>
                <w:sz w:val="20"/>
                <w:szCs w:val="20"/>
                <w:lang w:val="tr-TR"/>
              </w:rPr>
              <w:t>İstatistiğin hesaplanması Genel Enerji Denge Tabloları ve gayrisafi yurtiçi hasıla verisine bağlı olarak hesaplanmaktadır. Bu sebeple istatistiğin yayımlanma tarihi bahsi geçen verilerin yayımlanma tarihinden önce gerçekleşememektedir.</w:t>
            </w:r>
          </w:p>
        </w:tc>
      </w:tr>
      <w:tr w:rsidR="006141C6" w:rsidRPr="003F4258"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8D24E0" w:rsidRPr="003F4258" w:rsidRDefault="008D24E0" w:rsidP="004623D7">
            <w:pPr>
              <w:spacing w:before="120" w:after="120" w:line="240" w:lineRule="auto"/>
              <w:jc w:val="both"/>
              <w:rPr>
                <w:b/>
                <w:color w:val="000000"/>
                <w:sz w:val="20"/>
                <w:szCs w:val="20"/>
                <w:lang w:val="tr-TR"/>
              </w:rPr>
            </w:pPr>
          </w:p>
          <w:p w:rsidR="006141C6" w:rsidRPr="003F4258" w:rsidRDefault="006141C6" w:rsidP="004623D7">
            <w:pPr>
              <w:spacing w:before="120" w:after="120" w:line="240" w:lineRule="auto"/>
              <w:jc w:val="both"/>
              <w:rPr>
                <w:color w:val="0D0D0D"/>
                <w:sz w:val="20"/>
                <w:szCs w:val="20"/>
                <w:lang w:val="tr-TR"/>
              </w:rPr>
            </w:pPr>
            <w:r w:rsidRPr="003F4258">
              <w:rPr>
                <w:b/>
                <w:color w:val="000000"/>
                <w:sz w:val="20"/>
                <w:szCs w:val="20"/>
                <w:lang w:val="tr-TR"/>
              </w:rPr>
              <w:t>Mevsimsel düzeltme:</w:t>
            </w:r>
            <w:r w:rsidRPr="003F4258">
              <w:rPr>
                <w:color w:val="000000"/>
                <w:sz w:val="20"/>
                <w:szCs w:val="20"/>
                <w:lang w:val="tr-TR"/>
              </w:rPr>
              <w:t xml:space="preserve"> </w:t>
            </w:r>
            <w:r w:rsidR="0063641F" w:rsidRPr="003F4258">
              <w:rPr>
                <w:color w:val="000000"/>
                <w:sz w:val="20"/>
                <w:szCs w:val="20"/>
                <w:lang w:val="tr-TR"/>
              </w:rPr>
              <w:t>Veriler üzerinde herhangi bir mevsimsel düzeltme çalışması mevcut değildir.</w:t>
            </w:r>
          </w:p>
        </w:tc>
      </w:tr>
      <w:tr w:rsidR="006141C6" w:rsidRPr="003F4258" w:rsidTr="00514923">
        <w:trPr>
          <w:trHeight w:val="540"/>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9B2D61" w:rsidRPr="003F4258" w:rsidRDefault="006141C6" w:rsidP="004623D7">
            <w:pPr>
              <w:spacing w:before="120" w:after="120" w:line="240" w:lineRule="auto"/>
              <w:jc w:val="both"/>
              <w:rPr>
                <w:b/>
                <w:color w:val="000000"/>
                <w:sz w:val="20"/>
                <w:szCs w:val="20"/>
                <w:lang w:val="tr-TR"/>
              </w:rPr>
            </w:pPr>
            <w:r w:rsidRPr="003F4258">
              <w:rPr>
                <w:b/>
                <w:color w:val="000000"/>
                <w:sz w:val="20"/>
                <w:szCs w:val="20"/>
                <w:lang w:val="tr-TR"/>
              </w:rPr>
              <w:t>İstatistiğin toplanması, işlenmesi ve dağıtılması süreçlerinde bağlayıcı olan mevzuat</w:t>
            </w:r>
            <w:r w:rsidR="00B01F0C" w:rsidRPr="003F4258">
              <w:rPr>
                <w:b/>
                <w:color w:val="000000"/>
                <w:sz w:val="20"/>
                <w:szCs w:val="20"/>
                <w:lang w:val="tr-TR"/>
              </w:rPr>
              <w:t xml:space="preserve"> ve diğer düzenlemeler</w:t>
            </w:r>
            <w:r w:rsidRPr="003F4258">
              <w:rPr>
                <w:b/>
                <w:color w:val="000000"/>
                <w:sz w:val="20"/>
                <w:szCs w:val="20"/>
                <w:lang w:val="tr-TR"/>
              </w:rPr>
              <w:t>:</w:t>
            </w:r>
          </w:p>
          <w:p w:rsidR="006141C6" w:rsidRPr="003F4258" w:rsidRDefault="006A457F" w:rsidP="004623D7">
            <w:pPr>
              <w:spacing w:before="120" w:after="120" w:line="240" w:lineRule="auto"/>
              <w:jc w:val="both"/>
              <w:rPr>
                <w:color w:val="000000"/>
                <w:sz w:val="20"/>
                <w:szCs w:val="20"/>
                <w:lang w:val="tr-TR"/>
              </w:rPr>
            </w:pPr>
            <w:r w:rsidRPr="003F4258">
              <w:rPr>
                <w:color w:val="000000"/>
                <w:sz w:val="20"/>
                <w:szCs w:val="20"/>
                <w:lang w:val="tr-TR"/>
              </w:rPr>
              <w:t xml:space="preserve">İstatistik, Resmi İstatistik Programı kapsamında üretilmekte olup bu istatistiğin üretilmesi </w:t>
            </w:r>
            <w:r w:rsidR="0050275A">
              <w:rPr>
                <w:color w:val="000000"/>
                <w:sz w:val="20"/>
                <w:szCs w:val="20"/>
                <w:lang w:val="tr-TR"/>
              </w:rPr>
              <w:t xml:space="preserve">Daire </w:t>
            </w:r>
            <w:r w:rsidRPr="003F4258">
              <w:rPr>
                <w:color w:val="000000"/>
                <w:sz w:val="20"/>
                <w:szCs w:val="20"/>
                <w:lang w:val="tr-TR"/>
              </w:rPr>
              <w:t>Başkanlığımızca belirlenen birimimiz görev ve sorumlulukları arasında yer almaktadır.</w:t>
            </w:r>
          </w:p>
          <w:p w:rsidR="008D24E0" w:rsidRPr="003F4258" w:rsidRDefault="008D24E0" w:rsidP="004623D7">
            <w:pPr>
              <w:spacing w:before="120" w:after="120" w:line="240" w:lineRule="auto"/>
              <w:jc w:val="both"/>
              <w:rPr>
                <w:rFonts w:eastAsia="TimesNewRoman"/>
                <w:sz w:val="20"/>
                <w:szCs w:val="20"/>
                <w:lang w:val="tr-TR"/>
              </w:rPr>
            </w:pPr>
          </w:p>
        </w:tc>
      </w:tr>
      <w:tr w:rsidR="0019150D" w:rsidRPr="003F4258" w:rsidTr="00514923">
        <w:trPr>
          <w:trHeight w:val="55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rsidR="0019150D" w:rsidRPr="003F4258" w:rsidRDefault="0019150D" w:rsidP="008F2072">
            <w:pPr>
              <w:spacing w:after="0" w:line="240" w:lineRule="auto"/>
              <w:rPr>
                <w:b/>
                <w:color w:val="000000"/>
                <w:lang w:val="tr-TR"/>
              </w:rPr>
            </w:pPr>
            <w:r w:rsidRPr="003F4258">
              <w:rPr>
                <w:b/>
                <w:color w:val="000000"/>
                <w:lang w:val="tr-TR"/>
              </w:rPr>
              <w:t>Yayımlanmadan önce veriye devletin içeriden erişimi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3F4258" w:rsidRDefault="0095705C" w:rsidP="004623D7">
            <w:pPr>
              <w:spacing w:before="120" w:after="120" w:line="240" w:lineRule="auto"/>
              <w:jc w:val="both"/>
              <w:rPr>
                <w:sz w:val="20"/>
                <w:szCs w:val="20"/>
                <w:lang w:val="tr-TR"/>
              </w:rPr>
            </w:pPr>
            <w:r w:rsidRPr="003F4258">
              <w:rPr>
                <w:color w:val="000000"/>
                <w:sz w:val="20"/>
                <w:szCs w:val="20"/>
                <w:lang w:val="tr-TR"/>
              </w:rPr>
              <w:t>Veri yayımlanmadan önce kurum içinden veya başka bir kurum tarafından veriye erişim bulunmamaktadır.</w:t>
            </w:r>
          </w:p>
        </w:tc>
      </w:tr>
      <w:tr w:rsidR="0019150D" w:rsidRPr="003F4258" w:rsidTr="00514923">
        <w:trPr>
          <w:trHeight w:val="55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rsidR="0019150D" w:rsidRPr="003F4258" w:rsidRDefault="0019150D" w:rsidP="008F2072">
            <w:pPr>
              <w:spacing w:after="0" w:line="240" w:lineRule="auto"/>
              <w:rPr>
                <w:b/>
                <w:color w:val="000000"/>
                <w:lang w:val="tr-TR"/>
              </w:rPr>
            </w:pPr>
            <w:r w:rsidRPr="003F4258">
              <w:rPr>
                <w:b/>
                <w:color w:val="000000"/>
                <w:lang w:val="tr-TR"/>
              </w:rPr>
              <w:t>İstatistiklerin yorumlanarak yayımlanması</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3F4258" w:rsidRDefault="0095705C" w:rsidP="004623D7">
            <w:pPr>
              <w:spacing w:before="120" w:after="120" w:line="240" w:lineRule="auto"/>
              <w:jc w:val="both"/>
              <w:rPr>
                <w:sz w:val="20"/>
                <w:szCs w:val="20"/>
                <w:lang w:val="tr-TR"/>
              </w:rPr>
            </w:pPr>
            <w:r w:rsidRPr="003F4258">
              <w:rPr>
                <w:sz w:val="20"/>
                <w:szCs w:val="20"/>
                <w:lang w:val="tr-TR"/>
              </w:rPr>
              <w:t xml:space="preserve">Yayımlanan veriler önceki dönemlerle ve uluslararası karşılaştırma yapılarak yorumlanmaktadır. </w:t>
            </w:r>
          </w:p>
        </w:tc>
      </w:tr>
      <w:tr w:rsidR="006141C6" w:rsidRPr="003F4258" w:rsidTr="00514923">
        <w:trPr>
          <w:trHeight w:val="660"/>
        </w:trPr>
        <w:tc>
          <w:tcPr>
            <w:tcW w:w="2431" w:type="dxa"/>
            <w:vMerge w:val="restart"/>
            <w:tcBorders>
              <w:top w:val="single" w:sz="8" w:space="0" w:color="943634"/>
              <w:left w:val="single" w:sz="8" w:space="0" w:color="943634"/>
              <w:right w:val="single" w:sz="8" w:space="0" w:color="943634"/>
            </w:tcBorders>
            <w:shd w:val="clear" w:color="000000" w:fill="FFFFFF"/>
            <w:hideMark/>
          </w:tcPr>
          <w:p w:rsidR="006141C6" w:rsidRPr="003F4258" w:rsidRDefault="006141C6" w:rsidP="008F2072">
            <w:pPr>
              <w:spacing w:after="0" w:line="240" w:lineRule="auto"/>
              <w:rPr>
                <w:b/>
                <w:color w:val="000000"/>
                <w:lang w:val="tr-TR"/>
              </w:rPr>
            </w:pPr>
            <w:r w:rsidRPr="003F4258">
              <w:rPr>
                <w:b/>
                <w:color w:val="000000"/>
                <w:lang w:val="tr-TR"/>
              </w:rPr>
              <w:t>Yenileme ve yöntemdeki büyük değişikliklerin önceden bildirimi</w:t>
            </w:r>
          </w:p>
          <w:p w:rsidR="006141C6" w:rsidRPr="003F4258" w:rsidRDefault="006141C6" w:rsidP="008F2072">
            <w:pPr>
              <w:spacing w:after="0" w:line="240" w:lineRule="auto"/>
              <w:rPr>
                <w:b/>
                <w:color w:val="000000"/>
                <w:lang w:val="tr-TR"/>
              </w:rPr>
            </w:pPr>
            <w:r w:rsidRPr="003F4258">
              <w:rPr>
                <w:b/>
                <w:color w:val="000000"/>
                <w:lang w:val="tr-TR"/>
              </w:rPr>
              <w:t> </w:t>
            </w:r>
          </w:p>
          <w:p w:rsidR="006141C6" w:rsidRPr="003F4258" w:rsidRDefault="006141C6" w:rsidP="008F2072">
            <w:pPr>
              <w:spacing w:after="0" w:line="240" w:lineRule="auto"/>
              <w:rPr>
                <w:b/>
                <w:color w:val="000000"/>
                <w:lang w:val="tr-TR"/>
              </w:rPr>
            </w:pPr>
            <w:r w:rsidRPr="003F4258">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6141C6" w:rsidRPr="0050275A" w:rsidRDefault="006141C6" w:rsidP="004623D7">
            <w:pPr>
              <w:spacing w:before="120" w:after="120" w:line="240" w:lineRule="auto"/>
              <w:jc w:val="both"/>
              <w:rPr>
                <w:color w:val="0D0D0D"/>
                <w:sz w:val="20"/>
                <w:szCs w:val="20"/>
                <w:lang w:val="tr-TR"/>
              </w:rPr>
            </w:pPr>
            <w:r w:rsidRPr="003F4258">
              <w:rPr>
                <w:b/>
                <w:color w:val="0D0D0D"/>
                <w:sz w:val="20"/>
                <w:szCs w:val="20"/>
                <w:lang w:val="tr-TR"/>
              </w:rPr>
              <w:t xml:space="preserve">Revizyon takvimi: </w:t>
            </w:r>
            <w:r w:rsidR="0095705C" w:rsidRPr="003F4258">
              <w:rPr>
                <w:color w:val="0D0D0D"/>
                <w:sz w:val="20"/>
                <w:szCs w:val="20"/>
                <w:lang w:val="tr-TR"/>
              </w:rPr>
              <w:t xml:space="preserve">Şubat </w:t>
            </w:r>
            <w:r w:rsidR="009A39C5">
              <w:rPr>
                <w:color w:val="0D0D0D"/>
                <w:sz w:val="20"/>
                <w:szCs w:val="20"/>
                <w:lang w:val="tr-TR"/>
              </w:rPr>
              <w:t>ayında olası revizyon</w:t>
            </w:r>
            <w:r w:rsidR="0050275A">
              <w:rPr>
                <w:color w:val="0D0D0D"/>
                <w:sz w:val="20"/>
                <w:szCs w:val="20"/>
                <w:lang w:val="tr-TR"/>
              </w:rPr>
              <w:t xml:space="preserve">, </w:t>
            </w:r>
            <w:r w:rsidR="009A39C5">
              <w:rPr>
                <w:color w:val="0D0D0D"/>
                <w:sz w:val="20"/>
                <w:szCs w:val="20"/>
                <w:lang w:val="tr-TR"/>
              </w:rPr>
              <w:t>5 yılda bir rutin revizyon</w:t>
            </w:r>
            <w:r w:rsidR="0050275A">
              <w:rPr>
                <w:color w:val="0D0D0D"/>
                <w:sz w:val="20"/>
                <w:szCs w:val="20"/>
                <w:lang w:val="tr-TR"/>
              </w:rPr>
              <w:t xml:space="preserve"> yapılmaktadır.</w:t>
            </w:r>
          </w:p>
        </w:tc>
      </w:tr>
      <w:tr w:rsidR="006141C6" w:rsidRPr="003F4258" w:rsidTr="00514923">
        <w:trPr>
          <w:trHeight w:val="300"/>
        </w:trPr>
        <w:tc>
          <w:tcPr>
            <w:tcW w:w="2431" w:type="dxa"/>
            <w:vMerge/>
            <w:tcBorders>
              <w:left w:val="single" w:sz="8" w:space="0" w:color="943634"/>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Default="006141C6" w:rsidP="004623D7">
            <w:pPr>
              <w:spacing w:before="120" w:after="120" w:line="240" w:lineRule="auto"/>
              <w:jc w:val="both"/>
              <w:rPr>
                <w:color w:val="0D0D0D"/>
                <w:sz w:val="20"/>
                <w:szCs w:val="20"/>
                <w:lang w:val="tr-TR"/>
              </w:rPr>
            </w:pPr>
            <w:r w:rsidRPr="003F4258">
              <w:rPr>
                <w:b/>
                <w:color w:val="0D0D0D"/>
                <w:sz w:val="20"/>
                <w:szCs w:val="20"/>
                <w:lang w:val="tr-TR"/>
              </w:rPr>
              <w:t>İlk verinin ve revize edilmiş verinin tanımlanması:</w:t>
            </w:r>
            <w:r w:rsidRPr="003F4258">
              <w:rPr>
                <w:color w:val="0D0D0D"/>
                <w:sz w:val="20"/>
                <w:szCs w:val="20"/>
                <w:lang w:val="tr-TR"/>
              </w:rPr>
              <w:t xml:space="preserve"> </w:t>
            </w:r>
            <w:r w:rsidR="009A39C5" w:rsidRPr="003F4258">
              <w:rPr>
                <w:color w:val="0D0D0D"/>
                <w:sz w:val="20"/>
                <w:szCs w:val="20"/>
                <w:lang w:val="tr-TR"/>
              </w:rPr>
              <w:t xml:space="preserve">Şubat ayında Enerji Denge Tablolarının revizyonu gerçekleşmektedir. Buna bağlı olarak verimizde kontrol sağlanıp </w:t>
            </w:r>
            <w:r w:rsidR="009A39C5" w:rsidRPr="0050275A">
              <w:rPr>
                <w:color w:val="0D0D0D"/>
                <w:sz w:val="20"/>
                <w:szCs w:val="20"/>
                <w:lang w:val="tr-TR"/>
              </w:rPr>
              <w:t>gerektiğinde</w:t>
            </w:r>
            <w:r w:rsidR="009A39C5" w:rsidRPr="003F4258">
              <w:rPr>
                <w:color w:val="0D0D0D"/>
                <w:sz w:val="20"/>
                <w:szCs w:val="20"/>
                <w:lang w:val="tr-TR"/>
              </w:rPr>
              <w:t xml:space="preserve"> şubat ayı içerisinde revizyon yapılmaktadır.</w:t>
            </w:r>
          </w:p>
          <w:p w:rsidR="009A39C5" w:rsidRPr="0050275A" w:rsidRDefault="009A39C5" w:rsidP="0050275A">
            <w:pPr>
              <w:pStyle w:val="GvdeMetni"/>
              <w:rPr>
                <w:rFonts w:asciiTheme="minorHAnsi" w:hAnsiTheme="minorHAnsi" w:cstheme="minorHAnsi"/>
                <w:sz w:val="22"/>
                <w:szCs w:val="22"/>
              </w:rPr>
            </w:pPr>
            <w:r w:rsidRPr="00BC6BA8">
              <w:rPr>
                <w:rFonts w:ascii="Calibri" w:hAnsi="Calibri" w:cs="Times New Roman"/>
                <w:color w:val="0D0D0D"/>
                <w:sz w:val="20"/>
                <w:szCs w:val="20"/>
                <w:lang w:eastAsia="en-US" w:bidi="en-US"/>
              </w:rPr>
              <w:t>Beş yılda bir OECD’nin istatistikler için baz yılı değiştirmesiyle birlikte gayrisafi yurtiçi hasıla değerleri yeni belirlenen baz yıl esas alınarak yeniden hesaplanmakta, enerji yoğunlukları da yeni değerlere göre tekrar hesaplanarak revize edilmektedir.</w:t>
            </w:r>
            <w:r>
              <w:rPr>
                <w:rFonts w:asciiTheme="minorHAnsi" w:hAnsiTheme="minorHAnsi" w:cstheme="minorHAnsi"/>
                <w:sz w:val="22"/>
                <w:szCs w:val="22"/>
              </w:rPr>
              <w:t xml:space="preserve"> </w:t>
            </w:r>
          </w:p>
        </w:tc>
      </w:tr>
      <w:tr w:rsidR="006141C6" w:rsidRPr="003F4258" w:rsidTr="00514923">
        <w:trPr>
          <w:trHeight w:val="300"/>
        </w:trPr>
        <w:tc>
          <w:tcPr>
            <w:tcW w:w="2431" w:type="dxa"/>
            <w:vMerge/>
            <w:tcBorders>
              <w:left w:val="single" w:sz="8" w:space="0" w:color="943634"/>
              <w:bottom w:val="nil"/>
              <w:right w:val="single" w:sz="8" w:space="0" w:color="943634"/>
            </w:tcBorders>
            <w:shd w:val="clear" w:color="000000" w:fill="FFFFFF"/>
            <w:vAlign w:val="center"/>
            <w:hideMark/>
          </w:tcPr>
          <w:p w:rsidR="006141C6" w:rsidRPr="003F4258"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3F4258" w:rsidRDefault="006141C6" w:rsidP="004623D7">
            <w:pPr>
              <w:spacing w:before="120" w:after="120" w:line="240" w:lineRule="auto"/>
              <w:jc w:val="both"/>
              <w:rPr>
                <w:color w:val="0D0D0D"/>
                <w:sz w:val="20"/>
                <w:szCs w:val="20"/>
                <w:lang w:val="tr-TR"/>
              </w:rPr>
            </w:pPr>
            <w:r w:rsidRPr="003F4258">
              <w:rPr>
                <w:b/>
                <w:color w:val="0D0D0D"/>
                <w:sz w:val="20"/>
                <w:szCs w:val="20"/>
                <w:lang w:val="tr-TR"/>
              </w:rPr>
              <w:t xml:space="preserve">Metodoloji, veri kaynağı ve istatistiksel tekniklere ilişkin büyük değişikliklerin önceden duyurulup duyurulmadığı: </w:t>
            </w:r>
            <w:r w:rsidR="006A457F" w:rsidRPr="003F4258">
              <w:rPr>
                <w:color w:val="0D0D0D"/>
                <w:sz w:val="20"/>
                <w:szCs w:val="20"/>
                <w:lang w:val="tr-TR"/>
              </w:rPr>
              <w:t xml:space="preserve">Veride ve hesaplanmasında büyük bir değişiklik olduğu durumda </w:t>
            </w:r>
            <w:r w:rsidR="008B78FE">
              <w:rPr>
                <w:color w:val="0D0D0D"/>
                <w:sz w:val="20"/>
                <w:szCs w:val="20"/>
                <w:lang w:val="tr-TR"/>
              </w:rPr>
              <w:t>revizyon</w:t>
            </w:r>
            <w:r w:rsidR="0047176A">
              <w:rPr>
                <w:color w:val="0D0D0D"/>
                <w:sz w:val="20"/>
                <w:szCs w:val="20"/>
                <w:lang w:val="tr-TR"/>
              </w:rPr>
              <w:t xml:space="preserve"> ve hata</w:t>
            </w:r>
            <w:r w:rsidR="008B78FE">
              <w:rPr>
                <w:color w:val="0D0D0D"/>
                <w:sz w:val="20"/>
                <w:szCs w:val="20"/>
                <w:lang w:val="tr-TR"/>
              </w:rPr>
              <w:t xml:space="preserve"> politikasına uygun şekilde </w:t>
            </w:r>
            <w:r w:rsidR="006A457F" w:rsidRPr="003F4258">
              <w:rPr>
                <w:color w:val="0D0D0D"/>
                <w:sz w:val="20"/>
                <w:szCs w:val="20"/>
                <w:lang w:val="tr-TR"/>
              </w:rPr>
              <w:t>duyurulacaktır.</w:t>
            </w:r>
          </w:p>
          <w:p w:rsidR="006141C6" w:rsidRPr="003F4258" w:rsidRDefault="006141C6" w:rsidP="004623D7">
            <w:pPr>
              <w:spacing w:before="120" w:after="120" w:line="240" w:lineRule="auto"/>
              <w:jc w:val="both"/>
              <w:rPr>
                <w:color w:val="0D0D0D"/>
                <w:sz w:val="20"/>
                <w:szCs w:val="20"/>
                <w:lang w:val="tr-TR"/>
              </w:rPr>
            </w:pPr>
          </w:p>
        </w:tc>
      </w:tr>
      <w:tr w:rsidR="0019150D" w:rsidRPr="003F4258" w:rsidTr="0008287C">
        <w:trPr>
          <w:trHeight w:val="49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3F4258" w:rsidRDefault="0019150D" w:rsidP="008F2072">
            <w:pPr>
              <w:spacing w:after="0" w:line="240" w:lineRule="auto"/>
              <w:rPr>
                <w:b/>
                <w:bCs/>
                <w:color w:val="FFFFFF"/>
                <w:sz w:val="24"/>
                <w:szCs w:val="24"/>
                <w:lang w:val="tr-TR"/>
              </w:rPr>
            </w:pPr>
            <w:r w:rsidRPr="003F4258">
              <w:rPr>
                <w:b/>
                <w:bCs/>
                <w:color w:val="FFFFFF"/>
                <w:sz w:val="24"/>
                <w:szCs w:val="24"/>
                <w:lang w:val="tr-TR"/>
              </w:rPr>
              <w:t>Kalite</w:t>
            </w:r>
          </w:p>
        </w:tc>
      </w:tr>
      <w:tr w:rsidR="0019150D" w:rsidRPr="003F4258" w:rsidTr="00514923">
        <w:trPr>
          <w:trHeight w:val="82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rsidR="0019150D" w:rsidRPr="003F4258" w:rsidRDefault="0019150D" w:rsidP="008F2072">
            <w:pPr>
              <w:spacing w:after="0" w:line="240" w:lineRule="auto"/>
              <w:rPr>
                <w:b/>
                <w:color w:val="000000"/>
                <w:lang w:val="tr-TR"/>
              </w:rPr>
            </w:pPr>
            <w:r w:rsidRPr="003F4258">
              <w:rPr>
                <w:b/>
                <w:color w:val="000000"/>
                <w:lang w:val="tr-TR"/>
              </w:rPr>
              <w:t xml:space="preserve">İstatistiklerin hazırlanmasında kullanılan yöntem ve kaynaklara ait dokümantasyonun </w:t>
            </w:r>
            <w:bookmarkStart w:id="0" w:name="_GoBack"/>
            <w:bookmarkEnd w:id="0"/>
            <w:r w:rsidRPr="003F4258">
              <w:rPr>
                <w:b/>
                <w:color w:val="000000"/>
                <w:lang w:val="tr-TR"/>
              </w:rPr>
              <w:t>yayımlanması</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3F4258" w:rsidRDefault="00615FCC" w:rsidP="004623D7">
            <w:pPr>
              <w:spacing w:before="120" w:after="120" w:line="240" w:lineRule="auto"/>
              <w:jc w:val="both"/>
              <w:rPr>
                <w:color w:val="000000"/>
                <w:sz w:val="20"/>
                <w:szCs w:val="20"/>
                <w:lang w:val="tr-TR"/>
              </w:rPr>
            </w:pPr>
            <w:r w:rsidRPr="003F4258">
              <w:rPr>
                <w:color w:val="000000"/>
                <w:sz w:val="20"/>
                <w:szCs w:val="20"/>
                <w:lang w:val="tr-TR"/>
              </w:rPr>
              <w:t>Yayımlanmamaktadır.</w:t>
            </w:r>
          </w:p>
        </w:tc>
      </w:tr>
      <w:tr w:rsidR="000E69BE" w:rsidRPr="003F4258" w:rsidTr="00514923">
        <w:trPr>
          <w:trHeight w:val="706"/>
        </w:trPr>
        <w:tc>
          <w:tcPr>
            <w:tcW w:w="2431" w:type="dxa"/>
            <w:vMerge w:val="restart"/>
            <w:tcBorders>
              <w:top w:val="single" w:sz="8" w:space="0" w:color="943634"/>
              <w:left w:val="single" w:sz="8" w:space="0" w:color="943634"/>
              <w:right w:val="single" w:sz="8" w:space="0" w:color="943634"/>
            </w:tcBorders>
            <w:shd w:val="clear" w:color="auto" w:fill="auto"/>
            <w:hideMark/>
          </w:tcPr>
          <w:p w:rsidR="000E69BE" w:rsidRPr="003F4258" w:rsidRDefault="000E69BE" w:rsidP="008F2072">
            <w:pPr>
              <w:spacing w:after="0" w:line="240" w:lineRule="auto"/>
              <w:rPr>
                <w:b/>
                <w:color w:val="000000"/>
                <w:lang w:val="tr-TR"/>
              </w:rPr>
            </w:pPr>
            <w:r w:rsidRPr="003F4258">
              <w:rPr>
                <w:b/>
                <w:color w:val="000000"/>
                <w:lang w:val="tr-TR"/>
              </w:rPr>
              <w:t>Bileşen detayının, ilgili veri ile uyumlaştırmanın, kabul edilebilirliğinin güvencesini sağlayan ve istatistiksel çapraz sorguları destekleyen istatistiksel çerçevenin yayımlanması</w:t>
            </w:r>
          </w:p>
          <w:p w:rsidR="000E69BE" w:rsidRPr="003F4258" w:rsidRDefault="000E69BE" w:rsidP="008F2072">
            <w:pPr>
              <w:spacing w:after="0" w:line="240" w:lineRule="auto"/>
              <w:rPr>
                <w:b/>
                <w:color w:val="000000"/>
                <w:lang w:val="tr-TR"/>
              </w:rPr>
            </w:pPr>
            <w:r w:rsidRPr="003F4258">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E06C32" w:rsidRPr="003F4258" w:rsidRDefault="000E69BE" w:rsidP="004623D7">
            <w:pPr>
              <w:spacing w:before="120" w:after="120" w:line="240" w:lineRule="auto"/>
              <w:jc w:val="both"/>
              <w:rPr>
                <w:sz w:val="20"/>
                <w:szCs w:val="20"/>
                <w:lang w:val="tr-TR"/>
              </w:rPr>
            </w:pPr>
            <w:r w:rsidRPr="003F4258">
              <w:rPr>
                <w:b/>
                <w:color w:val="000000"/>
                <w:sz w:val="20"/>
                <w:szCs w:val="20"/>
                <w:lang w:val="tr-TR"/>
              </w:rPr>
              <w:t>Verinin içsel tutarlılığı:</w:t>
            </w:r>
            <w:r w:rsidR="00615FCC" w:rsidRPr="003F4258">
              <w:rPr>
                <w:color w:val="000000"/>
                <w:sz w:val="20"/>
                <w:szCs w:val="20"/>
                <w:lang w:val="tr-TR"/>
              </w:rPr>
              <w:t xml:space="preserve"> </w:t>
            </w:r>
            <w:r w:rsidR="00F154F0">
              <w:rPr>
                <w:color w:val="000000"/>
                <w:sz w:val="20"/>
                <w:szCs w:val="20"/>
                <w:lang w:val="tr-TR"/>
              </w:rPr>
              <w:t>İstatistikler idari kayıtlar kullanılarak hesaplanmakta olup, v</w:t>
            </w:r>
            <w:r w:rsidR="000C4091" w:rsidRPr="00BC6BA8">
              <w:rPr>
                <w:color w:val="000000"/>
                <w:sz w:val="20"/>
                <w:szCs w:val="20"/>
                <w:lang w:val="tr-TR"/>
              </w:rPr>
              <w:t>eri tutarlılık kontrolü yapıldıktan sonra yayımlanmaktadır</w:t>
            </w:r>
            <w:r w:rsidR="000C4091">
              <w:rPr>
                <w:color w:val="000000"/>
                <w:sz w:val="20"/>
                <w:szCs w:val="20"/>
                <w:lang w:val="tr-TR"/>
              </w:rPr>
              <w:t>.</w:t>
            </w:r>
          </w:p>
        </w:tc>
      </w:tr>
      <w:tr w:rsidR="000E69BE" w:rsidRPr="003F4258" w:rsidTr="00514923">
        <w:trPr>
          <w:trHeight w:val="540"/>
        </w:trPr>
        <w:tc>
          <w:tcPr>
            <w:tcW w:w="2431" w:type="dxa"/>
            <w:vMerge/>
            <w:tcBorders>
              <w:left w:val="single" w:sz="8" w:space="0" w:color="943634"/>
              <w:right w:val="single" w:sz="8" w:space="0" w:color="943634"/>
            </w:tcBorders>
            <w:shd w:val="clear" w:color="auto" w:fill="auto"/>
            <w:vAlign w:val="center"/>
            <w:hideMark/>
          </w:tcPr>
          <w:p w:rsidR="000E69BE" w:rsidRPr="003F4258" w:rsidRDefault="000E69BE"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E06C32" w:rsidRPr="003F4258" w:rsidRDefault="000E69BE" w:rsidP="004623D7">
            <w:pPr>
              <w:spacing w:before="120" w:after="120" w:line="240" w:lineRule="auto"/>
              <w:jc w:val="both"/>
              <w:rPr>
                <w:color w:val="0D0D0D"/>
                <w:sz w:val="20"/>
                <w:szCs w:val="20"/>
                <w:lang w:val="tr-TR"/>
              </w:rPr>
            </w:pPr>
            <w:r w:rsidRPr="003F4258">
              <w:rPr>
                <w:b/>
                <w:color w:val="000000"/>
                <w:sz w:val="20"/>
                <w:szCs w:val="20"/>
                <w:lang w:val="tr-TR"/>
              </w:rPr>
              <w:t>Verinin zamansal tutarlılığı:</w:t>
            </w:r>
            <w:r w:rsidR="00786C61">
              <w:rPr>
                <w:b/>
                <w:color w:val="000000"/>
                <w:sz w:val="20"/>
                <w:szCs w:val="20"/>
                <w:lang w:val="tr-TR"/>
              </w:rPr>
              <w:t xml:space="preserve"> </w:t>
            </w:r>
            <w:r w:rsidR="00786C61" w:rsidRPr="00A526B4">
              <w:rPr>
                <w:color w:val="000000"/>
                <w:sz w:val="20"/>
                <w:szCs w:val="20"/>
                <w:lang w:val="tr-TR"/>
              </w:rPr>
              <w:t>Zamansal tutarlılığı mevcuttur</w:t>
            </w:r>
            <w:r w:rsidR="00786C61">
              <w:rPr>
                <w:b/>
                <w:color w:val="000000"/>
                <w:sz w:val="20"/>
                <w:szCs w:val="20"/>
                <w:lang w:val="tr-TR"/>
              </w:rPr>
              <w:t>.</w:t>
            </w:r>
            <w:r w:rsidRPr="003F4258">
              <w:rPr>
                <w:color w:val="000000"/>
                <w:sz w:val="20"/>
                <w:szCs w:val="20"/>
                <w:lang w:val="tr-TR"/>
              </w:rPr>
              <w:t xml:space="preserve"> </w:t>
            </w:r>
            <w:r w:rsidR="00615FCC" w:rsidRPr="003F4258">
              <w:rPr>
                <w:color w:val="000000"/>
                <w:sz w:val="20"/>
                <w:szCs w:val="20"/>
                <w:lang w:val="tr-TR"/>
              </w:rPr>
              <w:t xml:space="preserve">Veri </w:t>
            </w:r>
            <w:r w:rsidR="00E81350">
              <w:rPr>
                <w:color w:val="000000"/>
                <w:sz w:val="20"/>
                <w:szCs w:val="20"/>
                <w:lang w:val="tr-TR"/>
              </w:rPr>
              <w:t xml:space="preserve">son 21 yılı </w:t>
            </w:r>
            <w:r w:rsidR="00EE1C12">
              <w:rPr>
                <w:color w:val="000000"/>
                <w:sz w:val="20"/>
                <w:szCs w:val="20"/>
                <w:lang w:val="tr-TR"/>
              </w:rPr>
              <w:t>içerir şekilde</w:t>
            </w:r>
            <w:r w:rsidR="00C50320">
              <w:rPr>
                <w:color w:val="000000"/>
                <w:sz w:val="20"/>
                <w:szCs w:val="20"/>
                <w:lang w:val="tr-TR"/>
              </w:rPr>
              <w:t xml:space="preserve"> yıllık olarak</w:t>
            </w:r>
            <w:r w:rsidR="00EE1C12">
              <w:rPr>
                <w:color w:val="000000"/>
                <w:sz w:val="20"/>
                <w:szCs w:val="20"/>
                <w:lang w:val="tr-TR"/>
              </w:rPr>
              <w:t xml:space="preserve"> yayınlanmaktadır</w:t>
            </w:r>
            <w:r w:rsidR="00615FCC" w:rsidRPr="003F4258">
              <w:rPr>
                <w:color w:val="000000"/>
                <w:sz w:val="20"/>
                <w:szCs w:val="20"/>
                <w:lang w:val="tr-TR"/>
              </w:rPr>
              <w:t>.</w:t>
            </w:r>
          </w:p>
        </w:tc>
      </w:tr>
      <w:tr w:rsidR="000E69BE" w:rsidRPr="003F4258" w:rsidTr="00514923">
        <w:trPr>
          <w:trHeight w:val="810"/>
        </w:trPr>
        <w:tc>
          <w:tcPr>
            <w:tcW w:w="2431" w:type="dxa"/>
            <w:vMerge/>
            <w:tcBorders>
              <w:left w:val="single" w:sz="8" w:space="0" w:color="943634"/>
              <w:right w:val="single" w:sz="8" w:space="0" w:color="943634"/>
            </w:tcBorders>
            <w:shd w:val="clear" w:color="auto" w:fill="auto"/>
            <w:vAlign w:val="center"/>
            <w:hideMark/>
          </w:tcPr>
          <w:p w:rsidR="000E69BE" w:rsidRPr="003F4258" w:rsidRDefault="000E69BE" w:rsidP="008F2072">
            <w:pPr>
              <w:spacing w:after="0" w:line="240" w:lineRule="auto"/>
              <w:rPr>
                <w:b/>
                <w:color w:val="000000"/>
                <w:lang w:val="tr-TR"/>
              </w:rPr>
            </w:pPr>
          </w:p>
        </w:tc>
        <w:tc>
          <w:tcPr>
            <w:tcW w:w="8969" w:type="dxa"/>
            <w:tcBorders>
              <w:top w:val="nil"/>
              <w:left w:val="single" w:sz="8" w:space="0" w:color="943634"/>
              <w:right w:val="single" w:sz="8" w:space="0" w:color="943634"/>
            </w:tcBorders>
            <w:shd w:val="clear" w:color="auto" w:fill="auto"/>
            <w:vAlign w:val="center"/>
            <w:hideMark/>
          </w:tcPr>
          <w:p w:rsidR="000E69BE" w:rsidRDefault="000E69BE" w:rsidP="004623D7">
            <w:pPr>
              <w:spacing w:before="120" w:after="120" w:line="240" w:lineRule="auto"/>
              <w:jc w:val="both"/>
              <w:rPr>
                <w:color w:val="000000"/>
                <w:sz w:val="20"/>
                <w:szCs w:val="20"/>
                <w:lang w:val="tr-TR"/>
              </w:rPr>
            </w:pPr>
            <w:r w:rsidRPr="003F4258">
              <w:rPr>
                <w:b/>
                <w:color w:val="000000"/>
                <w:sz w:val="20"/>
                <w:szCs w:val="20"/>
                <w:lang w:val="tr-TR"/>
              </w:rPr>
              <w:t>Verinin sektörler arası ve alanlar arası tutarlılığı:</w:t>
            </w:r>
            <w:r w:rsidR="00615FCC" w:rsidRPr="003F4258">
              <w:rPr>
                <w:color w:val="000000"/>
                <w:sz w:val="20"/>
                <w:szCs w:val="20"/>
                <w:lang w:val="tr-TR"/>
              </w:rPr>
              <w:t xml:space="preserve"> </w:t>
            </w:r>
            <w:r w:rsidR="005C5E93">
              <w:rPr>
                <w:color w:val="000000"/>
                <w:sz w:val="20"/>
                <w:szCs w:val="20"/>
                <w:lang w:val="tr-TR"/>
              </w:rPr>
              <w:t xml:space="preserve">Enerji Yoğunluğu ve Endeksleri istatistiği sadece Enerji ve Tabii Kaynaklar Bakanlığı/Enerji Verimliliği ve Çevre Dairesi Başkanlığı tarafından </w:t>
            </w:r>
            <w:r w:rsidR="005C5E93" w:rsidRPr="005C5E93">
              <w:rPr>
                <w:color w:val="000000"/>
                <w:sz w:val="20"/>
                <w:szCs w:val="20"/>
                <w:lang w:val="tr-TR"/>
              </w:rPr>
              <w:t>üretildiğinden dolayı diğer sektörler ve alanlar arası tutarsızlığı söz konusu değildir</w:t>
            </w:r>
            <w:r w:rsidR="005C5E93">
              <w:rPr>
                <w:color w:val="000000"/>
                <w:sz w:val="20"/>
                <w:szCs w:val="20"/>
                <w:lang w:val="tr-TR"/>
              </w:rPr>
              <w:t>.</w:t>
            </w:r>
          </w:p>
          <w:p w:rsidR="00E06C32" w:rsidRPr="003F4258" w:rsidRDefault="00E06C32" w:rsidP="004623D7">
            <w:pPr>
              <w:spacing w:before="120" w:after="120" w:line="240" w:lineRule="auto"/>
              <w:jc w:val="both"/>
              <w:rPr>
                <w:sz w:val="20"/>
                <w:szCs w:val="20"/>
                <w:lang w:val="tr-TR"/>
              </w:rPr>
            </w:pPr>
          </w:p>
        </w:tc>
      </w:tr>
      <w:tr w:rsidR="00514923" w:rsidRPr="003F4258" w:rsidTr="002A78F1">
        <w:trPr>
          <w:trHeight w:val="514"/>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514923" w:rsidRPr="003F4258" w:rsidRDefault="00514923" w:rsidP="008F2072">
            <w:pPr>
              <w:spacing w:after="0" w:line="240" w:lineRule="auto"/>
              <w:rPr>
                <w:b/>
                <w:bCs/>
                <w:color w:val="FFFFFF"/>
                <w:sz w:val="24"/>
                <w:szCs w:val="24"/>
                <w:lang w:val="tr-TR"/>
              </w:rPr>
            </w:pPr>
            <w:r w:rsidRPr="003F4258">
              <w:rPr>
                <w:b/>
                <w:bCs/>
                <w:color w:val="FFFFFF"/>
                <w:sz w:val="24"/>
                <w:szCs w:val="24"/>
                <w:lang w:val="tr-TR"/>
              </w:rPr>
              <w:t>Notlar</w:t>
            </w:r>
          </w:p>
        </w:tc>
      </w:tr>
      <w:tr w:rsidR="0019150D" w:rsidRPr="003F4258" w:rsidTr="00514923">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3F4258" w:rsidRDefault="0019150D" w:rsidP="008F2072">
            <w:pPr>
              <w:spacing w:after="0" w:line="240" w:lineRule="auto"/>
              <w:rPr>
                <w:b/>
                <w:color w:val="000000"/>
                <w:lang w:val="tr-TR"/>
              </w:rPr>
            </w:pPr>
            <w:proofErr w:type="spellStart"/>
            <w:r w:rsidRPr="003F4258">
              <w:rPr>
                <w:b/>
                <w:color w:val="000000"/>
                <w:lang w:val="tr-TR"/>
              </w:rPr>
              <w:t>Metaverinin</w:t>
            </w:r>
            <w:proofErr w:type="spellEnd"/>
            <w:r w:rsidRPr="003F4258">
              <w:rPr>
                <w:b/>
                <w:color w:val="000000"/>
                <w:lang w:val="tr-TR"/>
              </w:rPr>
              <w:t xml:space="preserve"> son gönderilme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3F4258" w:rsidRDefault="0019150D" w:rsidP="004623D7">
            <w:pPr>
              <w:spacing w:before="120" w:after="120" w:line="240" w:lineRule="auto"/>
              <w:jc w:val="both"/>
              <w:rPr>
                <w:color w:val="000000"/>
                <w:sz w:val="20"/>
                <w:szCs w:val="20"/>
                <w:lang w:val="tr-TR"/>
              </w:rPr>
            </w:pPr>
            <w:r w:rsidRPr="003F4258">
              <w:rPr>
                <w:color w:val="000000"/>
                <w:sz w:val="20"/>
                <w:szCs w:val="20"/>
                <w:lang w:val="tr-TR"/>
              </w:rPr>
              <w:t> </w:t>
            </w:r>
          </w:p>
        </w:tc>
      </w:tr>
      <w:tr w:rsidR="0019150D" w:rsidRPr="003F4258" w:rsidTr="00514923">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3F4258" w:rsidRDefault="0019150D" w:rsidP="008F2072">
            <w:pPr>
              <w:spacing w:after="0" w:line="240" w:lineRule="auto"/>
              <w:rPr>
                <w:b/>
                <w:color w:val="000000"/>
                <w:lang w:val="tr-TR"/>
              </w:rPr>
            </w:pPr>
            <w:proofErr w:type="spellStart"/>
            <w:r w:rsidRPr="003F4258">
              <w:rPr>
                <w:b/>
                <w:color w:val="000000"/>
                <w:lang w:val="tr-TR"/>
              </w:rPr>
              <w:t>Metaverinin</w:t>
            </w:r>
            <w:proofErr w:type="spellEnd"/>
            <w:r w:rsidRPr="003F4258">
              <w:rPr>
                <w:b/>
                <w:color w:val="000000"/>
                <w:lang w:val="tr-TR"/>
              </w:rPr>
              <w:t xml:space="preserve"> son onaylanma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3F4258" w:rsidRDefault="0019150D" w:rsidP="004623D7">
            <w:pPr>
              <w:spacing w:before="120" w:after="120" w:line="240" w:lineRule="auto"/>
              <w:jc w:val="both"/>
              <w:rPr>
                <w:color w:val="000000"/>
                <w:sz w:val="20"/>
                <w:szCs w:val="20"/>
                <w:lang w:val="tr-TR"/>
              </w:rPr>
            </w:pPr>
            <w:r w:rsidRPr="003F4258">
              <w:rPr>
                <w:color w:val="000000"/>
                <w:sz w:val="20"/>
                <w:szCs w:val="20"/>
                <w:lang w:val="tr-TR"/>
              </w:rPr>
              <w:t> </w:t>
            </w:r>
          </w:p>
        </w:tc>
      </w:tr>
      <w:tr w:rsidR="0019150D" w:rsidRPr="003F4258" w:rsidTr="008F2072">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3F4258" w:rsidRDefault="0019150D" w:rsidP="008F2072">
            <w:pPr>
              <w:spacing w:after="0" w:line="240" w:lineRule="auto"/>
              <w:rPr>
                <w:b/>
                <w:color w:val="000000"/>
                <w:lang w:val="tr-TR"/>
              </w:rPr>
            </w:pPr>
            <w:proofErr w:type="spellStart"/>
            <w:r w:rsidRPr="003F4258">
              <w:rPr>
                <w:b/>
                <w:color w:val="000000"/>
                <w:lang w:val="tr-TR"/>
              </w:rPr>
              <w:t>Metaverinin</w:t>
            </w:r>
            <w:proofErr w:type="spellEnd"/>
            <w:r w:rsidRPr="003F4258">
              <w:rPr>
                <w:b/>
                <w:color w:val="000000"/>
                <w:lang w:val="tr-TR"/>
              </w:rPr>
              <w:t xml:space="preserve"> son güncellenme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3F4258" w:rsidRDefault="0019150D" w:rsidP="004623D7">
            <w:pPr>
              <w:spacing w:before="120" w:after="120" w:line="240" w:lineRule="auto"/>
              <w:jc w:val="both"/>
              <w:rPr>
                <w:color w:val="000000"/>
                <w:sz w:val="20"/>
                <w:szCs w:val="20"/>
                <w:lang w:val="tr-TR"/>
              </w:rPr>
            </w:pPr>
            <w:r w:rsidRPr="003F4258">
              <w:rPr>
                <w:color w:val="000000"/>
                <w:sz w:val="20"/>
                <w:szCs w:val="20"/>
                <w:lang w:val="tr-TR"/>
              </w:rPr>
              <w:t> </w:t>
            </w:r>
            <w:r w:rsidR="00250F65">
              <w:rPr>
                <w:color w:val="000000"/>
                <w:sz w:val="20"/>
                <w:szCs w:val="20"/>
                <w:lang w:val="tr-TR"/>
              </w:rPr>
              <w:t>26/07/2023</w:t>
            </w:r>
          </w:p>
        </w:tc>
      </w:tr>
      <w:tr w:rsidR="008F2072" w:rsidRPr="003F4258" w:rsidTr="008F2072">
        <w:trPr>
          <w:trHeight w:val="345"/>
        </w:trPr>
        <w:tc>
          <w:tcPr>
            <w:tcW w:w="2431" w:type="dxa"/>
            <w:tcBorders>
              <w:top w:val="single" w:sz="8" w:space="0" w:color="943634"/>
            </w:tcBorders>
            <w:shd w:val="clear" w:color="auto" w:fill="auto"/>
            <w:vAlign w:val="center"/>
            <w:hideMark/>
          </w:tcPr>
          <w:p w:rsidR="008F2072" w:rsidRPr="003F4258" w:rsidRDefault="008F2072" w:rsidP="008F2072">
            <w:pPr>
              <w:spacing w:after="0" w:line="240" w:lineRule="auto"/>
              <w:rPr>
                <w:b/>
                <w:color w:val="000000"/>
                <w:lang w:val="tr-TR"/>
              </w:rPr>
            </w:pPr>
          </w:p>
        </w:tc>
        <w:tc>
          <w:tcPr>
            <w:tcW w:w="8969" w:type="dxa"/>
            <w:tcBorders>
              <w:top w:val="single" w:sz="8" w:space="0" w:color="943634"/>
            </w:tcBorders>
            <w:shd w:val="clear" w:color="auto" w:fill="auto"/>
            <w:vAlign w:val="center"/>
            <w:hideMark/>
          </w:tcPr>
          <w:p w:rsidR="008F2072" w:rsidRPr="003F4258" w:rsidRDefault="008F2072" w:rsidP="008F2072">
            <w:pPr>
              <w:spacing w:after="0" w:line="240" w:lineRule="auto"/>
              <w:jc w:val="right"/>
              <w:rPr>
                <w:color w:val="000000"/>
                <w:sz w:val="20"/>
                <w:szCs w:val="20"/>
                <w:lang w:val="tr-TR"/>
              </w:rPr>
            </w:pPr>
            <w:r w:rsidRPr="003F4258">
              <w:rPr>
                <w:color w:val="943634"/>
                <w:sz w:val="20"/>
                <w:szCs w:val="20"/>
                <w:lang w:val="tr-TR"/>
              </w:rPr>
              <w:t xml:space="preserve">Resmi İstatistik </w:t>
            </w:r>
            <w:proofErr w:type="spellStart"/>
            <w:r w:rsidRPr="003F4258">
              <w:rPr>
                <w:color w:val="943634"/>
                <w:sz w:val="20"/>
                <w:szCs w:val="20"/>
                <w:lang w:val="tr-TR"/>
              </w:rPr>
              <w:t>Metaveri</w:t>
            </w:r>
            <w:proofErr w:type="spellEnd"/>
            <w:r w:rsidRPr="003F4258">
              <w:rPr>
                <w:color w:val="943634"/>
                <w:sz w:val="20"/>
                <w:szCs w:val="20"/>
                <w:lang w:val="tr-TR"/>
              </w:rPr>
              <w:t xml:space="preserve"> Şablonu, Versiyon 1</w:t>
            </w:r>
            <w:r w:rsidR="0075210A" w:rsidRPr="003F4258">
              <w:rPr>
                <w:color w:val="943634"/>
                <w:sz w:val="20"/>
                <w:szCs w:val="20"/>
                <w:lang w:val="tr-TR"/>
              </w:rPr>
              <w:t>.2</w:t>
            </w:r>
          </w:p>
        </w:tc>
      </w:tr>
    </w:tbl>
    <w:p w:rsidR="00CB2ED7" w:rsidRPr="003F4258" w:rsidRDefault="00CB2ED7" w:rsidP="006D70E7">
      <w:pPr>
        <w:rPr>
          <w:lang w:val="tr-TR"/>
        </w:rPr>
      </w:pPr>
    </w:p>
    <w:sectPr w:rsidR="00CB2ED7" w:rsidRPr="003F4258" w:rsidSect="0019150D">
      <w:footerReference w:type="default" r:id="rId1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BB" w:rsidRDefault="00A83EBB" w:rsidP="008D24E0">
      <w:pPr>
        <w:spacing w:after="0" w:line="240" w:lineRule="auto"/>
      </w:pPr>
      <w:r>
        <w:separator/>
      </w:r>
    </w:p>
  </w:endnote>
  <w:endnote w:type="continuationSeparator" w:id="0">
    <w:p w:rsidR="00A83EBB" w:rsidRDefault="00A83EBB" w:rsidP="008D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700577"/>
      <w:docPartObj>
        <w:docPartGallery w:val="Page Numbers (Bottom of Page)"/>
        <w:docPartUnique/>
      </w:docPartObj>
    </w:sdtPr>
    <w:sdtEndPr/>
    <w:sdtContent>
      <w:p w:rsidR="008D24E0" w:rsidRDefault="008D24E0">
        <w:pPr>
          <w:pStyle w:val="AltBilgi"/>
          <w:jc w:val="right"/>
        </w:pPr>
        <w:r>
          <w:fldChar w:fldCharType="begin"/>
        </w:r>
        <w:r>
          <w:instrText>PAGE   \* MERGEFORMAT</w:instrText>
        </w:r>
        <w:r>
          <w:fldChar w:fldCharType="separate"/>
        </w:r>
        <w:r w:rsidR="0085661C" w:rsidRPr="0085661C">
          <w:rPr>
            <w:noProof/>
            <w:lang w:val="tr-TR"/>
          </w:rPr>
          <w:t>4</w:t>
        </w:r>
        <w:r>
          <w:fldChar w:fldCharType="end"/>
        </w:r>
      </w:p>
    </w:sdtContent>
  </w:sdt>
  <w:p w:rsidR="008D24E0" w:rsidRDefault="008D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BB" w:rsidRDefault="00A83EBB" w:rsidP="008D24E0">
      <w:pPr>
        <w:spacing w:after="0" w:line="240" w:lineRule="auto"/>
      </w:pPr>
      <w:r>
        <w:separator/>
      </w:r>
    </w:p>
  </w:footnote>
  <w:footnote w:type="continuationSeparator" w:id="0">
    <w:p w:rsidR="00A83EBB" w:rsidRDefault="00A83EBB" w:rsidP="008D2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DF1"/>
    <w:multiLevelType w:val="hybridMultilevel"/>
    <w:tmpl w:val="3E2ED016"/>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4D0CFB"/>
    <w:multiLevelType w:val="hybridMultilevel"/>
    <w:tmpl w:val="3856A076"/>
    <w:lvl w:ilvl="0" w:tplc="C33A3288">
      <w:numFmt w:val="bullet"/>
      <w:lvlText w:val="-"/>
      <w:lvlJc w:val="left"/>
      <w:pPr>
        <w:ind w:left="786" w:hanging="360"/>
      </w:pPr>
      <w:rPr>
        <w:rFonts w:ascii="Calibri" w:eastAsia="Times New Roman" w:hAnsi="Calibri"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23760D65"/>
    <w:multiLevelType w:val="multilevel"/>
    <w:tmpl w:val="31DE5A94"/>
    <w:lvl w:ilvl="0">
      <w:start w:val="1"/>
      <w:numFmt w:val="bullet"/>
      <w:lvlText w:val=""/>
      <w:lvlJc w:val="left"/>
      <w:pPr>
        <w:tabs>
          <w:tab w:val="num" w:pos="1060"/>
        </w:tabs>
        <w:ind w:left="1060" w:hanging="360"/>
      </w:pPr>
      <w:rPr>
        <w:rFonts w:ascii="Wingdings" w:hAnsi="Wingdings" w:hint="default"/>
        <w:sz w:val="20"/>
      </w:rPr>
    </w:lvl>
    <w:lvl w:ilvl="1" w:tentative="1">
      <w:start w:val="1"/>
      <w:numFmt w:val="bullet"/>
      <w:lvlText w:val=""/>
      <w:lvlJc w:val="left"/>
      <w:pPr>
        <w:tabs>
          <w:tab w:val="num" w:pos="1780"/>
        </w:tabs>
        <w:ind w:left="1780" w:hanging="360"/>
      </w:pPr>
      <w:rPr>
        <w:rFonts w:ascii="Wingdings" w:hAnsi="Wingdings" w:hint="default"/>
        <w:sz w:val="20"/>
      </w:rPr>
    </w:lvl>
    <w:lvl w:ilvl="2" w:tentative="1">
      <w:start w:val="1"/>
      <w:numFmt w:val="bullet"/>
      <w:lvlText w:val=""/>
      <w:lvlJc w:val="left"/>
      <w:pPr>
        <w:tabs>
          <w:tab w:val="num" w:pos="2500"/>
        </w:tabs>
        <w:ind w:left="2500" w:hanging="360"/>
      </w:pPr>
      <w:rPr>
        <w:rFonts w:ascii="Wingdings" w:hAnsi="Wingdings" w:hint="default"/>
        <w:sz w:val="20"/>
      </w:rPr>
    </w:lvl>
    <w:lvl w:ilvl="3" w:tentative="1">
      <w:start w:val="1"/>
      <w:numFmt w:val="bullet"/>
      <w:lvlText w:val=""/>
      <w:lvlJc w:val="left"/>
      <w:pPr>
        <w:tabs>
          <w:tab w:val="num" w:pos="3220"/>
        </w:tabs>
        <w:ind w:left="3220" w:hanging="360"/>
      </w:pPr>
      <w:rPr>
        <w:rFonts w:ascii="Wingdings" w:hAnsi="Wingdings" w:hint="default"/>
        <w:sz w:val="20"/>
      </w:rPr>
    </w:lvl>
    <w:lvl w:ilvl="4" w:tentative="1">
      <w:start w:val="1"/>
      <w:numFmt w:val="bullet"/>
      <w:lvlText w:val=""/>
      <w:lvlJc w:val="left"/>
      <w:pPr>
        <w:tabs>
          <w:tab w:val="num" w:pos="3940"/>
        </w:tabs>
        <w:ind w:left="3940" w:hanging="360"/>
      </w:pPr>
      <w:rPr>
        <w:rFonts w:ascii="Wingdings" w:hAnsi="Wingdings" w:hint="default"/>
        <w:sz w:val="20"/>
      </w:rPr>
    </w:lvl>
    <w:lvl w:ilvl="5" w:tentative="1">
      <w:start w:val="1"/>
      <w:numFmt w:val="bullet"/>
      <w:lvlText w:val=""/>
      <w:lvlJc w:val="left"/>
      <w:pPr>
        <w:tabs>
          <w:tab w:val="num" w:pos="4660"/>
        </w:tabs>
        <w:ind w:left="4660" w:hanging="360"/>
      </w:pPr>
      <w:rPr>
        <w:rFonts w:ascii="Wingdings" w:hAnsi="Wingdings" w:hint="default"/>
        <w:sz w:val="20"/>
      </w:rPr>
    </w:lvl>
    <w:lvl w:ilvl="6" w:tentative="1">
      <w:start w:val="1"/>
      <w:numFmt w:val="bullet"/>
      <w:lvlText w:val=""/>
      <w:lvlJc w:val="left"/>
      <w:pPr>
        <w:tabs>
          <w:tab w:val="num" w:pos="5380"/>
        </w:tabs>
        <w:ind w:left="5380" w:hanging="360"/>
      </w:pPr>
      <w:rPr>
        <w:rFonts w:ascii="Wingdings" w:hAnsi="Wingdings" w:hint="default"/>
        <w:sz w:val="20"/>
      </w:rPr>
    </w:lvl>
    <w:lvl w:ilvl="7" w:tentative="1">
      <w:start w:val="1"/>
      <w:numFmt w:val="bullet"/>
      <w:lvlText w:val=""/>
      <w:lvlJc w:val="left"/>
      <w:pPr>
        <w:tabs>
          <w:tab w:val="num" w:pos="6100"/>
        </w:tabs>
        <w:ind w:left="6100" w:hanging="360"/>
      </w:pPr>
      <w:rPr>
        <w:rFonts w:ascii="Wingdings" w:hAnsi="Wingdings" w:hint="default"/>
        <w:sz w:val="20"/>
      </w:rPr>
    </w:lvl>
    <w:lvl w:ilvl="8" w:tentative="1">
      <w:start w:val="1"/>
      <w:numFmt w:val="bullet"/>
      <w:lvlText w:val=""/>
      <w:lvlJc w:val="left"/>
      <w:pPr>
        <w:tabs>
          <w:tab w:val="num" w:pos="6820"/>
        </w:tabs>
        <w:ind w:left="6820" w:hanging="360"/>
      </w:pPr>
      <w:rPr>
        <w:rFonts w:ascii="Wingdings" w:hAnsi="Wingdings" w:hint="default"/>
        <w:sz w:val="20"/>
      </w:rPr>
    </w:lvl>
  </w:abstractNum>
  <w:abstractNum w:abstractNumId="3" w15:restartNumberingAfterBreak="0">
    <w:nsid w:val="454948BD"/>
    <w:multiLevelType w:val="hybridMultilevel"/>
    <w:tmpl w:val="A37A2EDE"/>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A763ED"/>
    <w:multiLevelType w:val="hybridMultilevel"/>
    <w:tmpl w:val="73FCF40A"/>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8C20ED"/>
    <w:multiLevelType w:val="hybridMultilevel"/>
    <w:tmpl w:val="9CF28908"/>
    <w:lvl w:ilvl="0" w:tplc="C33A3288">
      <w:numFmt w:val="bullet"/>
      <w:lvlText w:val="-"/>
      <w:lvlJc w:val="left"/>
      <w:pPr>
        <w:ind w:left="360" w:hanging="360"/>
      </w:pPr>
      <w:rPr>
        <w:rFonts w:ascii="Calibri" w:eastAsia="Times New Roman" w:hAnsi="Calibri"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F84778E"/>
    <w:multiLevelType w:val="hybridMultilevel"/>
    <w:tmpl w:val="86A2877A"/>
    <w:lvl w:ilvl="0" w:tplc="5CCED17E">
      <w:start w:val="1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7DA3A6E"/>
    <w:multiLevelType w:val="hybridMultilevel"/>
    <w:tmpl w:val="964A1652"/>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357F38"/>
    <w:multiLevelType w:val="hybridMultilevel"/>
    <w:tmpl w:val="19B216D2"/>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FB93C0F"/>
    <w:multiLevelType w:val="hybridMultilevel"/>
    <w:tmpl w:val="7EC6F7A6"/>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7"/>
  </w:num>
  <w:num w:numId="6">
    <w:abstractNumId w:val="5"/>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formatting="1" w:enforcement="0"/>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0D"/>
    <w:rsid w:val="000168E1"/>
    <w:rsid w:val="000354B8"/>
    <w:rsid w:val="00041C92"/>
    <w:rsid w:val="00057F47"/>
    <w:rsid w:val="00066ED2"/>
    <w:rsid w:val="00070773"/>
    <w:rsid w:val="0008287C"/>
    <w:rsid w:val="000B421D"/>
    <w:rsid w:val="000B5FE1"/>
    <w:rsid w:val="000C0333"/>
    <w:rsid w:val="000C0A90"/>
    <w:rsid w:val="000C4091"/>
    <w:rsid w:val="000C6849"/>
    <w:rsid w:val="000E69BE"/>
    <w:rsid w:val="00100458"/>
    <w:rsid w:val="001014A3"/>
    <w:rsid w:val="00104212"/>
    <w:rsid w:val="001125F8"/>
    <w:rsid w:val="00132023"/>
    <w:rsid w:val="00151774"/>
    <w:rsid w:val="0016399F"/>
    <w:rsid w:val="0016606D"/>
    <w:rsid w:val="0019150D"/>
    <w:rsid w:val="00194CDA"/>
    <w:rsid w:val="001B17B8"/>
    <w:rsid w:val="001B1D79"/>
    <w:rsid w:val="001B4BF1"/>
    <w:rsid w:val="001E3F69"/>
    <w:rsid w:val="002022F0"/>
    <w:rsid w:val="00220BD9"/>
    <w:rsid w:val="0022721F"/>
    <w:rsid w:val="002330D4"/>
    <w:rsid w:val="00250F65"/>
    <w:rsid w:val="00275E17"/>
    <w:rsid w:val="00287CBF"/>
    <w:rsid w:val="002A69DA"/>
    <w:rsid w:val="002A78F1"/>
    <w:rsid w:val="002B1A3D"/>
    <w:rsid w:val="002B560F"/>
    <w:rsid w:val="002C771A"/>
    <w:rsid w:val="002F6B27"/>
    <w:rsid w:val="0030112B"/>
    <w:rsid w:val="00312EC7"/>
    <w:rsid w:val="00316E5F"/>
    <w:rsid w:val="00321982"/>
    <w:rsid w:val="00335F55"/>
    <w:rsid w:val="00346DCC"/>
    <w:rsid w:val="00350271"/>
    <w:rsid w:val="00354122"/>
    <w:rsid w:val="00374290"/>
    <w:rsid w:val="003805B8"/>
    <w:rsid w:val="003947A1"/>
    <w:rsid w:val="00395447"/>
    <w:rsid w:val="003A2B32"/>
    <w:rsid w:val="003B3C9D"/>
    <w:rsid w:val="003B4834"/>
    <w:rsid w:val="003C434E"/>
    <w:rsid w:val="003E2DB2"/>
    <w:rsid w:val="003F0F08"/>
    <w:rsid w:val="003F4258"/>
    <w:rsid w:val="003F7F0E"/>
    <w:rsid w:val="0041496F"/>
    <w:rsid w:val="004623D7"/>
    <w:rsid w:val="0047176A"/>
    <w:rsid w:val="00494FD8"/>
    <w:rsid w:val="00497E8F"/>
    <w:rsid w:val="004B3584"/>
    <w:rsid w:val="004C5F49"/>
    <w:rsid w:val="004E0751"/>
    <w:rsid w:val="004E53DF"/>
    <w:rsid w:val="004F03CD"/>
    <w:rsid w:val="004F3793"/>
    <w:rsid w:val="004F591E"/>
    <w:rsid w:val="0050275A"/>
    <w:rsid w:val="00514923"/>
    <w:rsid w:val="00540CA3"/>
    <w:rsid w:val="00542F75"/>
    <w:rsid w:val="005444AA"/>
    <w:rsid w:val="005622F1"/>
    <w:rsid w:val="00573659"/>
    <w:rsid w:val="00574912"/>
    <w:rsid w:val="005875F9"/>
    <w:rsid w:val="005A5D10"/>
    <w:rsid w:val="005C5E93"/>
    <w:rsid w:val="005D0C0F"/>
    <w:rsid w:val="005E6077"/>
    <w:rsid w:val="005F3BDB"/>
    <w:rsid w:val="006000CC"/>
    <w:rsid w:val="006009AE"/>
    <w:rsid w:val="00601334"/>
    <w:rsid w:val="00604F00"/>
    <w:rsid w:val="00606916"/>
    <w:rsid w:val="006141C6"/>
    <w:rsid w:val="00615FCC"/>
    <w:rsid w:val="0062175B"/>
    <w:rsid w:val="00626314"/>
    <w:rsid w:val="00630FB0"/>
    <w:rsid w:val="0063399D"/>
    <w:rsid w:val="0063471C"/>
    <w:rsid w:val="006349AA"/>
    <w:rsid w:val="0063641F"/>
    <w:rsid w:val="00642A99"/>
    <w:rsid w:val="00643C8D"/>
    <w:rsid w:val="006449BB"/>
    <w:rsid w:val="00645FE3"/>
    <w:rsid w:val="006714E1"/>
    <w:rsid w:val="006805CF"/>
    <w:rsid w:val="006813B7"/>
    <w:rsid w:val="006848EE"/>
    <w:rsid w:val="00687E9F"/>
    <w:rsid w:val="00690153"/>
    <w:rsid w:val="006A457F"/>
    <w:rsid w:val="006B2A14"/>
    <w:rsid w:val="006D70E7"/>
    <w:rsid w:val="006E18B6"/>
    <w:rsid w:val="006E5E02"/>
    <w:rsid w:val="007054C8"/>
    <w:rsid w:val="007125FD"/>
    <w:rsid w:val="007156DC"/>
    <w:rsid w:val="007267B1"/>
    <w:rsid w:val="00733DA6"/>
    <w:rsid w:val="00735C8C"/>
    <w:rsid w:val="00750C79"/>
    <w:rsid w:val="00750FAD"/>
    <w:rsid w:val="0075210A"/>
    <w:rsid w:val="00765209"/>
    <w:rsid w:val="00783CB9"/>
    <w:rsid w:val="00786C61"/>
    <w:rsid w:val="00787E86"/>
    <w:rsid w:val="007C39AC"/>
    <w:rsid w:val="007C4CDA"/>
    <w:rsid w:val="007D3CB3"/>
    <w:rsid w:val="007D5C19"/>
    <w:rsid w:val="00801CB4"/>
    <w:rsid w:val="008028F8"/>
    <w:rsid w:val="0080761E"/>
    <w:rsid w:val="00823ECE"/>
    <w:rsid w:val="00830608"/>
    <w:rsid w:val="00831C20"/>
    <w:rsid w:val="008478AD"/>
    <w:rsid w:val="00851CAF"/>
    <w:rsid w:val="0085661C"/>
    <w:rsid w:val="00865491"/>
    <w:rsid w:val="00865AF0"/>
    <w:rsid w:val="00865BAE"/>
    <w:rsid w:val="00873934"/>
    <w:rsid w:val="0088302D"/>
    <w:rsid w:val="0089219E"/>
    <w:rsid w:val="008929EA"/>
    <w:rsid w:val="008952E0"/>
    <w:rsid w:val="008A0158"/>
    <w:rsid w:val="008A2405"/>
    <w:rsid w:val="008A3850"/>
    <w:rsid w:val="008B3BA9"/>
    <w:rsid w:val="008B78FE"/>
    <w:rsid w:val="008D24E0"/>
    <w:rsid w:val="008E6628"/>
    <w:rsid w:val="008F0095"/>
    <w:rsid w:val="008F0E7B"/>
    <w:rsid w:val="008F2072"/>
    <w:rsid w:val="0091249D"/>
    <w:rsid w:val="009208A6"/>
    <w:rsid w:val="00944BB3"/>
    <w:rsid w:val="00947394"/>
    <w:rsid w:val="0095705C"/>
    <w:rsid w:val="00961E7C"/>
    <w:rsid w:val="00963C84"/>
    <w:rsid w:val="009964AD"/>
    <w:rsid w:val="00997F7A"/>
    <w:rsid w:val="009A277C"/>
    <w:rsid w:val="009A39C5"/>
    <w:rsid w:val="009B2D61"/>
    <w:rsid w:val="009C09D0"/>
    <w:rsid w:val="009C5075"/>
    <w:rsid w:val="009E1E8A"/>
    <w:rsid w:val="00A004EC"/>
    <w:rsid w:val="00A07A82"/>
    <w:rsid w:val="00A11A11"/>
    <w:rsid w:val="00A259B5"/>
    <w:rsid w:val="00A377C0"/>
    <w:rsid w:val="00A511E3"/>
    <w:rsid w:val="00A526B4"/>
    <w:rsid w:val="00A60663"/>
    <w:rsid w:val="00A751C7"/>
    <w:rsid w:val="00A83EBB"/>
    <w:rsid w:val="00AD200D"/>
    <w:rsid w:val="00AF6BFF"/>
    <w:rsid w:val="00AF702D"/>
    <w:rsid w:val="00B01F0C"/>
    <w:rsid w:val="00B23510"/>
    <w:rsid w:val="00B42B76"/>
    <w:rsid w:val="00B433FC"/>
    <w:rsid w:val="00B566C8"/>
    <w:rsid w:val="00B72F2B"/>
    <w:rsid w:val="00B73E28"/>
    <w:rsid w:val="00B74D14"/>
    <w:rsid w:val="00B81D4B"/>
    <w:rsid w:val="00B91D38"/>
    <w:rsid w:val="00BA1B63"/>
    <w:rsid w:val="00BA7950"/>
    <w:rsid w:val="00BC5AC3"/>
    <w:rsid w:val="00BC6BA8"/>
    <w:rsid w:val="00BE0001"/>
    <w:rsid w:val="00BF23B8"/>
    <w:rsid w:val="00BF275B"/>
    <w:rsid w:val="00BF533D"/>
    <w:rsid w:val="00BF717A"/>
    <w:rsid w:val="00C0506E"/>
    <w:rsid w:val="00C15A65"/>
    <w:rsid w:val="00C20C61"/>
    <w:rsid w:val="00C3642A"/>
    <w:rsid w:val="00C50320"/>
    <w:rsid w:val="00C62512"/>
    <w:rsid w:val="00C633D3"/>
    <w:rsid w:val="00C86964"/>
    <w:rsid w:val="00C943EF"/>
    <w:rsid w:val="00C97288"/>
    <w:rsid w:val="00CA571F"/>
    <w:rsid w:val="00CB2ED7"/>
    <w:rsid w:val="00CB376D"/>
    <w:rsid w:val="00CB746C"/>
    <w:rsid w:val="00CD5D85"/>
    <w:rsid w:val="00CD77FD"/>
    <w:rsid w:val="00CF4830"/>
    <w:rsid w:val="00D04C42"/>
    <w:rsid w:val="00D229D0"/>
    <w:rsid w:val="00D35EBE"/>
    <w:rsid w:val="00D5497B"/>
    <w:rsid w:val="00D60136"/>
    <w:rsid w:val="00D66567"/>
    <w:rsid w:val="00D8238D"/>
    <w:rsid w:val="00D878AF"/>
    <w:rsid w:val="00D94679"/>
    <w:rsid w:val="00DA1754"/>
    <w:rsid w:val="00DA72B6"/>
    <w:rsid w:val="00DB2DC5"/>
    <w:rsid w:val="00DD0A68"/>
    <w:rsid w:val="00DE45D6"/>
    <w:rsid w:val="00DF5F99"/>
    <w:rsid w:val="00E06C32"/>
    <w:rsid w:val="00E11CA1"/>
    <w:rsid w:val="00E22FD8"/>
    <w:rsid w:val="00E24E35"/>
    <w:rsid w:val="00E26314"/>
    <w:rsid w:val="00E44E58"/>
    <w:rsid w:val="00E50F1C"/>
    <w:rsid w:val="00E5714B"/>
    <w:rsid w:val="00E57D5A"/>
    <w:rsid w:val="00E70391"/>
    <w:rsid w:val="00E81350"/>
    <w:rsid w:val="00E90386"/>
    <w:rsid w:val="00EA7E29"/>
    <w:rsid w:val="00EB5329"/>
    <w:rsid w:val="00EC30A7"/>
    <w:rsid w:val="00EC6BA6"/>
    <w:rsid w:val="00ED5088"/>
    <w:rsid w:val="00ED5B6E"/>
    <w:rsid w:val="00EE1C12"/>
    <w:rsid w:val="00EF24E5"/>
    <w:rsid w:val="00F031C6"/>
    <w:rsid w:val="00F07528"/>
    <w:rsid w:val="00F154F0"/>
    <w:rsid w:val="00F31339"/>
    <w:rsid w:val="00F41CE5"/>
    <w:rsid w:val="00F43BB0"/>
    <w:rsid w:val="00F81579"/>
    <w:rsid w:val="00F8473D"/>
    <w:rsid w:val="00FB1AFD"/>
    <w:rsid w:val="00FB5985"/>
    <w:rsid w:val="00FC771D"/>
    <w:rsid w:val="00FD1AEA"/>
    <w:rsid w:val="00FD1F4D"/>
    <w:rsid w:val="00FD4F43"/>
    <w:rsid w:val="00FE1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6E1D"/>
  <w15:chartTrackingRefBased/>
  <w15:docId w15:val="{3DA4F9A3-1505-4B70-8744-D3DA6319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1F"/>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CA571F"/>
    <w:pPr>
      <w:spacing w:before="480" w:after="0"/>
      <w:contextualSpacing/>
      <w:outlineLvl w:val="0"/>
    </w:pPr>
    <w:rPr>
      <w:rFonts w:ascii="Cambria" w:hAnsi="Cambria"/>
      <w:b/>
      <w:bCs/>
      <w:sz w:val="28"/>
      <w:szCs w:val="28"/>
    </w:rPr>
  </w:style>
  <w:style w:type="paragraph" w:styleId="Balk2">
    <w:name w:val="heading 2"/>
    <w:basedOn w:val="Normal"/>
    <w:next w:val="Normal"/>
    <w:link w:val="Balk2Char"/>
    <w:uiPriority w:val="9"/>
    <w:semiHidden/>
    <w:unhideWhenUsed/>
    <w:qFormat/>
    <w:rsid w:val="00CA571F"/>
    <w:pPr>
      <w:spacing w:before="200" w:after="0"/>
      <w:outlineLvl w:val="1"/>
    </w:pPr>
    <w:rPr>
      <w:rFonts w:ascii="Cambria" w:hAnsi="Cambria"/>
      <w:b/>
      <w:bCs/>
      <w:sz w:val="26"/>
      <w:szCs w:val="26"/>
    </w:rPr>
  </w:style>
  <w:style w:type="paragraph" w:styleId="Balk3">
    <w:name w:val="heading 3"/>
    <w:basedOn w:val="Normal"/>
    <w:next w:val="Normal"/>
    <w:link w:val="Balk3Char"/>
    <w:uiPriority w:val="9"/>
    <w:semiHidden/>
    <w:unhideWhenUsed/>
    <w:qFormat/>
    <w:rsid w:val="00CA571F"/>
    <w:pPr>
      <w:spacing w:before="200" w:after="0" w:line="271" w:lineRule="auto"/>
      <w:outlineLvl w:val="2"/>
    </w:pPr>
    <w:rPr>
      <w:rFonts w:ascii="Cambria" w:hAnsi="Cambria"/>
      <w:b/>
      <w:bCs/>
    </w:rPr>
  </w:style>
  <w:style w:type="paragraph" w:styleId="Balk4">
    <w:name w:val="heading 4"/>
    <w:basedOn w:val="Normal"/>
    <w:next w:val="Normal"/>
    <w:link w:val="Balk4Char"/>
    <w:uiPriority w:val="9"/>
    <w:semiHidden/>
    <w:unhideWhenUsed/>
    <w:qFormat/>
    <w:rsid w:val="00CA571F"/>
    <w:pPr>
      <w:spacing w:before="200" w:after="0"/>
      <w:outlineLvl w:val="3"/>
    </w:pPr>
    <w:rPr>
      <w:rFonts w:ascii="Cambria" w:hAnsi="Cambria"/>
      <w:b/>
      <w:bCs/>
      <w:i/>
      <w:iCs/>
    </w:rPr>
  </w:style>
  <w:style w:type="paragraph" w:styleId="Balk5">
    <w:name w:val="heading 5"/>
    <w:basedOn w:val="Normal"/>
    <w:next w:val="Normal"/>
    <w:link w:val="Balk5Char"/>
    <w:uiPriority w:val="9"/>
    <w:semiHidden/>
    <w:unhideWhenUsed/>
    <w:qFormat/>
    <w:rsid w:val="00CA571F"/>
    <w:pPr>
      <w:spacing w:before="200" w:after="0"/>
      <w:outlineLvl w:val="4"/>
    </w:pPr>
    <w:rPr>
      <w:rFonts w:ascii="Cambria" w:hAnsi="Cambria"/>
      <w:b/>
      <w:bCs/>
      <w:color w:val="7F7F7F"/>
    </w:rPr>
  </w:style>
  <w:style w:type="paragraph" w:styleId="Balk6">
    <w:name w:val="heading 6"/>
    <w:basedOn w:val="Normal"/>
    <w:next w:val="Normal"/>
    <w:link w:val="Balk6Char"/>
    <w:uiPriority w:val="9"/>
    <w:semiHidden/>
    <w:unhideWhenUsed/>
    <w:qFormat/>
    <w:rsid w:val="00CA571F"/>
    <w:pPr>
      <w:spacing w:after="0" w:line="271" w:lineRule="auto"/>
      <w:outlineLvl w:val="5"/>
    </w:pPr>
    <w:rPr>
      <w:rFonts w:ascii="Cambria" w:hAnsi="Cambria"/>
      <w:b/>
      <w:bCs/>
      <w:i/>
      <w:iCs/>
      <w:color w:val="7F7F7F"/>
    </w:rPr>
  </w:style>
  <w:style w:type="paragraph" w:styleId="Balk7">
    <w:name w:val="heading 7"/>
    <w:basedOn w:val="Normal"/>
    <w:next w:val="Normal"/>
    <w:link w:val="Balk7Char"/>
    <w:uiPriority w:val="9"/>
    <w:semiHidden/>
    <w:unhideWhenUsed/>
    <w:qFormat/>
    <w:rsid w:val="00CA571F"/>
    <w:pPr>
      <w:spacing w:after="0"/>
      <w:outlineLvl w:val="6"/>
    </w:pPr>
    <w:rPr>
      <w:rFonts w:ascii="Cambria" w:hAnsi="Cambria"/>
      <w:i/>
      <w:iCs/>
    </w:rPr>
  </w:style>
  <w:style w:type="paragraph" w:styleId="Balk8">
    <w:name w:val="heading 8"/>
    <w:basedOn w:val="Normal"/>
    <w:next w:val="Normal"/>
    <w:link w:val="Balk8Char"/>
    <w:uiPriority w:val="9"/>
    <w:semiHidden/>
    <w:unhideWhenUsed/>
    <w:qFormat/>
    <w:rsid w:val="00CA571F"/>
    <w:pPr>
      <w:spacing w:after="0"/>
      <w:outlineLvl w:val="7"/>
    </w:pPr>
    <w:rPr>
      <w:rFonts w:ascii="Cambria" w:hAnsi="Cambria"/>
      <w:sz w:val="20"/>
      <w:szCs w:val="20"/>
    </w:rPr>
  </w:style>
  <w:style w:type="paragraph" w:styleId="Balk9">
    <w:name w:val="heading 9"/>
    <w:basedOn w:val="Normal"/>
    <w:next w:val="Normal"/>
    <w:link w:val="Balk9Char"/>
    <w:uiPriority w:val="9"/>
    <w:semiHidden/>
    <w:unhideWhenUsed/>
    <w:qFormat/>
    <w:rsid w:val="00CA571F"/>
    <w:pPr>
      <w:spacing w:after="0"/>
      <w:outlineLvl w:val="8"/>
    </w:pPr>
    <w:rPr>
      <w:rFonts w:ascii="Cambria" w:hAnsi="Cambria"/>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571F"/>
    <w:pPr>
      <w:ind w:left="720"/>
      <w:contextualSpacing/>
    </w:pPr>
  </w:style>
  <w:style w:type="character" w:styleId="Kpr">
    <w:name w:val="Hyperlink"/>
    <w:basedOn w:val="VarsaylanParagrafYazTipi"/>
    <w:uiPriority w:val="99"/>
    <w:rsid w:val="00EC30A7"/>
    <w:rPr>
      <w:color w:val="0000FF"/>
      <w:u w:val="single"/>
    </w:rPr>
  </w:style>
  <w:style w:type="table" w:styleId="TabloKlavuzu">
    <w:name w:val="Table Grid"/>
    <w:basedOn w:val="NormalTablo"/>
    <w:uiPriority w:val="59"/>
    <w:rsid w:val="008B3BA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E18B6"/>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18B6"/>
    <w:rPr>
      <w:rFonts w:ascii="Tahoma" w:hAnsi="Tahoma" w:cs="Tahoma"/>
      <w:sz w:val="16"/>
      <w:szCs w:val="16"/>
    </w:rPr>
  </w:style>
  <w:style w:type="paragraph" w:styleId="NormalWeb">
    <w:name w:val="Normal (Web)"/>
    <w:basedOn w:val="Normal"/>
    <w:uiPriority w:val="99"/>
    <w:rsid w:val="00D04C42"/>
    <w:pPr>
      <w:spacing w:before="100" w:beforeAutospacing="1" w:after="100" w:afterAutospacing="1"/>
    </w:pPr>
    <w:rPr>
      <w:rFonts w:ascii="Times New Roman" w:hAnsi="Times New Roman"/>
      <w:sz w:val="24"/>
      <w:szCs w:val="24"/>
    </w:rPr>
  </w:style>
  <w:style w:type="paragraph" w:customStyle="1" w:styleId="mansethaberyazi">
    <w:name w:val="mansethaberyazi"/>
    <w:basedOn w:val="Normal"/>
    <w:uiPriority w:val="99"/>
    <w:rsid w:val="0089219E"/>
    <w:pPr>
      <w:spacing w:before="100" w:beforeAutospacing="1" w:after="100" w:afterAutospacing="1"/>
    </w:pPr>
    <w:rPr>
      <w:rFonts w:ascii="Arial" w:eastAsia="Calibri" w:hAnsi="Arial" w:cs="Arial"/>
      <w:color w:val="313131"/>
      <w:sz w:val="18"/>
      <w:szCs w:val="18"/>
    </w:rPr>
  </w:style>
  <w:style w:type="paragraph" w:customStyle="1" w:styleId="Default">
    <w:name w:val="Default"/>
    <w:uiPriority w:val="99"/>
    <w:rsid w:val="00A07A82"/>
    <w:pPr>
      <w:autoSpaceDE w:val="0"/>
      <w:autoSpaceDN w:val="0"/>
      <w:adjustRightInd w:val="0"/>
      <w:spacing w:line="276" w:lineRule="auto"/>
    </w:pPr>
    <w:rPr>
      <w:rFonts w:ascii="Times New Roman" w:hAnsi="Times New Roman"/>
      <w:color w:val="000000"/>
      <w:sz w:val="24"/>
      <w:szCs w:val="24"/>
      <w:lang w:val="en-US" w:eastAsia="en-US" w:bidi="en-US"/>
    </w:rPr>
  </w:style>
  <w:style w:type="character" w:customStyle="1" w:styleId="Balk1Char">
    <w:name w:val="Başlık 1 Char"/>
    <w:basedOn w:val="VarsaylanParagrafYazTipi"/>
    <w:link w:val="Balk1"/>
    <w:uiPriority w:val="9"/>
    <w:rsid w:val="00CA571F"/>
    <w:rPr>
      <w:rFonts w:ascii="Cambria" w:eastAsia="Times New Roman" w:hAnsi="Cambria" w:cs="Times New Roman"/>
      <w:b/>
      <w:bCs/>
      <w:sz w:val="28"/>
      <w:szCs w:val="28"/>
    </w:rPr>
  </w:style>
  <w:style w:type="character" w:styleId="zlenenKpr">
    <w:name w:val="FollowedHyperlink"/>
    <w:basedOn w:val="VarsaylanParagrafYazTipi"/>
    <w:uiPriority w:val="99"/>
    <w:semiHidden/>
    <w:unhideWhenUsed/>
    <w:rsid w:val="004F3793"/>
    <w:rPr>
      <w:color w:val="800080"/>
      <w:u w:val="single"/>
    </w:rPr>
  </w:style>
  <w:style w:type="table" w:styleId="OrtaGlgeleme1-Vurgu2">
    <w:name w:val="Medium Shading 1 Accent 2"/>
    <w:basedOn w:val="NormalTablo"/>
    <w:uiPriority w:val="63"/>
    <w:rsid w:val="006141C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Balk2Char">
    <w:name w:val="Başlık 2 Char"/>
    <w:basedOn w:val="VarsaylanParagrafYazTipi"/>
    <w:link w:val="Balk2"/>
    <w:uiPriority w:val="9"/>
    <w:semiHidden/>
    <w:rsid w:val="00CA571F"/>
    <w:rPr>
      <w:rFonts w:ascii="Cambria" w:eastAsia="Times New Roman" w:hAnsi="Cambria" w:cs="Times New Roman"/>
      <w:b/>
      <w:bCs/>
      <w:sz w:val="26"/>
      <w:szCs w:val="26"/>
    </w:rPr>
  </w:style>
  <w:style w:type="character" w:customStyle="1" w:styleId="Balk3Char">
    <w:name w:val="Başlık 3 Char"/>
    <w:basedOn w:val="VarsaylanParagrafYazTipi"/>
    <w:link w:val="Balk3"/>
    <w:uiPriority w:val="9"/>
    <w:rsid w:val="00CA571F"/>
    <w:rPr>
      <w:rFonts w:ascii="Cambria" w:eastAsia="Times New Roman" w:hAnsi="Cambria" w:cs="Times New Roman"/>
      <w:b/>
      <w:bCs/>
    </w:rPr>
  </w:style>
  <w:style w:type="character" w:customStyle="1" w:styleId="Balk4Char">
    <w:name w:val="Başlık 4 Char"/>
    <w:basedOn w:val="VarsaylanParagrafYazTipi"/>
    <w:link w:val="Balk4"/>
    <w:uiPriority w:val="9"/>
    <w:semiHidden/>
    <w:rsid w:val="00CA571F"/>
    <w:rPr>
      <w:rFonts w:ascii="Cambria" w:eastAsia="Times New Roman" w:hAnsi="Cambria" w:cs="Times New Roman"/>
      <w:b/>
      <w:bCs/>
      <w:i/>
      <w:iCs/>
    </w:rPr>
  </w:style>
  <w:style w:type="character" w:customStyle="1" w:styleId="Balk5Char">
    <w:name w:val="Başlık 5 Char"/>
    <w:basedOn w:val="VarsaylanParagrafYazTipi"/>
    <w:link w:val="Balk5"/>
    <w:uiPriority w:val="9"/>
    <w:semiHidden/>
    <w:rsid w:val="00CA571F"/>
    <w:rPr>
      <w:rFonts w:ascii="Cambria" w:eastAsia="Times New Roman" w:hAnsi="Cambria" w:cs="Times New Roman"/>
      <w:b/>
      <w:bCs/>
      <w:color w:val="7F7F7F"/>
    </w:rPr>
  </w:style>
  <w:style w:type="character" w:customStyle="1" w:styleId="Balk6Char">
    <w:name w:val="Başlık 6 Char"/>
    <w:basedOn w:val="VarsaylanParagrafYazTipi"/>
    <w:link w:val="Balk6"/>
    <w:uiPriority w:val="9"/>
    <w:semiHidden/>
    <w:rsid w:val="00CA571F"/>
    <w:rPr>
      <w:rFonts w:ascii="Cambria" w:eastAsia="Times New Roman" w:hAnsi="Cambria" w:cs="Times New Roman"/>
      <w:b/>
      <w:bCs/>
      <w:i/>
      <w:iCs/>
      <w:color w:val="7F7F7F"/>
    </w:rPr>
  </w:style>
  <w:style w:type="character" w:customStyle="1" w:styleId="Balk7Char">
    <w:name w:val="Başlık 7 Char"/>
    <w:basedOn w:val="VarsaylanParagrafYazTipi"/>
    <w:link w:val="Balk7"/>
    <w:uiPriority w:val="9"/>
    <w:semiHidden/>
    <w:rsid w:val="00CA571F"/>
    <w:rPr>
      <w:rFonts w:ascii="Cambria" w:eastAsia="Times New Roman" w:hAnsi="Cambria" w:cs="Times New Roman"/>
      <w:i/>
      <w:iCs/>
    </w:rPr>
  </w:style>
  <w:style w:type="character" w:customStyle="1" w:styleId="Balk8Char">
    <w:name w:val="Başlık 8 Char"/>
    <w:basedOn w:val="VarsaylanParagrafYazTipi"/>
    <w:link w:val="Balk8"/>
    <w:uiPriority w:val="9"/>
    <w:semiHidden/>
    <w:rsid w:val="00CA571F"/>
    <w:rPr>
      <w:rFonts w:ascii="Cambria" w:eastAsia="Times New Roman" w:hAnsi="Cambria" w:cs="Times New Roman"/>
      <w:sz w:val="20"/>
      <w:szCs w:val="20"/>
    </w:rPr>
  </w:style>
  <w:style w:type="character" w:customStyle="1" w:styleId="Balk9Char">
    <w:name w:val="Başlık 9 Char"/>
    <w:basedOn w:val="VarsaylanParagrafYazTipi"/>
    <w:link w:val="Balk9"/>
    <w:uiPriority w:val="9"/>
    <w:semiHidden/>
    <w:rsid w:val="00CA571F"/>
    <w:rPr>
      <w:rFonts w:ascii="Cambria" w:eastAsia="Times New Roman" w:hAnsi="Cambria" w:cs="Times New Roman"/>
      <w:i/>
      <w:iCs/>
      <w:spacing w:val="5"/>
      <w:sz w:val="20"/>
      <w:szCs w:val="20"/>
    </w:rPr>
  </w:style>
  <w:style w:type="paragraph" w:styleId="KonuBal">
    <w:name w:val="Title"/>
    <w:basedOn w:val="Normal"/>
    <w:next w:val="Normal"/>
    <w:link w:val="KonuBalChar"/>
    <w:uiPriority w:val="10"/>
    <w:qFormat/>
    <w:rsid w:val="00CA571F"/>
    <w:pPr>
      <w:pBdr>
        <w:bottom w:val="single" w:sz="4" w:space="1" w:color="auto"/>
      </w:pBdr>
      <w:spacing w:line="240" w:lineRule="auto"/>
      <w:contextualSpacing/>
    </w:pPr>
    <w:rPr>
      <w:rFonts w:ascii="Cambria" w:hAnsi="Cambria"/>
      <w:spacing w:val="5"/>
      <w:sz w:val="52"/>
      <w:szCs w:val="52"/>
    </w:rPr>
  </w:style>
  <w:style w:type="character" w:customStyle="1" w:styleId="KonuBalChar">
    <w:name w:val="Konu Başlığı Char"/>
    <w:basedOn w:val="VarsaylanParagrafYazTipi"/>
    <w:link w:val="KonuBal"/>
    <w:uiPriority w:val="10"/>
    <w:rsid w:val="00CA571F"/>
    <w:rPr>
      <w:rFonts w:ascii="Cambria" w:eastAsia="Times New Roman" w:hAnsi="Cambria" w:cs="Times New Roman"/>
      <w:spacing w:val="5"/>
      <w:sz w:val="52"/>
      <w:szCs w:val="52"/>
    </w:rPr>
  </w:style>
  <w:style w:type="paragraph" w:styleId="Altyaz">
    <w:name w:val="Subtitle"/>
    <w:basedOn w:val="Normal"/>
    <w:next w:val="Normal"/>
    <w:link w:val="AltyazChar"/>
    <w:uiPriority w:val="11"/>
    <w:qFormat/>
    <w:rsid w:val="00CA571F"/>
    <w:pPr>
      <w:spacing w:after="600"/>
    </w:pPr>
    <w:rPr>
      <w:rFonts w:ascii="Cambria" w:hAnsi="Cambria"/>
      <w:i/>
      <w:iCs/>
      <w:spacing w:val="13"/>
      <w:sz w:val="24"/>
      <w:szCs w:val="24"/>
    </w:rPr>
  </w:style>
  <w:style w:type="character" w:customStyle="1" w:styleId="AltyazChar">
    <w:name w:val="Altyazı Char"/>
    <w:basedOn w:val="VarsaylanParagrafYazTipi"/>
    <w:link w:val="Altyaz"/>
    <w:uiPriority w:val="11"/>
    <w:rsid w:val="00CA571F"/>
    <w:rPr>
      <w:rFonts w:ascii="Cambria" w:eastAsia="Times New Roman" w:hAnsi="Cambria" w:cs="Times New Roman"/>
      <w:i/>
      <w:iCs/>
      <w:spacing w:val="13"/>
      <w:sz w:val="24"/>
      <w:szCs w:val="24"/>
    </w:rPr>
  </w:style>
  <w:style w:type="character" w:styleId="Gl">
    <w:name w:val="Strong"/>
    <w:uiPriority w:val="22"/>
    <w:qFormat/>
    <w:rsid w:val="00CA571F"/>
    <w:rPr>
      <w:b/>
      <w:bCs/>
    </w:rPr>
  </w:style>
  <w:style w:type="character" w:styleId="Vurgu">
    <w:name w:val="Emphasis"/>
    <w:uiPriority w:val="20"/>
    <w:qFormat/>
    <w:rsid w:val="00CA571F"/>
    <w:rPr>
      <w:b/>
      <w:bCs/>
      <w:i/>
      <w:iCs/>
      <w:spacing w:val="10"/>
      <w:bdr w:val="none" w:sz="0" w:space="0" w:color="auto"/>
      <w:shd w:val="clear" w:color="auto" w:fill="auto"/>
    </w:rPr>
  </w:style>
  <w:style w:type="paragraph" w:styleId="AralkYok">
    <w:name w:val="No Spacing"/>
    <w:basedOn w:val="Normal"/>
    <w:uiPriority w:val="1"/>
    <w:qFormat/>
    <w:rsid w:val="00CA571F"/>
    <w:pPr>
      <w:spacing w:after="0" w:line="240" w:lineRule="auto"/>
    </w:pPr>
  </w:style>
  <w:style w:type="paragraph" w:styleId="Alnt">
    <w:name w:val="Quote"/>
    <w:basedOn w:val="Normal"/>
    <w:next w:val="Normal"/>
    <w:link w:val="AlntChar"/>
    <w:uiPriority w:val="29"/>
    <w:qFormat/>
    <w:rsid w:val="00CA571F"/>
    <w:pPr>
      <w:spacing w:before="200" w:after="0"/>
      <w:ind w:left="360" w:right="360"/>
    </w:pPr>
    <w:rPr>
      <w:i/>
      <w:iCs/>
    </w:rPr>
  </w:style>
  <w:style w:type="character" w:customStyle="1" w:styleId="AlntChar">
    <w:name w:val="Alıntı Char"/>
    <w:basedOn w:val="VarsaylanParagrafYazTipi"/>
    <w:link w:val="Alnt"/>
    <w:uiPriority w:val="29"/>
    <w:rsid w:val="00CA571F"/>
    <w:rPr>
      <w:i/>
      <w:iCs/>
    </w:rPr>
  </w:style>
  <w:style w:type="paragraph" w:styleId="GlAlnt">
    <w:name w:val="Intense Quote"/>
    <w:basedOn w:val="Normal"/>
    <w:next w:val="Normal"/>
    <w:link w:val="GlAlntChar"/>
    <w:uiPriority w:val="30"/>
    <w:qFormat/>
    <w:rsid w:val="00CA571F"/>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CA571F"/>
    <w:rPr>
      <w:b/>
      <w:bCs/>
      <w:i/>
      <w:iCs/>
    </w:rPr>
  </w:style>
  <w:style w:type="character" w:styleId="HafifVurgulama">
    <w:name w:val="Subtle Emphasis"/>
    <w:uiPriority w:val="19"/>
    <w:qFormat/>
    <w:rsid w:val="00CA571F"/>
    <w:rPr>
      <w:i/>
      <w:iCs/>
    </w:rPr>
  </w:style>
  <w:style w:type="character" w:styleId="GlVurgulama">
    <w:name w:val="Intense Emphasis"/>
    <w:uiPriority w:val="21"/>
    <w:qFormat/>
    <w:rsid w:val="00CA571F"/>
    <w:rPr>
      <w:b/>
      <w:bCs/>
    </w:rPr>
  </w:style>
  <w:style w:type="character" w:styleId="HafifBavuru">
    <w:name w:val="Subtle Reference"/>
    <w:uiPriority w:val="31"/>
    <w:qFormat/>
    <w:rsid w:val="00CA571F"/>
    <w:rPr>
      <w:smallCaps/>
    </w:rPr>
  </w:style>
  <w:style w:type="character" w:styleId="GlBavuru">
    <w:name w:val="Intense Reference"/>
    <w:uiPriority w:val="32"/>
    <w:qFormat/>
    <w:rsid w:val="00CA571F"/>
    <w:rPr>
      <w:smallCaps/>
      <w:spacing w:val="5"/>
      <w:u w:val="single"/>
    </w:rPr>
  </w:style>
  <w:style w:type="character" w:styleId="KitapBal">
    <w:name w:val="Book Title"/>
    <w:uiPriority w:val="33"/>
    <w:qFormat/>
    <w:rsid w:val="00CA571F"/>
    <w:rPr>
      <w:i/>
      <w:iCs/>
      <w:smallCaps/>
      <w:spacing w:val="5"/>
    </w:rPr>
  </w:style>
  <w:style w:type="paragraph" w:styleId="TBal">
    <w:name w:val="TOC Heading"/>
    <w:basedOn w:val="Balk1"/>
    <w:next w:val="Normal"/>
    <w:uiPriority w:val="39"/>
    <w:semiHidden/>
    <w:unhideWhenUsed/>
    <w:qFormat/>
    <w:rsid w:val="00CA571F"/>
    <w:pPr>
      <w:outlineLvl w:val="9"/>
    </w:pPr>
  </w:style>
  <w:style w:type="paragraph" w:styleId="stBilgi">
    <w:name w:val="header"/>
    <w:basedOn w:val="Normal"/>
    <w:link w:val="stBilgiChar"/>
    <w:uiPriority w:val="99"/>
    <w:unhideWhenUsed/>
    <w:rsid w:val="008D24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24E0"/>
    <w:rPr>
      <w:sz w:val="22"/>
      <w:szCs w:val="22"/>
      <w:lang w:val="en-US" w:eastAsia="en-US" w:bidi="en-US"/>
    </w:rPr>
  </w:style>
  <w:style w:type="paragraph" w:styleId="AltBilgi">
    <w:name w:val="footer"/>
    <w:basedOn w:val="Normal"/>
    <w:link w:val="AltBilgiChar"/>
    <w:uiPriority w:val="99"/>
    <w:unhideWhenUsed/>
    <w:rsid w:val="008D24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4E0"/>
    <w:rPr>
      <w:sz w:val="22"/>
      <w:szCs w:val="22"/>
      <w:lang w:val="en-US" w:eastAsia="en-US" w:bidi="en-US"/>
    </w:rPr>
  </w:style>
  <w:style w:type="character" w:styleId="AklamaBavurusu">
    <w:name w:val="annotation reference"/>
    <w:basedOn w:val="VarsaylanParagrafYazTipi"/>
    <w:uiPriority w:val="99"/>
    <w:semiHidden/>
    <w:unhideWhenUsed/>
    <w:rsid w:val="0022721F"/>
    <w:rPr>
      <w:sz w:val="16"/>
      <w:szCs w:val="16"/>
    </w:rPr>
  </w:style>
  <w:style w:type="paragraph" w:styleId="AklamaMetni">
    <w:name w:val="annotation text"/>
    <w:basedOn w:val="Normal"/>
    <w:link w:val="AklamaMetniChar"/>
    <w:uiPriority w:val="99"/>
    <w:semiHidden/>
    <w:unhideWhenUsed/>
    <w:rsid w:val="002272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721F"/>
    <w:rPr>
      <w:lang w:val="en-US" w:eastAsia="en-US" w:bidi="en-US"/>
    </w:rPr>
  </w:style>
  <w:style w:type="paragraph" w:styleId="AklamaKonusu">
    <w:name w:val="annotation subject"/>
    <w:basedOn w:val="AklamaMetni"/>
    <w:next w:val="AklamaMetni"/>
    <w:link w:val="AklamaKonusuChar"/>
    <w:uiPriority w:val="99"/>
    <w:semiHidden/>
    <w:unhideWhenUsed/>
    <w:rsid w:val="0022721F"/>
    <w:rPr>
      <w:b/>
      <w:bCs/>
    </w:rPr>
  </w:style>
  <w:style w:type="character" w:customStyle="1" w:styleId="AklamaKonusuChar">
    <w:name w:val="Açıklama Konusu Char"/>
    <w:basedOn w:val="AklamaMetniChar"/>
    <w:link w:val="AklamaKonusu"/>
    <w:uiPriority w:val="99"/>
    <w:semiHidden/>
    <w:rsid w:val="0022721F"/>
    <w:rPr>
      <w:b/>
      <w:bCs/>
      <w:lang w:val="en-US" w:eastAsia="en-US" w:bidi="en-US"/>
    </w:rPr>
  </w:style>
  <w:style w:type="character" w:customStyle="1" w:styleId="zmlenmeyenBahsetme1">
    <w:name w:val="Çözümlenmeyen Bahsetme1"/>
    <w:basedOn w:val="VarsaylanParagrafYazTipi"/>
    <w:uiPriority w:val="99"/>
    <w:semiHidden/>
    <w:unhideWhenUsed/>
    <w:rsid w:val="00643C8D"/>
    <w:rPr>
      <w:color w:val="605E5C"/>
      <w:shd w:val="clear" w:color="auto" w:fill="E1DFDD"/>
    </w:rPr>
  </w:style>
  <w:style w:type="paragraph" w:styleId="GvdeMetni">
    <w:name w:val="Body Text"/>
    <w:basedOn w:val="Normal"/>
    <w:link w:val="GvdeMetniChar"/>
    <w:uiPriority w:val="99"/>
    <w:unhideWhenUsed/>
    <w:rsid w:val="009A39C5"/>
    <w:pPr>
      <w:spacing w:after="160" w:line="259" w:lineRule="auto"/>
      <w:jc w:val="both"/>
    </w:pPr>
    <w:rPr>
      <w:rFonts w:ascii="Tahoma" w:hAnsi="Tahoma" w:cs="Tahoma"/>
      <w:color w:val="000000"/>
      <w:sz w:val="21"/>
      <w:szCs w:val="21"/>
      <w:lang w:val="tr-TR" w:eastAsia="tr-TR" w:bidi="ar-SA"/>
    </w:rPr>
  </w:style>
  <w:style w:type="character" w:customStyle="1" w:styleId="GvdeMetniChar">
    <w:name w:val="Gövde Metni Char"/>
    <w:basedOn w:val="VarsaylanParagrafYazTipi"/>
    <w:link w:val="GvdeMetni"/>
    <w:uiPriority w:val="99"/>
    <w:rsid w:val="009A39C5"/>
    <w:rPr>
      <w:rFonts w:ascii="Tahoma" w:hAnsi="Tahoma" w:cs="Tahoma"/>
      <w:color w:val="000000"/>
      <w:sz w:val="21"/>
      <w:szCs w:val="21"/>
    </w:rPr>
  </w:style>
  <w:style w:type="character" w:customStyle="1" w:styleId="zmlenmeyenBahsetme2">
    <w:name w:val="Çözümlenmeyen Bahsetme2"/>
    <w:basedOn w:val="VarsaylanParagrafYazTipi"/>
    <w:uiPriority w:val="99"/>
    <w:semiHidden/>
    <w:unhideWhenUsed/>
    <w:rsid w:val="00801CB4"/>
    <w:rPr>
      <w:color w:val="605E5C"/>
      <w:shd w:val="clear" w:color="auto" w:fill="E1DFDD"/>
    </w:rPr>
  </w:style>
  <w:style w:type="paragraph" w:styleId="Dzeltme">
    <w:name w:val="Revision"/>
    <w:hidden/>
    <w:uiPriority w:val="99"/>
    <w:semiHidden/>
    <w:rsid w:val="00BC6BA8"/>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28907">
      <w:bodyDiv w:val="1"/>
      <w:marLeft w:val="0"/>
      <w:marRight w:val="0"/>
      <w:marTop w:val="0"/>
      <w:marBottom w:val="0"/>
      <w:divBdr>
        <w:top w:val="none" w:sz="0" w:space="0" w:color="auto"/>
        <w:left w:val="none" w:sz="0" w:space="0" w:color="auto"/>
        <w:bottom w:val="none" w:sz="0" w:space="0" w:color="auto"/>
        <w:right w:val="none" w:sz="0" w:space="0" w:color="auto"/>
      </w:divBdr>
    </w:div>
    <w:div w:id="16916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Ekono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ik.gov.tr/Kurumsal/Veri_Takvi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89DC-368E-4F0C-8C13-34F24FA5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1380</Words>
  <Characters>7868</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İlknur İrem Çakır</cp:lastModifiedBy>
  <cp:revision>13</cp:revision>
  <dcterms:created xsi:type="dcterms:W3CDTF">2023-05-30T11:10:00Z</dcterms:created>
  <dcterms:modified xsi:type="dcterms:W3CDTF">2023-07-26T06:44:00Z</dcterms:modified>
</cp:coreProperties>
</file>