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E1" w:rsidRDefault="007500E1" w:rsidP="007500E1">
      <w:pPr>
        <w:spacing w:after="0" w:line="240" w:lineRule="auto"/>
        <w:outlineLvl w:val="1"/>
        <w:rPr>
          <w:rFonts w:eastAsia="Times New Roman" w:cstheme="minorHAnsi"/>
          <w:color w:val="307D71"/>
          <w:sz w:val="38"/>
          <w:szCs w:val="38"/>
          <w:lang w:eastAsia="tr-TR"/>
        </w:rPr>
      </w:pPr>
      <w:r w:rsidRPr="00832D92">
        <w:rPr>
          <w:rFonts w:eastAsia="Times New Roman" w:cstheme="minorHAnsi"/>
          <w:color w:val="307D71"/>
          <w:sz w:val="38"/>
          <w:szCs w:val="38"/>
          <w:lang w:eastAsia="tr-TR"/>
        </w:rPr>
        <w:t xml:space="preserve">REVİZYON </w:t>
      </w:r>
      <w:r w:rsidR="00EA30A9">
        <w:rPr>
          <w:rFonts w:eastAsia="Times New Roman" w:cstheme="minorHAnsi"/>
          <w:color w:val="307D71"/>
          <w:sz w:val="38"/>
          <w:szCs w:val="38"/>
          <w:lang w:eastAsia="tr-TR"/>
        </w:rPr>
        <w:t>VE</w:t>
      </w:r>
      <w:bookmarkStart w:id="0" w:name="_GoBack"/>
      <w:bookmarkEnd w:id="0"/>
      <w:r w:rsidR="00EA30A9">
        <w:rPr>
          <w:rFonts w:eastAsia="Times New Roman" w:cstheme="minorHAnsi"/>
          <w:color w:val="307D71"/>
          <w:sz w:val="38"/>
          <w:szCs w:val="38"/>
          <w:lang w:eastAsia="tr-TR"/>
        </w:rPr>
        <w:t xml:space="preserve"> HATA </w:t>
      </w:r>
      <w:r w:rsidRPr="00832D92">
        <w:rPr>
          <w:rFonts w:eastAsia="Times New Roman" w:cstheme="minorHAnsi"/>
          <w:color w:val="307D71"/>
          <w:sz w:val="38"/>
          <w:szCs w:val="38"/>
          <w:lang w:eastAsia="tr-TR"/>
        </w:rPr>
        <w:t>POLİTİKASI</w:t>
      </w:r>
    </w:p>
    <w:p w:rsidR="00A40696" w:rsidRPr="00832D92" w:rsidRDefault="00A40696" w:rsidP="007500E1">
      <w:pPr>
        <w:spacing w:after="0" w:line="240" w:lineRule="auto"/>
        <w:outlineLvl w:val="1"/>
        <w:rPr>
          <w:rFonts w:eastAsia="Times New Roman" w:cstheme="minorHAnsi"/>
          <w:color w:val="307D71"/>
          <w:sz w:val="38"/>
          <w:szCs w:val="38"/>
          <w:lang w:eastAsia="tr-TR"/>
        </w:rPr>
      </w:pPr>
    </w:p>
    <w:p w:rsidR="00E12898" w:rsidRPr="00886BD4" w:rsidRDefault="00A40696" w:rsidP="00E12898">
      <w:pP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886BD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Enerji Verimliliği ve Çevre Dairesi Başkanlığı</w:t>
      </w:r>
      <w:r w:rsidR="007500E1" w:rsidRPr="00886BD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Revizyon ve Hata Politikası</w:t>
      </w:r>
      <w:r w:rsidR="00886BD4" w:rsidRPr="00886BD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;</w:t>
      </w:r>
    </w:p>
    <w:p w:rsidR="00886BD4" w:rsidRDefault="007500E1" w:rsidP="00E12898">
      <w:pPr>
        <w:pStyle w:val="GvdeMetni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0696">
        <w:rPr>
          <w:rFonts w:asciiTheme="minorHAnsi" w:hAnsiTheme="minorHAnsi" w:cstheme="minorHAnsi"/>
          <w:sz w:val="22"/>
          <w:szCs w:val="22"/>
        </w:rPr>
        <w:t xml:space="preserve">Bakanlığımız </w:t>
      </w:r>
      <w:r w:rsidR="009254B6" w:rsidRPr="00A40696">
        <w:rPr>
          <w:rFonts w:asciiTheme="minorHAnsi" w:hAnsiTheme="minorHAnsi" w:cstheme="minorHAnsi"/>
          <w:sz w:val="22"/>
          <w:szCs w:val="22"/>
        </w:rPr>
        <w:t>Enerji Verimliliği ve Çevre Dairesi Başkanlığınca</w:t>
      </w:r>
      <w:r w:rsidRPr="00A40696">
        <w:rPr>
          <w:rFonts w:asciiTheme="minorHAnsi" w:hAnsiTheme="minorHAnsi" w:cstheme="minorHAnsi"/>
          <w:sz w:val="22"/>
          <w:szCs w:val="22"/>
        </w:rPr>
        <w:t xml:space="preserve">, Resmi İstatistik Programı kapsamında yayımlanan </w:t>
      </w:r>
      <w:r w:rsidR="009254B6" w:rsidRPr="00A40696">
        <w:rPr>
          <w:rFonts w:asciiTheme="minorHAnsi" w:hAnsiTheme="minorHAnsi" w:cstheme="minorHAnsi"/>
          <w:sz w:val="22"/>
          <w:szCs w:val="22"/>
        </w:rPr>
        <w:t>Enerji Yoğunlukları ve Endeksi istatistiğinde</w:t>
      </w:r>
      <w:r w:rsidRPr="00A40696">
        <w:rPr>
          <w:rFonts w:asciiTheme="minorHAnsi" w:hAnsiTheme="minorHAnsi" w:cstheme="minorHAnsi"/>
          <w:sz w:val="22"/>
          <w:szCs w:val="22"/>
        </w:rPr>
        <w:t>; tanım, kapsam, sınıflama veya hesaplama yöntemi değişikliklerinden kaynaklanan revizyonlarda ve verinin yayımlanmasından sonra herhangi bir hata tespit edildiği durumlarda</w:t>
      </w:r>
      <w:r w:rsidR="009254B6" w:rsidRPr="00A40696">
        <w:rPr>
          <w:rFonts w:asciiTheme="minorHAnsi" w:hAnsiTheme="minorHAnsi" w:cstheme="minorHAnsi"/>
          <w:sz w:val="22"/>
          <w:szCs w:val="22"/>
        </w:rPr>
        <w:t xml:space="preserve"> </w:t>
      </w:r>
      <w:r w:rsidR="00BA3154" w:rsidRPr="00A4069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resmi istatistiklerin yayımlandığı web sayfasında kamuoyuna bilgi verme</w:t>
      </w:r>
      <w:r w:rsidR="00A4069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k</w:t>
      </w:r>
      <w:r w:rsidR="00BA3154" w:rsidRPr="00A4069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kaydıyla veriler revize edilebilmektedir.</w:t>
      </w:r>
      <w:r w:rsidR="00886BD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 </w:t>
      </w:r>
      <w:r w:rsidR="00886BD4" w:rsidRPr="00886BD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Gerekli durumlarda aşağıda belirtilen</w:t>
      </w:r>
      <w:r w:rsidR="00886BD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886BD4" w:rsidRPr="00886BD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revizyonlar </w:t>
      </w:r>
      <w:r w:rsidR="00886BD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sağlanmaktadır:</w:t>
      </w:r>
    </w:p>
    <w:p w:rsidR="00886BD4" w:rsidRPr="00886BD4" w:rsidRDefault="00886BD4" w:rsidP="00E12898">
      <w:pPr>
        <w:pStyle w:val="GvdeMetni"/>
        <w:rPr>
          <w:rFonts w:asciiTheme="minorHAnsi" w:hAnsiTheme="minorHAnsi" w:cstheme="minorHAnsi"/>
          <w:b/>
          <w:color w:val="212529"/>
          <w:sz w:val="22"/>
          <w:szCs w:val="22"/>
          <w:u w:val="single"/>
          <w:shd w:val="clear" w:color="auto" w:fill="FFFFFF"/>
        </w:rPr>
      </w:pPr>
      <w:r w:rsidRPr="00886BD4">
        <w:rPr>
          <w:rFonts w:asciiTheme="minorHAnsi" w:hAnsiTheme="minorHAnsi" w:cstheme="minorHAnsi"/>
          <w:b/>
          <w:color w:val="212529"/>
          <w:sz w:val="22"/>
          <w:szCs w:val="22"/>
          <w:u w:val="single"/>
          <w:shd w:val="clear" w:color="auto" w:fill="FFFFFF"/>
        </w:rPr>
        <w:t>Kaynak veride değişim</w:t>
      </w:r>
    </w:p>
    <w:p w:rsidR="009254B6" w:rsidRDefault="00832D92" w:rsidP="00E12898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A40696">
        <w:rPr>
          <w:rFonts w:asciiTheme="minorHAnsi" w:hAnsiTheme="minorHAnsi" w:cstheme="minorHAnsi"/>
          <w:sz w:val="22"/>
          <w:szCs w:val="22"/>
        </w:rPr>
        <w:t xml:space="preserve">Yayımlanan verilerin </w:t>
      </w:r>
      <w:r w:rsidR="00BA3154" w:rsidRPr="00A40696">
        <w:rPr>
          <w:rFonts w:asciiTheme="minorHAnsi" w:hAnsiTheme="minorHAnsi" w:cstheme="minorHAnsi"/>
          <w:sz w:val="22"/>
          <w:szCs w:val="22"/>
        </w:rPr>
        <w:t xml:space="preserve">hesaplanmasında </w:t>
      </w:r>
      <w:r w:rsidR="009254B6" w:rsidRPr="00A40696">
        <w:rPr>
          <w:rFonts w:asciiTheme="minorHAnsi" w:hAnsiTheme="minorHAnsi" w:cstheme="minorHAnsi"/>
          <w:sz w:val="22"/>
          <w:szCs w:val="22"/>
        </w:rPr>
        <w:t xml:space="preserve">Genel Enerji Denge Tablolarından ve </w:t>
      </w:r>
      <w:proofErr w:type="spellStart"/>
      <w:r w:rsidR="009254B6" w:rsidRPr="00A40696">
        <w:rPr>
          <w:rFonts w:asciiTheme="minorHAnsi" w:hAnsiTheme="minorHAnsi" w:cstheme="minorHAnsi"/>
          <w:sz w:val="22"/>
          <w:szCs w:val="22"/>
        </w:rPr>
        <w:t>TÜİK’in</w:t>
      </w:r>
      <w:proofErr w:type="spellEnd"/>
      <w:r w:rsidR="009254B6" w:rsidRPr="00A40696">
        <w:rPr>
          <w:rFonts w:asciiTheme="minorHAnsi" w:hAnsiTheme="minorHAnsi" w:cstheme="minorHAnsi"/>
          <w:sz w:val="22"/>
          <w:szCs w:val="22"/>
        </w:rPr>
        <w:t xml:space="preserve"> yayımlamış olduğu GSYH verilerinden faydalanılmış olup kullanılan verilerin muhtemel revizyonu halinde enerji yoğunluk değeri hesaplamaları yeniden ele alın</w:t>
      </w:r>
      <w:r w:rsidRPr="00A40696">
        <w:rPr>
          <w:rFonts w:asciiTheme="minorHAnsi" w:hAnsiTheme="minorHAnsi" w:cstheme="minorHAnsi"/>
          <w:sz w:val="22"/>
          <w:szCs w:val="22"/>
        </w:rPr>
        <w:t xml:space="preserve">maktadır. </w:t>
      </w:r>
    </w:p>
    <w:p w:rsidR="00886BD4" w:rsidRPr="00886BD4" w:rsidRDefault="00886BD4" w:rsidP="00E12898">
      <w:pPr>
        <w:pStyle w:val="GvdeMetni"/>
        <w:rPr>
          <w:rFonts w:asciiTheme="minorHAnsi" w:hAnsiTheme="minorHAnsi" w:cstheme="minorHAnsi"/>
          <w:sz w:val="22"/>
          <w:szCs w:val="22"/>
          <w:u w:val="single"/>
        </w:rPr>
      </w:pPr>
      <w:r w:rsidRPr="00886BD4">
        <w:rPr>
          <w:rFonts w:asciiTheme="minorHAnsi" w:hAnsiTheme="minorHAnsi" w:cstheme="minorHAnsi"/>
          <w:b/>
          <w:bCs/>
          <w:sz w:val="22"/>
          <w:szCs w:val="22"/>
          <w:u w:val="single"/>
        </w:rPr>
        <w:t>Temel yıl ve referans yılı değişiklikleri</w:t>
      </w:r>
    </w:p>
    <w:p w:rsidR="00A40696" w:rsidRPr="00A40696" w:rsidRDefault="00A40696" w:rsidP="00E12898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A40696">
        <w:rPr>
          <w:rFonts w:asciiTheme="minorHAnsi" w:hAnsiTheme="minorHAnsi" w:cstheme="minorHAnsi"/>
          <w:sz w:val="22"/>
          <w:szCs w:val="22"/>
        </w:rPr>
        <w:t xml:space="preserve">Beş yılda bir OECD’nin istatistikler için baz yılı değiştirmesiyle birlikte gayrisafi yurtiçi hasıla değerleri yeni belirlenen baz yıl esas alınarak yeniden hesaplanmaktadır. </w:t>
      </w:r>
      <w:r w:rsidR="00886BD4">
        <w:rPr>
          <w:rFonts w:asciiTheme="minorHAnsi" w:hAnsiTheme="minorHAnsi" w:cstheme="minorHAnsi"/>
          <w:sz w:val="22"/>
          <w:szCs w:val="22"/>
        </w:rPr>
        <w:t xml:space="preserve">Uluslararası standarda uyum sağlamak ve verilerin </w:t>
      </w:r>
      <w:proofErr w:type="spellStart"/>
      <w:r w:rsidR="00886BD4">
        <w:rPr>
          <w:rFonts w:asciiTheme="minorHAnsi" w:hAnsiTheme="minorHAnsi" w:cstheme="minorHAnsi"/>
          <w:sz w:val="22"/>
          <w:szCs w:val="22"/>
        </w:rPr>
        <w:t>karşılaştırılabilirliğini</w:t>
      </w:r>
      <w:proofErr w:type="spellEnd"/>
      <w:r w:rsidR="00886BD4">
        <w:rPr>
          <w:rFonts w:asciiTheme="minorHAnsi" w:hAnsiTheme="minorHAnsi" w:cstheme="minorHAnsi"/>
          <w:sz w:val="22"/>
          <w:szCs w:val="22"/>
        </w:rPr>
        <w:t xml:space="preserve"> korumak için enerji yoğunlukları verilerinin yeni baz yıla göre tekrar hesaplanarak revizyonu sağlanmaktadır. </w:t>
      </w:r>
    </w:p>
    <w:p w:rsidR="009254B6" w:rsidRPr="00832D92" w:rsidRDefault="009254B6" w:rsidP="009254B6">
      <w:pPr>
        <w:jc w:val="both"/>
        <w:rPr>
          <w:rFonts w:eastAsia="Times New Roman" w:cstheme="minorHAnsi"/>
          <w:color w:val="000000"/>
          <w:sz w:val="21"/>
          <w:szCs w:val="21"/>
          <w:lang w:eastAsia="tr-TR"/>
        </w:rPr>
      </w:pPr>
    </w:p>
    <w:sectPr w:rsidR="009254B6" w:rsidRPr="0083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BC"/>
    <w:rsid w:val="00054AE0"/>
    <w:rsid w:val="001F1BDE"/>
    <w:rsid w:val="007500E1"/>
    <w:rsid w:val="007A0946"/>
    <w:rsid w:val="00832D92"/>
    <w:rsid w:val="00886BD4"/>
    <w:rsid w:val="009254B6"/>
    <w:rsid w:val="00A40696"/>
    <w:rsid w:val="00BA3154"/>
    <w:rsid w:val="00CB34BC"/>
    <w:rsid w:val="00CF4F37"/>
    <w:rsid w:val="00E12898"/>
    <w:rsid w:val="00E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CA65"/>
  <w15:chartTrackingRefBased/>
  <w15:docId w15:val="{C478352D-AE24-43BF-9A0A-E5F3681F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50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00E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0E1"/>
    <w:rPr>
      <w:b/>
      <w:bCs/>
    </w:rPr>
  </w:style>
  <w:style w:type="paragraph" w:styleId="GvdeMetni">
    <w:name w:val="Body Text"/>
    <w:basedOn w:val="Normal"/>
    <w:link w:val="GvdeMetniChar"/>
    <w:uiPriority w:val="99"/>
    <w:unhideWhenUsed/>
    <w:rsid w:val="00E12898"/>
    <w:pPr>
      <w:jc w:val="both"/>
    </w:pPr>
    <w:rPr>
      <w:rFonts w:ascii="Tahoma" w:eastAsia="Times New Roman" w:hAnsi="Tahoma" w:cs="Tahoma"/>
      <w:color w:val="000000"/>
      <w:sz w:val="21"/>
      <w:szCs w:val="21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12898"/>
    <w:rPr>
      <w:rFonts w:ascii="Tahoma" w:eastAsia="Times New Roman" w:hAnsi="Tahoma" w:cs="Tahoma"/>
      <w:color w:val="000000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İrem Çakır</dc:creator>
  <cp:keywords/>
  <dc:description/>
  <cp:lastModifiedBy>Ayşe Dilara Sayımlar</cp:lastModifiedBy>
  <cp:revision>4</cp:revision>
  <dcterms:created xsi:type="dcterms:W3CDTF">2023-03-30T08:50:00Z</dcterms:created>
  <dcterms:modified xsi:type="dcterms:W3CDTF">2023-03-31T11:47:00Z</dcterms:modified>
</cp:coreProperties>
</file>