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9EC577" w14:textId="77777777" w:rsidR="006F4BF5" w:rsidRPr="006F4BF5" w:rsidRDefault="006F4BF5" w:rsidP="006F4BF5">
      <w:pPr>
        <w:spacing w:after="0" w:line="240" w:lineRule="auto"/>
        <w:jc w:val="center"/>
        <w:rPr>
          <w:rFonts w:ascii="Times New Roman" w:hAnsi="Times New Roman" w:cs="Times New Roman"/>
          <w:b/>
          <w:sz w:val="24"/>
          <w:szCs w:val="24"/>
          <w:lang w:val="en-GB"/>
        </w:rPr>
      </w:pPr>
      <w:bookmarkStart w:id="0" w:name="_Hlk161667617"/>
      <w:r w:rsidRPr="006F4BF5">
        <w:rPr>
          <w:rFonts w:ascii="Times New Roman" w:hAnsi="Times New Roman" w:cs="Times New Roman"/>
          <w:b/>
          <w:sz w:val="24"/>
          <w:szCs w:val="24"/>
          <w:lang w:val="en-GB"/>
        </w:rPr>
        <w:t>REQUEST FOR EXPRESSIONS OF INTEREST</w:t>
      </w:r>
    </w:p>
    <w:p w14:paraId="490A4264" w14:textId="306FB1CD" w:rsidR="006F4BF5" w:rsidRPr="006F4BF5" w:rsidRDefault="006F4BF5" w:rsidP="006F4BF5">
      <w:pPr>
        <w:spacing w:after="0" w:line="240" w:lineRule="auto"/>
        <w:jc w:val="center"/>
        <w:rPr>
          <w:rFonts w:ascii="Times New Roman" w:hAnsi="Times New Roman" w:cs="Times New Roman"/>
          <w:b/>
          <w:sz w:val="24"/>
          <w:szCs w:val="24"/>
          <w:lang w:val="en-GB"/>
        </w:rPr>
      </w:pPr>
      <w:r w:rsidRPr="006F4BF5">
        <w:rPr>
          <w:rFonts w:ascii="Times New Roman" w:hAnsi="Times New Roman" w:cs="Times New Roman"/>
          <w:b/>
          <w:sz w:val="24"/>
          <w:szCs w:val="24"/>
          <w:lang w:val="en-GB"/>
        </w:rPr>
        <w:t>(CONSULTING SERVICES – CQS)</w:t>
      </w:r>
    </w:p>
    <w:p w14:paraId="7624A934" w14:textId="77777777" w:rsidR="00374C3C" w:rsidRDefault="00374C3C" w:rsidP="00374C3C">
      <w:pPr>
        <w:spacing w:after="0" w:line="240" w:lineRule="auto"/>
        <w:rPr>
          <w:rFonts w:ascii="Times New Roman" w:hAnsi="Times New Roman" w:cs="Times New Roman"/>
          <w:b/>
          <w:sz w:val="24"/>
          <w:szCs w:val="24"/>
          <w:lang w:val="en-GB"/>
        </w:rPr>
      </w:pPr>
    </w:p>
    <w:p w14:paraId="2B27C837" w14:textId="77777777" w:rsidR="00374C3C" w:rsidRDefault="00374C3C" w:rsidP="00374C3C">
      <w:pPr>
        <w:spacing w:after="0" w:line="240" w:lineRule="auto"/>
        <w:rPr>
          <w:rFonts w:ascii="Times New Roman" w:hAnsi="Times New Roman" w:cs="Times New Roman"/>
          <w:b/>
          <w:sz w:val="24"/>
          <w:szCs w:val="24"/>
          <w:lang w:val="en-GB"/>
        </w:rPr>
      </w:pPr>
    </w:p>
    <w:p w14:paraId="246EC658" w14:textId="3CA899F9" w:rsidR="00A95C98" w:rsidRPr="006F4BF5" w:rsidRDefault="006F4BF5" w:rsidP="00374C3C">
      <w:pPr>
        <w:spacing w:after="0" w:line="240" w:lineRule="auto"/>
        <w:rPr>
          <w:rFonts w:ascii="Times New Roman" w:hAnsi="Times New Roman" w:cs="Times New Roman"/>
          <w:b/>
          <w:sz w:val="24"/>
          <w:szCs w:val="24"/>
          <w:lang w:val="en-GB"/>
        </w:rPr>
      </w:pPr>
      <w:r w:rsidRPr="006F4BF5">
        <w:rPr>
          <w:rFonts w:ascii="Times New Roman" w:hAnsi="Times New Roman" w:cs="Times New Roman"/>
          <w:b/>
          <w:sz w:val="24"/>
          <w:szCs w:val="24"/>
          <w:lang w:val="en-GB"/>
        </w:rPr>
        <w:t>TÜRKİYE</w:t>
      </w:r>
    </w:p>
    <w:p w14:paraId="4222F79E" w14:textId="6E1D1559" w:rsidR="006F4BF5" w:rsidRPr="00B872EB" w:rsidRDefault="00374C3C" w:rsidP="00C40618">
      <w:pPr>
        <w:spacing w:after="0" w:line="240" w:lineRule="auto"/>
        <w:rPr>
          <w:rFonts w:ascii="Times New Roman" w:hAnsi="Times New Roman" w:cs="Times New Roman"/>
          <w:b/>
          <w:sz w:val="24"/>
          <w:szCs w:val="24"/>
          <w:lang w:val="en-GB"/>
        </w:rPr>
      </w:pPr>
      <w:r>
        <w:rPr>
          <w:rFonts w:ascii="Times New Roman" w:hAnsi="Times New Roman" w:cs="Times New Roman"/>
          <w:b/>
          <w:sz w:val="24"/>
          <w:szCs w:val="24"/>
          <w:lang w:val="en-GB"/>
        </w:rPr>
        <w:t xml:space="preserve">Name of the Project: </w:t>
      </w:r>
      <w:r w:rsidR="006F4BF5" w:rsidRPr="00B872EB">
        <w:rPr>
          <w:rFonts w:ascii="Times New Roman" w:hAnsi="Times New Roman" w:cs="Times New Roman"/>
          <w:b/>
          <w:sz w:val="24"/>
          <w:szCs w:val="24"/>
          <w:lang w:val="en-GB"/>
        </w:rPr>
        <w:t>EU Instrument for Pre-Accession (IPA) 2018 Energy Sector Program Phase III Project</w:t>
      </w:r>
    </w:p>
    <w:p w14:paraId="5282423D" w14:textId="1C722A33" w:rsidR="006F4BF5" w:rsidRPr="007C3808" w:rsidRDefault="006F4BF5" w:rsidP="006F4BF5">
      <w:pPr>
        <w:spacing w:after="0" w:line="240" w:lineRule="auto"/>
        <w:jc w:val="both"/>
        <w:rPr>
          <w:rFonts w:ascii="Times New Roman" w:hAnsi="Times New Roman" w:cs="Times New Roman"/>
          <w:b/>
          <w:sz w:val="24"/>
          <w:szCs w:val="24"/>
          <w:lang w:val="en-GB"/>
        </w:rPr>
      </w:pPr>
      <w:r w:rsidRPr="007C3808">
        <w:rPr>
          <w:rFonts w:ascii="Times New Roman" w:hAnsi="Times New Roman" w:cs="Times New Roman"/>
          <w:b/>
          <w:sz w:val="24"/>
          <w:szCs w:val="24"/>
          <w:lang w:val="en-GB"/>
        </w:rPr>
        <w:t>Grant No.:</w:t>
      </w:r>
      <w:r w:rsidR="007215F0" w:rsidRPr="007215F0">
        <w:t xml:space="preserve"> </w:t>
      </w:r>
      <w:r w:rsidR="007215F0" w:rsidRPr="007215F0">
        <w:rPr>
          <w:rFonts w:ascii="Times New Roman" w:hAnsi="Times New Roman" w:cs="Times New Roman"/>
          <w:sz w:val="24"/>
          <w:szCs w:val="24"/>
          <w:lang w:val="en-GB"/>
        </w:rPr>
        <w:t>TF0C3092</w:t>
      </w:r>
    </w:p>
    <w:p w14:paraId="72C87EB3" w14:textId="77777777" w:rsidR="006F4BF5" w:rsidRPr="006F4BF5" w:rsidRDefault="006F4BF5" w:rsidP="006F4BF5">
      <w:pPr>
        <w:spacing w:after="0" w:line="240" w:lineRule="auto"/>
        <w:jc w:val="both"/>
        <w:rPr>
          <w:rFonts w:ascii="Times New Roman" w:hAnsi="Times New Roman" w:cs="Times New Roman"/>
          <w:sz w:val="24"/>
          <w:szCs w:val="24"/>
          <w:lang w:val="en-GB"/>
        </w:rPr>
      </w:pPr>
    </w:p>
    <w:p w14:paraId="658497C4" w14:textId="26FC8154" w:rsidR="006F4BF5" w:rsidRPr="006F4BF5" w:rsidRDefault="006F4BF5" w:rsidP="006F4BF5">
      <w:pPr>
        <w:spacing w:after="0" w:line="240" w:lineRule="auto"/>
        <w:jc w:val="both"/>
        <w:rPr>
          <w:rFonts w:ascii="Times New Roman" w:hAnsi="Times New Roman" w:cs="Times New Roman"/>
          <w:sz w:val="24"/>
          <w:szCs w:val="24"/>
          <w:lang w:val="en-GB"/>
        </w:rPr>
      </w:pPr>
      <w:r w:rsidRPr="00A95C98">
        <w:rPr>
          <w:rFonts w:ascii="Times New Roman" w:hAnsi="Times New Roman" w:cs="Times New Roman"/>
          <w:b/>
          <w:sz w:val="24"/>
          <w:szCs w:val="24"/>
          <w:lang w:val="en-GB"/>
        </w:rPr>
        <w:t>Assignment Title:</w:t>
      </w:r>
      <w:r w:rsidRPr="006F4BF5">
        <w:rPr>
          <w:rFonts w:ascii="Times New Roman" w:hAnsi="Times New Roman" w:cs="Times New Roman"/>
          <w:sz w:val="24"/>
          <w:szCs w:val="24"/>
          <w:lang w:val="en-GB"/>
        </w:rPr>
        <w:t xml:space="preserve"> Consultancy Services </w:t>
      </w:r>
      <w:r w:rsidR="00F83573">
        <w:rPr>
          <w:rFonts w:ascii="Times New Roman" w:hAnsi="Times New Roman" w:cs="Times New Roman"/>
          <w:sz w:val="24"/>
          <w:szCs w:val="24"/>
          <w:lang w:val="en-GB"/>
        </w:rPr>
        <w:t>f</w:t>
      </w:r>
      <w:r w:rsidRPr="006F4BF5">
        <w:rPr>
          <w:rFonts w:ascii="Times New Roman" w:hAnsi="Times New Roman" w:cs="Times New Roman"/>
          <w:sz w:val="24"/>
          <w:szCs w:val="24"/>
          <w:lang w:val="en-GB"/>
        </w:rPr>
        <w:t xml:space="preserve">or Increasing Competition </w:t>
      </w:r>
      <w:r w:rsidR="007469AE">
        <w:rPr>
          <w:rFonts w:ascii="Times New Roman" w:hAnsi="Times New Roman" w:cs="Times New Roman"/>
          <w:sz w:val="24"/>
          <w:szCs w:val="24"/>
          <w:lang w:val="en-GB"/>
        </w:rPr>
        <w:t>a</w:t>
      </w:r>
      <w:r w:rsidRPr="006F4BF5">
        <w:rPr>
          <w:rFonts w:ascii="Times New Roman" w:hAnsi="Times New Roman" w:cs="Times New Roman"/>
          <w:sz w:val="24"/>
          <w:szCs w:val="24"/>
          <w:lang w:val="en-GB"/>
        </w:rPr>
        <w:t xml:space="preserve">nd Transparency </w:t>
      </w:r>
      <w:r w:rsidR="007215F0">
        <w:rPr>
          <w:rFonts w:ascii="Times New Roman" w:hAnsi="Times New Roman" w:cs="Times New Roman"/>
          <w:sz w:val="24"/>
          <w:szCs w:val="24"/>
          <w:lang w:val="en-GB"/>
        </w:rPr>
        <w:t>i</w:t>
      </w:r>
      <w:r w:rsidRPr="006F4BF5">
        <w:rPr>
          <w:rFonts w:ascii="Times New Roman" w:hAnsi="Times New Roman" w:cs="Times New Roman"/>
          <w:sz w:val="24"/>
          <w:szCs w:val="24"/>
          <w:lang w:val="en-GB"/>
        </w:rPr>
        <w:t>n Natural Gas Market</w:t>
      </w:r>
    </w:p>
    <w:p w14:paraId="223973F4" w14:textId="77777777" w:rsidR="00A95C98" w:rsidRDefault="00A95C98" w:rsidP="006F4BF5">
      <w:pPr>
        <w:spacing w:after="0" w:line="240" w:lineRule="auto"/>
        <w:jc w:val="both"/>
        <w:rPr>
          <w:rFonts w:ascii="Times New Roman" w:hAnsi="Times New Roman" w:cs="Times New Roman"/>
          <w:sz w:val="24"/>
          <w:szCs w:val="24"/>
          <w:lang w:val="en-GB"/>
        </w:rPr>
      </w:pPr>
    </w:p>
    <w:p w14:paraId="3563FAAB" w14:textId="532CDC0C" w:rsidR="006F4BF5" w:rsidRDefault="006F4BF5" w:rsidP="006F4BF5">
      <w:pPr>
        <w:spacing w:after="0" w:line="240" w:lineRule="auto"/>
        <w:jc w:val="both"/>
        <w:rPr>
          <w:rFonts w:ascii="Times New Roman" w:hAnsi="Times New Roman" w:cs="Times New Roman"/>
          <w:sz w:val="24"/>
          <w:szCs w:val="24"/>
          <w:lang w:val="en-GB"/>
        </w:rPr>
      </w:pPr>
      <w:r w:rsidRPr="00A95C98">
        <w:rPr>
          <w:rFonts w:ascii="Times New Roman" w:hAnsi="Times New Roman" w:cs="Times New Roman"/>
          <w:b/>
          <w:sz w:val="24"/>
          <w:szCs w:val="24"/>
          <w:lang w:val="en-GB"/>
        </w:rPr>
        <w:t>Reference No:</w:t>
      </w:r>
      <w:r w:rsidRPr="006F4BF5">
        <w:rPr>
          <w:rFonts w:ascii="Times New Roman" w:hAnsi="Times New Roman" w:cs="Times New Roman"/>
          <w:sz w:val="24"/>
          <w:szCs w:val="24"/>
          <w:lang w:val="en-GB"/>
        </w:rPr>
        <w:t xml:space="preserve"> CS04</w:t>
      </w:r>
      <w:r w:rsidR="00C953D0">
        <w:rPr>
          <w:rFonts w:ascii="Times New Roman" w:hAnsi="Times New Roman" w:cs="Times New Roman"/>
          <w:sz w:val="24"/>
          <w:szCs w:val="24"/>
          <w:lang w:val="en-GB"/>
        </w:rPr>
        <w:t>b</w:t>
      </w:r>
    </w:p>
    <w:p w14:paraId="6C502F46" w14:textId="77777777" w:rsidR="006F4BF5" w:rsidRPr="006F4BF5" w:rsidRDefault="006F4BF5" w:rsidP="006F4BF5">
      <w:pPr>
        <w:spacing w:after="0" w:line="240" w:lineRule="auto"/>
        <w:jc w:val="both"/>
        <w:rPr>
          <w:rFonts w:ascii="Times New Roman" w:hAnsi="Times New Roman" w:cs="Times New Roman"/>
          <w:sz w:val="24"/>
          <w:szCs w:val="24"/>
          <w:lang w:val="en-GB"/>
        </w:rPr>
      </w:pPr>
    </w:p>
    <w:p w14:paraId="160E1035" w14:textId="60A74657" w:rsidR="006F4BF5" w:rsidRPr="001C65CC" w:rsidRDefault="006F4BF5" w:rsidP="00C40618">
      <w:pPr>
        <w:pStyle w:val="ListeParagraf"/>
        <w:numPr>
          <w:ilvl w:val="0"/>
          <w:numId w:val="11"/>
        </w:numPr>
        <w:spacing w:after="0" w:line="240" w:lineRule="auto"/>
        <w:jc w:val="both"/>
        <w:rPr>
          <w:rFonts w:ascii="Times New Roman" w:hAnsi="Times New Roman" w:cs="Times New Roman"/>
          <w:sz w:val="24"/>
          <w:szCs w:val="24"/>
          <w:lang w:val="en-GB"/>
        </w:rPr>
      </w:pPr>
      <w:r w:rsidRPr="001C65CC">
        <w:rPr>
          <w:rFonts w:ascii="Times New Roman" w:hAnsi="Times New Roman" w:cs="Times New Roman"/>
          <w:sz w:val="24"/>
          <w:szCs w:val="24"/>
          <w:lang w:val="en-GB"/>
        </w:rPr>
        <w:t xml:space="preserve">The Ministry of Energy and Natural Resources (MENR) has received a grant from the European Union toward the cost of the EU Instrument for Pre-Accession (IPA) </w:t>
      </w:r>
      <w:bookmarkStart w:id="1" w:name="_Hlk152590091"/>
      <w:r w:rsidRPr="001C65CC">
        <w:rPr>
          <w:rFonts w:ascii="Times New Roman" w:hAnsi="Times New Roman" w:cs="Times New Roman"/>
          <w:sz w:val="24"/>
          <w:szCs w:val="24"/>
          <w:lang w:val="en-GB"/>
        </w:rPr>
        <w:t xml:space="preserve">2018 </w:t>
      </w:r>
      <w:bookmarkEnd w:id="1"/>
      <w:r w:rsidRPr="001C65CC">
        <w:rPr>
          <w:rFonts w:ascii="Times New Roman" w:hAnsi="Times New Roman" w:cs="Times New Roman"/>
          <w:sz w:val="24"/>
          <w:szCs w:val="24"/>
          <w:lang w:val="en-GB"/>
        </w:rPr>
        <w:t>Energy Sector Program Phase I</w:t>
      </w:r>
      <w:r w:rsidR="00452FB3" w:rsidRPr="001C65CC">
        <w:rPr>
          <w:rFonts w:ascii="Times New Roman" w:hAnsi="Times New Roman" w:cs="Times New Roman"/>
          <w:sz w:val="24"/>
          <w:szCs w:val="24"/>
          <w:lang w:val="en-GB"/>
        </w:rPr>
        <w:t>II</w:t>
      </w:r>
      <w:r w:rsidRPr="001C65CC">
        <w:rPr>
          <w:rFonts w:ascii="Times New Roman" w:hAnsi="Times New Roman" w:cs="Times New Roman"/>
          <w:sz w:val="24"/>
          <w:szCs w:val="24"/>
          <w:lang w:val="en-GB"/>
        </w:rPr>
        <w:t xml:space="preserve"> Project</w:t>
      </w:r>
      <w:r w:rsidR="00452FB3" w:rsidRPr="001C65CC">
        <w:rPr>
          <w:rFonts w:ascii="Times New Roman" w:hAnsi="Times New Roman" w:cs="Times New Roman"/>
          <w:sz w:val="24"/>
          <w:szCs w:val="24"/>
          <w:lang w:val="en-GB"/>
        </w:rPr>
        <w:t xml:space="preserve"> which will be jointly implemented with the World Bank</w:t>
      </w:r>
      <w:r w:rsidRPr="001C65CC">
        <w:rPr>
          <w:rFonts w:ascii="Times New Roman" w:hAnsi="Times New Roman" w:cs="Times New Roman"/>
          <w:sz w:val="24"/>
          <w:szCs w:val="24"/>
          <w:lang w:val="en-GB"/>
        </w:rPr>
        <w:t xml:space="preserve">, and intends to apply part of the proceeds for the </w:t>
      </w:r>
      <w:r w:rsidR="00374C3C">
        <w:rPr>
          <w:rFonts w:ascii="Times New Roman" w:hAnsi="Times New Roman" w:cs="Times New Roman"/>
          <w:sz w:val="24"/>
          <w:szCs w:val="24"/>
          <w:lang w:val="en-GB"/>
        </w:rPr>
        <w:t>c</w:t>
      </w:r>
      <w:r w:rsidRPr="001C65CC">
        <w:rPr>
          <w:rFonts w:ascii="Times New Roman" w:hAnsi="Times New Roman" w:cs="Times New Roman"/>
          <w:sz w:val="24"/>
          <w:szCs w:val="24"/>
          <w:lang w:val="en-GB"/>
        </w:rPr>
        <w:t xml:space="preserve">onsulting </w:t>
      </w:r>
      <w:r w:rsidR="00374C3C">
        <w:rPr>
          <w:rFonts w:ascii="Times New Roman" w:hAnsi="Times New Roman" w:cs="Times New Roman"/>
          <w:sz w:val="24"/>
          <w:szCs w:val="24"/>
          <w:lang w:val="en-GB"/>
        </w:rPr>
        <w:t>s</w:t>
      </w:r>
      <w:r w:rsidRPr="001C65CC">
        <w:rPr>
          <w:rFonts w:ascii="Times New Roman" w:hAnsi="Times New Roman" w:cs="Times New Roman"/>
          <w:sz w:val="24"/>
          <w:szCs w:val="24"/>
          <w:lang w:val="en-GB"/>
        </w:rPr>
        <w:t>ervices.</w:t>
      </w:r>
    </w:p>
    <w:p w14:paraId="6BAA4296" w14:textId="77777777" w:rsidR="006F4BF5" w:rsidRDefault="006F4BF5">
      <w:pPr>
        <w:spacing w:after="0" w:line="240" w:lineRule="auto"/>
        <w:jc w:val="both"/>
        <w:rPr>
          <w:rFonts w:ascii="Times New Roman" w:hAnsi="Times New Roman" w:cs="Times New Roman"/>
          <w:sz w:val="24"/>
          <w:szCs w:val="24"/>
          <w:lang w:val="en-GB"/>
        </w:rPr>
      </w:pPr>
    </w:p>
    <w:p w14:paraId="2411C4A9" w14:textId="67103606" w:rsidR="006F4BF5" w:rsidRPr="001C65CC" w:rsidRDefault="006F4BF5" w:rsidP="00C40618">
      <w:pPr>
        <w:pStyle w:val="ListeParagraf"/>
        <w:numPr>
          <w:ilvl w:val="0"/>
          <w:numId w:val="11"/>
        </w:numPr>
        <w:spacing w:after="0" w:line="240" w:lineRule="auto"/>
        <w:jc w:val="both"/>
        <w:rPr>
          <w:rFonts w:ascii="Times New Roman" w:hAnsi="Times New Roman" w:cs="Times New Roman"/>
          <w:sz w:val="24"/>
          <w:szCs w:val="24"/>
          <w:lang w:val="en-GB"/>
        </w:rPr>
      </w:pPr>
      <w:r w:rsidRPr="001C65CC">
        <w:rPr>
          <w:rFonts w:ascii="Times New Roman" w:hAnsi="Times New Roman" w:cs="Times New Roman"/>
          <w:sz w:val="24"/>
          <w:szCs w:val="24"/>
          <w:lang w:val="en-GB"/>
        </w:rPr>
        <w:t xml:space="preserve">The </w:t>
      </w:r>
      <w:r w:rsidR="00374C3C">
        <w:rPr>
          <w:rFonts w:ascii="Times New Roman" w:hAnsi="Times New Roman" w:cs="Times New Roman"/>
          <w:sz w:val="24"/>
          <w:szCs w:val="24"/>
          <w:lang w:val="en-GB"/>
        </w:rPr>
        <w:t>c</w:t>
      </w:r>
      <w:r w:rsidRPr="001C65CC">
        <w:rPr>
          <w:rFonts w:ascii="Times New Roman" w:hAnsi="Times New Roman" w:cs="Times New Roman"/>
          <w:sz w:val="24"/>
          <w:szCs w:val="24"/>
          <w:lang w:val="en-GB"/>
        </w:rPr>
        <w:t xml:space="preserve">onsulting </w:t>
      </w:r>
      <w:r w:rsidR="00374C3C">
        <w:rPr>
          <w:rFonts w:ascii="Times New Roman" w:hAnsi="Times New Roman" w:cs="Times New Roman"/>
          <w:sz w:val="24"/>
          <w:szCs w:val="24"/>
          <w:lang w:val="en-GB"/>
        </w:rPr>
        <w:t>s</w:t>
      </w:r>
      <w:r w:rsidRPr="001C65CC">
        <w:rPr>
          <w:rFonts w:ascii="Times New Roman" w:hAnsi="Times New Roman" w:cs="Times New Roman"/>
          <w:sz w:val="24"/>
          <w:szCs w:val="24"/>
          <w:lang w:val="en-GB"/>
        </w:rPr>
        <w:t xml:space="preserve">ervices (“the Services”) aim to support the Energy Market Regulatory Authority (EMRA) in monitoring the gas market and implementing the secondary legislation on supplier of last resort and market maker mechanisms through enhancing the capacity of the EMRA staff. </w:t>
      </w:r>
    </w:p>
    <w:p w14:paraId="16CD36CE" w14:textId="77777777" w:rsidR="00CF21DC" w:rsidRPr="006F4BF5" w:rsidRDefault="00CF21DC">
      <w:pPr>
        <w:spacing w:after="0" w:line="240" w:lineRule="auto"/>
        <w:jc w:val="both"/>
        <w:rPr>
          <w:rFonts w:ascii="Times New Roman" w:hAnsi="Times New Roman" w:cs="Times New Roman"/>
          <w:sz w:val="24"/>
          <w:szCs w:val="24"/>
          <w:lang w:val="en-GB"/>
        </w:rPr>
      </w:pPr>
    </w:p>
    <w:p w14:paraId="58B24E5A" w14:textId="6706F2FA" w:rsidR="006F4BF5" w:rsidRPr="00DB0265" w:rsidRDefault="00DB0265" w:rsidP="00DB0265">
      <w:pPr>
        <w:spacing w:after="0" w:line="24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      </w:t>
      </w:r>
      <w:r w:rsidR="006F4BF5" w:rsidRPr="00DB0265">
        <w:rPr>
          <w:rFonts w:ascii="Times New Roman" w:hAnsi="Times New Roman" w:cs="Times New Roman"/>
          <w:sz w:val="24"/>
          <w:szCs w:val="24"/>
          <w:lang w:val="en-GB"/>
        </w:rPr>
        <w:t>The Services to be provided include:</w:t>
      </w:r>
    </w:p>
    <w:p w14:paraId="4B74AD0F" w14:textId="27B37138" w:rsidR="006F4BF5" w:rsidRPr="00C40618" w:rsidRDefault="006F4BF5" w:rsidP="00C40618">
      <w:pPr>
        <w:pStyle w:val="ListeParagraf"/>
        <w:numPr>
          <w:ilvl w:val="0"/>
          <w:numId w:val="1"/>
        </w:numPr>
        <w:spacing w:after="0" w:line="240" w:lineRule="auto"/>
        <w:jc w:val="both"/>
        <w:rPr>
          <w:rFonts w:ascii="Times New Roman" w:hAnsi="Times New Roman" w:cs="Times New Roman"/>
          <w:sz w:val="24"/>
          <w:szCs w:val="24"/>
          <w:lang w:val="en-GB"/>
        </w:rPr>
      </w:pPr>
      <w:r w:rsidRPr="00C40618">
        <w:rPr>
          <w:rFonts w:ascii="Times New Roman" w:hAnsi="Times New Roman" w:cs="Times New Roman"/>
          <w:sz w:val="24"/>
          <w:szCs w:val="24"/>
          <w:lang w:val="en-GB"/>
        </w:rPr>
        <w:t>Trainings, workshops and study visits on the legislation aiming to increase competition and transparency in natural gas markets and on Good Practices on Regional Implementation</w:t>
      </w:r>
    </w:p>
    <w:p w14:paraId="43956558" w14:textId="6E17DE5C" w:rsidR="006F4BF5" w:rsidRPr="00C40618" w:rsidRDefault="006F4BF5" w:rsidP="00C40618">
      <w:pPr>
        <w:pStyle w:val="ListeParagraf"/>
        <w:numPr>
          <w:ilvl w:val="0"/>
          <w:numId w:val="1"/>
        </w:numPr>
        <w:jc w:val="both"/>
        <w:rPr>
          <w:rFonts w:ascii="Times New Roman" w:hAnsi="Times New Roman" w:cs="Times New Roman"/>
          <w:sz w:val="24"/>
          <w:szCs w:val="24"/>
          <w:lang w:val="en-GB"/>
        </w:rPr>
      </w:pPr>
      <w:r w:rsidRPr="00C40618">
        <w:rPr>
          <w:rFonts w:ascii="Times New Roman" w:hAnsi="Times New Roman" w:cs="Times New Roman"/>
          <w:sz w:val="24"/>
          <w:szCs w:val="24"/>
          <w:lang w:val="en-GB"/>
        </w:rPr>
        <w:t>Support on drafting of legislation aiming to increase competition and transparency in natural gas markets</w:t>
      </w:r>
    </w:p>
    <w:p w14:paraId="518E09F5" w14:textId="1FBA3015" w:rsidR="006F4BF5" w:rsidRPr="000A3203" w:rsidRDefault="006F4BF5" w:rsidP="000A3203">
      <w:pPr>
        <w:pStyle w:val="ListeParagraf"/>
        <w:numPr>
          <w:ilvl w:val="0"/>
          <w:numId w:val="2"/>
        </w:numPr>
        <w:spacing w:after="0" w:line="240" w:lineRule="auto"/>
        <w:rPr>
          <w:rFonts w:ascii="Times New Roman" w:hAnsi="Times New Roman" w:cs="Times New Roman"/>
          <w:sz w:val="24"/>
          <w:szCs w:val="24"/>
          <w:lang w:val="en-GB"/>
        </w:rPr>
      </w:pPr>
      <w:r w:rsidRPr="000A3203">
        <w:rPr>
          <w:rFonts w:ascii="Times New Roman" w:hAnsi="Times New Roman" w:cs="Times New Roman"/>
          <w:sz w:val="24"/>
          <w:szCs w:val="24"/>
          <w:lang w:val="en-GB"/>
        </w:rPr>
        <w:t>Proposing supplier of last resort and market maker mechanisms</w:t>
      </w:r>
    </w:p>
    <w:p w14:paraId="3FA547E8" w14:textId="0F5A1B78" w:rsidR="006F4BF5" w:rsidRDefault="00F83573" w:rsidP="00374C3C">
      <w:pPr>
        <w:pStyle w:val="ListeParagraf"/>
        <w:numPr>
          <w:ilvl w:val="0"/>
          <w:numId w:val="2"/>
        </w:numPr>
        <w:tabs>
          <w:tab w:val="left" w:pos="720"/>
        </w:tabs>
        <w:spacing w:after="0" w:line="240" w:lineRule="auto"/>
        <w:ind w:left="720" w:firstLine="0"/>
        <w:jc w:val="both"/>
        <w:rPr>
          <w:rFonts w:ascii="Times New Roman" w:hAnsi="Times New Roman" w:cs="Times New Roman"/>
          <w:sz w:val="24"/>
          <w:szCs w:val="24"/>
          <w:lang w:val="en-GB"/>
        </w:rPr>
      </w:pPr>
      <w:r>
        <w:rPr>
          <w:rFonts w:ascii="Times New Roman" w:hAnsi="Times New Roman" w:cs="Times New Roman"/>
          <w:sz w:val="24"/>
          <w:szCs w:val="24"/>
          <w:lang w:val="en-GB"/>
        </w:rPr>
        <w:t>Organisation of workshops to consult proposed design</w:t>
      </w:r>
    </w:p>
    <w:p w14:paraId="68198121" w14:textId="386898CD" w:rsidR="00F83573" w:rsidRDefault="00F83573" w:rsidP="00374C3C">
      <w:pPr>
        <w:pStyle w:val="ListeParagraf"/>
        <w:numPr>
          <w:ilvl w:val="0"/>
          <w:numId w:val="2"/>
        </w:numPr>
        <w:tabs>
          <w:tab w:val="left" w:pos="720"/>
        </w:tabs>
        <w:spacing w:after="0" w:line="240" w:lineRule="auto"/>
        <w:ind w:left="720" w:firstLine="0"/>
        <w:jc w:val="both"/>
        <w:rPr>
          <w:rFonts w:ascii="Times New Roman" w:hAnsi="Times New Roman" w:cs="Times New Roman"/>
          <w:sz w:val="24"/>
          <w:szCs w:val="24"/>
          <w:lang w:val="en-GB"/>
        </w:rPr>
      </w:pPr>
      <w:r>
        <w:rPr>
          <w:rFonts w:ascii="Times New Roman" w:hAnsi="Times New Roman" w:cs="Times New Roman"/>
          <w:sz w:val="24"/>
          <w:szCs w:val="24"/>
          <w:lang w:val="en-GB"/>
        </w:rPr>
        <w:t>Impact analysis of determined mechanisms</w:t>
      </w:r>
    </w:p>
    <w:p w14:paraId="1FBAB363" w14:textId="59BC3628" w:rsidR="00F83573" w:rsidRDefault="00F83573" w:rsidP="00374C3C">
      <w:pPr>
        <w:pStyle w:val="ListeParagraf"/>
        <w:numPr>
          <w:ilvl w:val="0"/>
          <w:numId w:val="2"/>
        </w:numPr>
        <w:tabs>
          <w:tab w:val="left" w:pos="720"/>
        </w:tabs>
        <w:spacing w:after="0" w:line="240" w:lineRule="auto"/>
        <w:ind w:left="720" w:firstLine="0"/>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Proposing changes to existing legislation to implement proposed mechanisms and enhance conformity with EU legislation on monitoring </w:t>
      </w:r>
    </w:p>
    <w:p w14:paraId="6B53795D" w14:textId="429D8510" w:rsidR="00F83573" w:rsidRDefault="00F83573" w:rsidP="00374C3C">
      <w:pPr>
        <w:pStyle w:val="ListeParagraf"/>
        <w:numPr>
          <w:ilvl w:val="0"/>
          <w:numId w:val="2"/>
        </w:numPr>
        <w:tabs>
          <w:tab w:val="left" w:pos="720"/>
        </w:tabs>
        <w:spacing w:after="0" w:line="240" w:lineRule="auto"/>
        <w:ind w:left="720" w:firstLine="0"/>
        <w:jc w:val="both"/>
        <w:rPr>
          <w:rFonts w:ascii="Times New Roman" w:hAnsi="Times New Roman" w:cs="Times New Roman"/>
          <w:sz w:val="24"/>
          <w:szCs w:val="24"/>
          <w:lang w:val="en-GB"/>
        </w:rPr>
      </w:pPr>
      <w:r>
        <w:rPr>
          <w:rFonts w:ascii="Times New Roman" w:hAnsi="Times New Roman" w:cs="Times New Roman"/>
          <w:sz w:val="24"/>
          <w:szCs w:val="24"/>
          <w:lang w:val="en-GB"/>
        </w:rPr>
        <w:t>Draft articles to be included in secondary legislation to be adopted for supplier of last resort and market maker mechanisms.</w:t>
      </w:r>
    </w:p>
    <w:p w14:paraId="30068AF5" w14:textId="3CFAF2DB" w:rsidR="00F83573" w:rsidRPr="006F4BF5" w:rsidRDefault="00F83573" w:rsidP="00374C3C">
      <w:pPr>
        <w:pStyle w:val="ListeParagraf"/>
        <w:numPr>
          <w:ilvl w:val="0"/>
          <w:numId w:val="2"/>
        </w:numPr>
        <w:tabs>
          <w:tab w:val="left" w:pos="720"/>
        </w:tabs>
        <w:spacing w:after="0" w:line="240" w:lineRule="auto"/>
        <w:ind w:left="720" w:firstLine="0"/>
        <w:jc w:val="both"/>
        <w:rPr>
          <w:rFonts w:ascii="Times New Roman" w:hAnsi="Times New Roman" w:cs="Times New Roman"/>
          <w:sz w:val="24"/>
          <w:szCs w:val="24"/>
          <w:lang w:val="en-GB"/>
        </w:rPr>
      </w:pPr>
      <w:r>
        <w:rPr>
          <w:rFonts w:ascii="Times New Roman" w:hAnsi="Times New Roman" w:cs="Times New Roman"/>
          <w:sz w:val="24"/>
          <w:szCs w:val="24"/>
          <w:lang w:val="en-GB"/>
        </w:rPr>
        <w:t>Roadmap for implementation</w:t>
      </w:r>
    </w:p>
    <w:p w14:paraId="15A55444" w14:textId="77777777" w:rsidR="00F83573" w:rsidRDefault="00F83573">
      <w:pPr>
        <w:spacing w:after="0" w:line="240" w:lineRule="auto"/>
        <w:jc w:val="both"/>
        <w:rPr>
          <w:rFonts w:ascii="Times New Roman" w:hAnsi="Times New Roman" w:cs="Times New Roman"/>
          <w:sz w:val="24"/>
          <w:szCs w:val="24"/>
          <w:lang w:val="en-GB"/>
        </w:rPr>
      </w:pPr>
    </w:p>
    <w:p w14:paraId="63B3CA1C" w14:textId="6392F669" w:rsidR="00CB79B9" w:rsidRDefault="00CB79B9" w:rsidP="00CB79B9">
      <w:pPr>
        <w:pStyle w:val="ListeParagraf"/>
        <w:shd w:val="clear" w:color="auto" w:fill="FFFFFF"/>
        <w:spacing w:after="150" w:line="240" w:lineRule="auto"/>
        <w:jc w:val="both"/>
        <w:rPr>
          <w:rFonts w:ascii="Times New Roman" w:hAnsi="Times New Roman" w:cs="Times New Roman"/>
          <w:sz w:val="24"/>
          <w:szCs w:val="24"/>
          <w:lang w:val="en-GB"/>
        </w:rPr>
      </w:pPr>
      <w:r w:rsidRPr="00CB79B9">
        <w:rPr>
          <w:rFonts w:ascii="Times New Roman" w:hAnsi="Times New Roman" w:cs="Times New Roman"/>
          <w:sz w:val="24"/>
          <w:szCs w:val="24"/>
          <w:lang w:val="en-GB"/>
        </w:rPr>
        <w:t xml:space="preserve">The detailed Terms of Reference (ToR) for the assignment </w:t>
      </w:r>
      <w:r w:rsidR="00F31E38">
        <w:rPr>
          <w:rFonts w:ascii="Times New Roman" w:hAnsi="Times New Roman" w:cs="Times New Roman"/>
          <w:sz w:val="24"/>
          <w:szCs w:val="24"/>
          <w:lang w:val="en-GB"/>
        </w:rPr>
        <w:t xml:space="preserve">is annexed to this ToR. </w:t>
      </w:r>
    </w:p>
    <w:p w14:paraId="446244EB" w14:textId="77777777" w:rsidR="00CB79B9" w:rsidRDefault="00CB79B9" w:rsidP="00CB79B9">
      <w:pPr>
        <w:pStyle w:val="ListeParagraf"/>
        <w:shd w:val="clear" w:color="auto" w:fill="FFFFFF"/>
        <w:spacing w:after="150" w:line="240" w:lineRule="auto"/>
        <w:jc w:val="both"/>
        <w:rPr>
          <w:rFonts w:ascii="Times New Roman" w:hAnsi="Times New Roman" w:cs="Times New Roman"/>
          <w:sz w:val="24"/>
          <w:szCs w:val="24"/>
          <w:lang w:val="en-GB"/>
        </w:rPr>
      </w:pPr>
    </w:p>
    <w:p w14:paraId="09252FB6" w14:textId="3958D103" w:rsidR="001C65CC" w:rsidRPr="00C40618" w:rsidRDefault="006F4BF5" w:rsidP="00CB79B9">
      <w:pPr>
        <w:pStyle w:val="ListeParagraf"/>
        <w:numPr>
          <w:ilvl w:val="0"/>
          <w:numId w:val="11"/>
        </w:numPr>
        <w:shd w:val="clear" w:color="auto" w:fill="FFFFFF"/>
        <w:spacing w:after="150" w:line="240" w:lineRule="auto"/>
        <w:jc w:val="both"/>
        <w:rPr>
          <w:rFonts w:ascii="Times New Roman" w:eastAsia="Times New Roman" w:hAnsi="Times New Roman" w:cs="Times New Roman"/>
          <w:color w:val="333333"/>
          <w:sz w:val="24"/>
          <w:szCs w:val="24"/>
        </w:rPr>
      </w:pPr>
      <w:r w:rsidRPr="001C65CC">
        <w:rPr>
          <w:rFonts w:ascii="Times New Roman" w:hAnsi="Times New Roman" w:cs="Times New Roman"/>
          <w:sz w:val="24"/>
          <w:szCs w:val="24"/>
          <w:lang w:val="en-GB"/>
        </w:rPr>
        <w:t>MENR now invites eligible consulting firms (“Consultants”) to indicate their interest in providing the</w:t>
      </w:r>
      <w:r w:rsidR="00F83573" w:rsidRPr="001C65CC">
        <w:rPr>
          <w:rFonts w:ascii="Times New Roman" w:hAnsi="Times New Roman" w:cs="Times New Roman"/>
          <w:sz w:val="24"/>
          <w:szCs w:val="24"/>
          <w:lang w:val="en-GB"/>
        </w:rPr>
        <w:t xml:space="preserve"> </w:t>
      </w:r>
      <w:r w:rsidRPr="001C65CC">
        <w:rPr>
          <w:rFonts w:ascii="Times New Roman" w:hAnsi="Times New Roman" w:cs="Times New Roman"/>
          <w:sz w:val="24"/>
          <w:szCs w:val="24"/>
          <w:lang w:val="en-GB"/>
        </w:rPr>
        <w:t>Services. Interested Consultants should provide information demonstrating that they have the required</w:t>
      </w:r>
      <w:r w:rsidR="00F83573" w:rsidRPr="001C65CC">
        <w:rPr>
          <w:rFonts w:ascii="Times New Roman" w:hAnsi="Times New Roman" w:cs="Times New Roman"/>
          <w:sz w:val="24"/>
          <w:szCs w:val="24"/>
          <w:lang w:val="en-GB"/>
        </w:rPr>
        <w:t xml:space="preserve"> </w:t>
      </w:r>
      <w:r w:rsidRPr="001C65CC">
        <w:rPr>
          <w:rFonts w:ascii="Times New Roman" w:hAnsi="Times New Roman" w:cs="Times New Roman"/>
          <w:sz w:val="24"/>
          <w:szCs w:val="24"/>
          <w:lang w:val="en-GB"/>
        </w:rPr>
        <w:t xml:space="preserve">qualifications and relevant experience to perform the Services. </w:t>
      </w:r>
    </w:p>
    <w:p w14:paraId="47ED8415" w14:textId="77777777" w:rsidR="00C40618" w:rsidRPr="00C40618" w:rsidRDefault="00C40618" w:rsidP="00C40618">
      <w:pPr>
        <w:pStyle w:val="ListeParagraf"/>
        <w:shd w:val="clear" w:color="auto" w:fill="FFFFFF"/>
        <w:spacing w:after="150" w:line="240" w:lineRule="auto"/>
        <w:jc w:val="both"/>
        <w:rPr>
          <w:rFonts w:ascii="Times New Roman" w:eastAsia="Times New Roman" w:hAnsi="Times New Roman" w:cs="Times New Roman"/>
          <w:color w:val="333333"/>
          <w:sz w:val="24"/>
          <w:szCs w:val="24"/>
        </w:rPr>
      </w:pPr>
    </w:p>
    <w:p w14:paraId="4ED963F7" w14:textId="2D959531" w:rsidR="001C65CC" w:rsidRPr="00C40618" w:rsidRDefault="001C65CC" w:rsidP="00C40618">
      <w:pPr>
        <w:pStyle w:val="ListeParagraf"/>
        <w:numPr>
          <w:ilvl w:val="0"/>
          <w:numId w:val="11"/>
        </w:numPr>
        <w:spacing w:after="0" w:line="240" w:lineRule="auto"/>
        <w:jc w:val="both"/>
        <w:rPr>
          <w:rFonts w:ascii="Times New Roman" w:hAnsi="Times New Roman" w:cs="Times New Roman"/>
          <w:sz w:val="24"/>
          <w:szCs w:val="24"/>
          <w:lang w:val="en-GB"/>
        </w:rPr>
      </w:pPr>
      <w:r w:rsidRPr="00C40618">
        <w:rPr>
          <w:rFonts w:ascii="Times New Roman" w:hAnsi="Times New Roman" w:cs="Times New Roman"/>
          <w:sz w:val="24"/>
          <w:szCs w:val="24"/>
          <w:lang w:val="en-GB"/>
        </w:rPr>
        <w:t xml:space="preserve">A consulting firm is allowed to submit the expression of interest alone if it considers itself to be fully qualified on its own for the assignment, as it is not mandatory for consultants to associate with any other firm(s), whether foreign or local. Alternatively, if consultants themselves choose to associate to enhance their qualifications and </w:t>
      </w:r>
      <w:r w:rsidRPr="00C40618">
        <w:rPr>
          <w:rFonts w:ascii="Times New Roman" w:hAnsi="Times New Roman" w:cs="Times New Roman"/>
          <w:sz w:val="24"/>
          <w:szCs w:val="24"/>
          <w:lang w:val="en-GB"/>
        </w:rPr>
        <w:lastRenderedPageBreak/>
        <w:t>capability for the assignment, then such associations may either be as a Joint Venture (</w:t>
      </w:r>
      <w:proofErr w:type="gramStart"/>
      <w:r w:rsidRPr="00C40618">
        <w:rPr>
          <w:rFonts w:ascii="Times New Roman" w:hAnsi="Times New Roman" w:cs="Times New Roman"/>
          <w:sz w:val="24"/>
          <w:szCs w:val="24"/>
          <w:lang w:val="en-GB"/>
        </w:rPr>
        <w:t>i.e.</w:t>
      </w:r>
      <w:proofErr w:type="gramEnd"/>
      <w:r w:rsidRPr="00C40618">
        <w:rPr>
          <w:rFonts w:ascii="Times New Roman" w:hAnsi="Times New Roman" w:cs="Times New Roman"/>
          <w:sz w:val="24"/>
          <w:szCs w:val="24"/>
          <w:lang w:val="en-GB"/>
        </w:rPr>
        <w:t xml:space="preserve"> all members of the joint venture shall be jointly and severally responsible) and/or Sub-consultants (i.e. the Consultant will be responsible, including for the services of the sub-consultant).  In case of an association, the Consultants must explain in the EOI submission (a) the rationale for forming the association and (b) the anticipated role and relevant qualifications of each member of the Joint Venture and/or of each sub-consultant for carrying out the assignment, to justify the proposed inclusion of the JV members and/or sub-consultants in the association. Failure to provide the above explanation in the Expression of Interest may risk the association not being shortlisted for the assignment.  Please note that in the evaluation of EOIs of associations for shortlisting purposes, only the qualifications of the JV members will be taken into account whereas the qualifications of </w:t>
      </w:r>
      <w:r w:rsidR="00EC2D53" w:rsidRPr="00C40618">
        <w:rPr>
          <w:rFonts w:ascii="Times New Roman" w:hAnsi="Times New Roman" w:cs="Times New Roman"/>
          <w:sz w:val="24"/>
          <w:szCs w:val="24"/>
          <w:lang w:val="en-GB"/>
        </w:rPr>
        <w:t>the parent,</w:t>
      </w:r>
      <w:r w:rsidR="001C3562" w:rsidRPr="00C40618">
        <w:rPr>
          <w:rFonts w:ascii="Times New Roman" w:hAnsi="Times New Roman" w:cs="Times New Roman"/>
          <w:sz w:val="24"/>
          <w:szCs w:val="24"/>
          <w:lang w:val="en-GB"/>
        </w:rPr>
        <w:t xml:space="preserve"> </w:t>
      </w:r>
      <w:r w:rsidR="00EC2D53" w:rsidRPr="00C40618">
        <w:rPr>
          <w:rFonts w:ascii="Times New Roman" w:hAnsi="Times New Roman" w:cs="Times New Roman"/>
          <w:sz w:val="24"/>
          <w:szCs w:val="24"/>
          <w:lang w:val="en-GB"/>
        </w:rPr>
        <w:t>sister or subsidiary companies or employees</w:t>
      </w:r>
      <w:r w:rsidR="001C3562" w:rsidRPr="00C40618">
        <w:rPr>
          <w:rFonts w:ascii="Times New Roman" w:hAnsi="Times New Roman" w:cs="Times New Roman"/>
          <w:sz w:val="24"/>
          <w:szCs w:val="24"/>
          <w:lang w:val="en-GB"/>
        </w:rPr>
        <w:t xml:space="preserve">, and </w:t>
      </w:r>
      <w:r w:rsidRPr="00C40618">
        <w:rPr>
          <w:rFonts w:ascii="Times New Roman" w:hAnsi="Times New Roman" w:cs="Times New Roman"/>
          <w:b/>
          <w:bCs/>
          <w:sz w:val="24"/>
          <w:szCs w:val="24"/>
          <w:lang w:val="en-GB"/>
        </w:rPr>
        <w:t>proposed sub-consultants will not be considered</w:t>
      </w:r>
      <w:r w:rsidRPr="00C40618">
        <w:rPr>
          <w:rFonts w:ascii="Times New Roman" w:hAnsi="Times New Roman" w:cs="Times New Roman"/>
          <w:sz w:val="24"/>
          <w:szCs w:val="24"/>
          <w:lang w:val="en-GB"/>
        </w:rPr>
        <w:t>.</w:t>
      </w:r>
      <w:r w:rsidR="001B72A1" w:rsidRPr="00C40618">
        <w:rPr>
          <w:rFonts w:ascii="Times New Roman" w:hAnsi="Times New Roman" w:cs="Times New Roman"/>
          <w:sz w:val="24"/>
          <w:szCs w:val="24"/>
          <w:lang w:val="en-GB"/>
        </w:rPr>
        <w:t xml:space="preserve"> </w:t>
      </w:r>
    </w:p>
    <w:p w14:paraId="551C86BA" w14:textId="77777777" w:rsidR="001C65CC" w:rsidRPr="007946E1" w:rsidRDefault="001C65CC" w:rsidP="007946E1">
      <w:pPr>
        <w:pStyle w:val="ListeParagraf"/>
        <w:shd w:val="clear" w:color="auto" w:fill="FFFFFF"/>
        <w:spacing w:after="150" w:line="240" w:lineRule="auto"/>
        <w:jc w:val="both"/>
        <w:rPr>
          <w:rFonts w:ascii="Times New Roman" w:eastAsia="Times New Roman" w:hAnsi="Times New Roman" w:cs="Times New Roman"/>
          <w:color w:val="333333"/>
          <w:sz w:val="24"/>
          <w:szCs w:val="24"/>
        </w:rPr>
      </w:pPr>
    </w:p>
    <w:p w14:paraId="1657367F" w14:textId="633A8199" w:rsidR="006F4BF5" w:rsidRPr="00C40618" w:rsidRDefault="006F4BF5" w:rsidP="00C40618">
      <w:pPr>
        <w:pStyle w:val="ListeParagraf"/>
        <w:numPr>
          <w:ilvl w:val="0"/>
          <w:numId w:val="11"/>
        </w:numPr>
        <w:shd w:val="clear" w:color="auto" w:fill="FFFFFF"/>
        <w:spacing w:after="150" w:line="240" w:lineRule="auto"/>
        <w:jc w:val="both"/>
        <w:rPr>
          <w:rFonts w:ascii="Times New Roman" w:eastAsia="Times New Roman" w:hAnsi="Times New Roman" w:cs="Times New Roman"/>
          <w:color w:val="333333"/>
          <w:sz w:val="24"/>
          <w:szCs w:val="24"/>
        </w:rPr>
      </w:pPr>
      <w:r w:rsidRPr="00C40618">
        <w:rPr>
          <w:rFonts w:ascii="Times New Roman" w:hAnsi="Times New Roman" w:cs="Times New Roman"/>
          <w:sz w:val="24"/>
          <w:szCs w:val="24"/>
          <w:lang w:val="en-GB"/>
        </w:rPr>
        <w:t xml:space="preserve">The </w:t>
      </w:r>
      <w:r w:rsidR="00374C3C" w:rsidRPr="00C40618">
        <w:rPr>
          <w:rFonts w:ascii="Times New Roman" w:hAnsi="Times New Roman" w:cs="Times New Roman"/>
          <w:sz w:val="24"/>
          <w:szCs w:val="24"/>
          <w:lang w:val="en-GB"/>
        </w:rPr>
        <w:t>selection</w:t>
      </w:r>
      <w:r w:rsidR="001C65CC" w:rsidRPr="00C40618">
        <w:rPr>
          <w:rFonts w:ascii="Times New Roman" w:hAnsi="Times New Roman" w:cs="Times New Roman"/>
          <w:sz w:val="24"/>
          <w:szCs w:val="24"/>
          <w:lang w:val="en-GB"/>
        </w:rPr>
        <w:t xml:space="preserve"> </w:t>
      </w:r>
      <w:r w:rsidRPr="00C40618">
        <w:rPr>
          <w:rFonts w:ascii="Times New Roman" w:hAnsi="Times New Roman" w:cs="Times New Roman"/>
          <w:sz w:val="24"/>
          <w:szCs w:val="24"/>
          <w:lang w:val="en-GB"/>
        </w:rPr>
        <w:t xml:space="preserve">criteria </w:t>
      </w:r>
      <w:r w:rsidR="007946E1" w:rsidRPr="00C40618">
        <w:rPr>
          <w:rFonts w:ascii="Times New Roman" w:hAnsi="Times New Roman" w:cs="Times New Roman"/>
          <w:sz w:val="24"/>
          <w:szCs w:val="24"/>
          <w:lang w:val="en-GB"/>
        </w:rPr>
        <w:t xml:space="preserve">are: </w:t>
      </w:r>
    </w:p>
    <w:p w14:paraId="1B6DA41D" w14:textId="568AC324" w:rsidR="007946E1" w:rsidRPr="00C40618" w:rsidRDefault="007946E1" w:rsidP="007946E1">
      <w:pPr>
        <w:suppressAutoHyphens/>
        <w:ind w:left="810"/>
        <w:jc w:val="both"/>
        <w:rPr>
          <w:rFonts w:ascii="Times New Roman" w:hAnsi="Times New Roman" w:cs="Times New Roman"/>
          <w:sz w:val="24"/>
          <w:szCs w:val="24"/>
          <w:lang w:val="en-GB"/>
        </w:rPr>
      </w:pPr>
      <w:r w:rsidRPr="00C40618">
        <w:rPr>
          <w:rFonts w:ascii="Times New Roman" w:hAnsi="Times New Roman" w:cs="Times New Roman"/>
          <w:iCs/>
          <w:spacing w:val="-2"/>
          <w:sz w:val="24"/>
          <w:szCs w:val="24"/>
        </w:rPr>
        <w:t xml:space="preserve">(i) General Experience of the Consultant (as a firm) in providing consultant services </w:t>
      </w:r>
      <w:r w:rsidRPr="00C40618">
        <w:rPr>
          <w:rFonts w:ascii="Times New Roman" w:hAnsi="Times New Roman" w:cs="Times New Roman"/>
          <w:sz w:val="24"/>
          <w:szCs w:val="24"/>
          <w:lang w:val="en-GB"/>
        </w:rPr>
        <w:t>should not be</w:t>
      </w:r>
      <w:r w:rsidR="006F4BF5" w:rsidRPr="00C40618">
        <w:rPr>
          <w:rFonts w:ascii="Times New Roman" w:hAnsi="Times New Roman" w:cs="Times New Roman"/>
          <w:sz w:val="24"/>
          <w:szCs w:val="24"/>
          <w:lang w:val="en-GB"/>
        </w:rPr>
        <w:t xml:space="preserve"> less than the last 5 years prior to</w:t>
      </w:r>
      <w:r w:rsidRPr="00C40618">
        <w:rPr>
          <w:rFonts w:ascii="Times New Roman" w:hAnsi="Times New Roman" w:cs="Times New Roman"/>
          <w:sz w:val="24"/>
          <w:szCs w:val="24"/>
          <w:lang w:val="en-GB"/>
        </w:rPr>
        <w:t xml:space="preserve"> </w:t>
      </w:r>
      <w:r w:rsidR="006F4BF5" w:rsidRPr="00C40618">
        <w:rPr>
          <w:rFonts w:ascii="Times New Roman" w:hAnsi="Times New Roman" w:cs="Times New Roman"/>
          <w:sz w:val="24"/>
          <w:szCs w:val="24"/>
          <w:lang w:val="en-GB"/>
        </w:rPr>
        <w:t>deadline for submission of interests;</w:t>
      </w:r>
      <w:r w:rsidRPr="00C40618">
        <w:rPr>
          <w:rFonts w:ascii="Times New Roman" w:hAnsi="Times New Roman" w:cs="Times New Roman"/>
          <w:sz w:val="24"/>
          <w:szCs w:val="24"/>
          <w:lang w:val="en-GB"/>
        </w:rPr>
        <w:t xml:space="preserve"> </w:t>
      </w:r>
    </w:p>
    <w:p w14:paraId="781C27B3" w14:textId="2AD4772E" w:rsidR="006F4BF5" w:rsidRDefault="007946E1" w:rsidP="00C40618">
      <w:pPr>
        <w:spacing w:after="0" w:line="240" w:lineRule="auto"/>
        <w:ind w:firstLine="708"/>
        <w:jc w:val="both"/>
        <w:rPr>
          <w:rFonts w:ascii="Times New Roman" w:hAnsi="Times New Roman" w:cs="Times New Roman"/>
          <w:sz w:val="24"/>
          <w:szCs w:val="24"/>
          <w:lang w:val="en-GB"/>
        </w:rPr>
      </w:pPr>
      <w:r w:rsidRPr="00C40618">
        <w:rPr>
          <w:rFonts w:ascii="Times New Roman" w:hAnsi="Times New Roman" w:cs="Times New Roman"/>
          <w:color w:val="333333"/>
          <w:sz w:val="24"/>
          <w:szCs w:val="24"/>
        </w:rPr>
        <w:t xml:space="preserve">(ii) Specific Experience of the Consultant (as a firm) relevant to the assignment in providing similar services </w:t>
      </w:r>
      <w:r w:rsidRPr="00C40618">
        <w:rPr>
          <w:rFonts w:ascii="Times New Roman" w:hAnsi="Times New Roman" w:cs="Times New Roman"/>
          <w:sz w:val="24"/>
          <w:szCs w:val="24"/>
          <w:lang w:val="en-GB"/>
        </w:rPr>
        <w:t xml:space="preserve">within the last 3 years prior to deadline for submission of interest </w:t>
      </w:r>
      <w:r w:rsidRPr="00C40618">
        <w:rPr>
          <w:rFonts w:ascii="Times New Roman" w:hAnsi="Times New Roman" w:cs="Times New Roman"/>
          <w:color w:val="333333"/>
          <w:sz w:val="24"/>
          <w:szCs w:val="24"/>
        </w:rPr>
        <w:t xml:space="preserve">under contracts of comparable size of: </w:t>
      </w:r>
      <w:r w:rsidR="006F4BF5" w:rsidRPr="00C40618">
        <w:rPr>
          <w:rFonts w:ascii="Times New Roman" w:hAnsi="Times New Roman" w:cs="Times New Roman"/>
          <w:sz w:val="24"/>
          <w:szCs w:val="24"/>
          <w:lang w:val="en-GB"/>
        </w:rPr>
        <w:t xml:space="preserve"> </w:t>
      </w:r>
    </w:p>
    <w:p w14:paraId="33ECD762" w14:textId="77777777" w:rsidR="00C40618" w:rsidRPr="00C40618" w:rsidRDefault="00C40618" w:rsidP="00C40618">
      <w:pPr>
        <w:spacing w:after="0" w:line="240" w:lineRule="auto"/>
        <w:ind w:firstLine="708"/>
        <w:jc w:val="both"/>
        <w:rPr>
          <w:rFonts w:ascii="Times New Roman" w:hAnsi="Times New Roman" w:cs="Times New Roman"/>
          <w:sz w:val="24"/>
          <w:szCs w:val="24"/>
          <w:lang w:val="en-GB"/>
        </w:rPr>
      </w:pPr>
    </w:p>
    <w:p w14:paraId="5803164B" w14:textId="25CBD89B" w:rsidR="00C40618" w:rsidRDefault="006C78D4" w:rsidP="00CB79B9">
      <w:pPr>
        <w:pStyle w:val="ListeParagraf"/>
        <w:numPr>
          <w:ilvl w:val="0"/>
          <w:numId w:val="3"/>
        </w:numPr>
        <w:spacing w:after="0" w:line="240" w:lineRule="auto"/>
        <w:jc w:val="both"/>
        <w:rPr>
          <w:rFonts w:ascii="Times New Roman" w:hAnsi="Times New Roman" w:cs="Times New Roman"/>
          <w:sz w:val="24"/>
          <w:szCs w:val="24"/>
          <w:lang w:val="en-GB"/>
        </w:rPr>
      </w:pPr>
      <w:bookmarkStart w:id="2" w:name="_Hlk161667666"/>
      <w:r w:rsidRPr="00C40618">
        <w:rPr>
          <w:rFonts w:ascii="Times New Roman" w:hAnsi="Times New Roman" w:cs="Times New Roman"/>
          <w:sz w:val="24"/>
          <w:szCs w:val="24"/>
          <w:lang w:val="en-GB"/>
        </w:rPr>
        <w:t>Experience in operations or providing support to operations of active energy exchanges (Experience in providing support to design and/or implementation and/or monitoring of supplier of last resort or market maker mechanisms in the energy markets is a strong asset.)</w:t>
      </w:r>
    </w:p>
    <w:p w14:paraId="4D21E38E" w14:textId="01A5FDB7" w:rsidR="00CF21DC" w:rsidRPr="00C40618" w:rsidRDefault="00CF21DC" w:rsidP="00C40618">
      <w:pPr>
        <w:pStyle w:val="ListeParagraf"/>
        <w:numPr>
          <w:ilvl w:val="0"/>
          <w:numId w:val="3"/>
        </w:numPr>
        <w:spacing w:after="0" w:line="240" w:lineRule="auto"/>
        <w:jc w:val="both"/>
        <w:rPr>
          <w:rFonts w:ascii="Times New Roman" w:hAnsi="Times New Roman" w:cs="Times New Roman"/>
          <w:sz w:val="24"/>
          <w:szCs w:val="24"/>
          <w:lang w:val="en-GB"/>
        </w:rPr>
      </w:pPr>
      <w:r w:rsidRPr="00C40618">
        <w:rPr>
          <w:rFonts w:ascii="Times New Roman" w:hAnsi="Times New Roman" w:cs="Times New Roman"/>
          <w:sz w:val="24"/>
          <w:szCs w:val="24"/>
          <w:lang w:val="en-GB"/>
        </w:rPr>
        <w:t xml:space="preserve">Experience in drafting primary and/or secondary legislation in the natural gas market </w:t>
      </w:r>
    </w:p>
    <w:p w14:paraId="3AE293B1" w14:textId="31E1F77C" w:rsidR="006C78D4" w:rsidRPr="00C40618" w:rsidRDefault="006C78D4">
      <w:pPr>
        <w:pStyle w:val="ListeParagraf"/>
        <w:numPr>
          <w:ilvl w:val="0"/>
          <w:numId w:val="3"/>
        </w:numPr>
        <w:spacing w:after="0" w:line="240" w:lineRule="auto"/>
        <w:jc w:val="both"/>
        <w:rPr>
          <w:rFonts w:ascii="Times New Roman" w:hAnsi="Times New Roman" w:cs="Times New Roman"/>
          <w:sz w:val="24"/>
          <w:szCs w:val="24"/>
          <w:lang w:val="en-GB"/>
        </w:rPr>
      </w:pPr>
      <w:r w:rsidRPr="00C40618">
        <w:rPr>
          <w:rFonts w:ascii="Times New Roman" w:hAnsi="Times New Roman" w:cs="Times New Roman"/>
          <w:sz w:val="24"/>
          <w:szCs w:val="24"/>
          <w:lang w:val="en-GB"/>
        </w:rPr>
        <w:t>Experience in Gas Transmission Activities and/or compliance with ENTSO-G regulations on topics such as network codes, capacity allocation mechanisms and congestion management</w:t>
      </w:r>
    </w:p>
    <w:p w14:paraId="33DD05C8" w14:textId="248AF356" w:rsidR="006C78D4" w:rsidRPr="00C40618" w:rsidRDefault="00CF21DC" w:rsidP="00C40618">
      <w:pPr>
        <w:pStyle w:val="ListeParagraf"/>
        <w:numPr>
          <w:ilvl w:val="0"/>
          <w:numId w:val="3"/>
        </w:numPr>
        <w:spacing w:after="0" w:line="240" w:lineRule="auto"/>
        <w:jc w:val="both"/>
        <w:rPr>
          <w:rFonts w:ascii="Times New Roman" w:hAnsi="Times New Roman" w:cs="Times New Roman"/>
          <w:sz w:val="24"/>
          <w:szCs w:val="24"/>
          <w:lang w:val="en-GB"/>
        </w:rPr>
      </w:pPr>
      <w:r w:rsidRPr="00C40618">
        <w:rPr>
          <w:rFonts w:ascii="Times New Roman" w:hAnsi="Times New Roman" w:cs="Times New Roman"/>
          <w:sz w:val="24"/>
          <w:szCs w:val="24"/>
          <w:lang w:val="en-GB"/>
        </w:rPr>
        <w:t>Experience in organisation of trainings in the field of gas market operations and/or legislation</w:t>
      </w:r>
    </w:p>
    <w:bookmarkEnd w:id="2"/>
    <w:p w14:paraId="168F170C" w14:textId="77777777" w:rsidR="00326CD4" w:rsidRPr="00C40618" w:rsidRDefault="00326CD4" w:rsidP="00B13B51">
      <w:pPr>
        <w:pStyle w:val="NormalWeb"/>
        <w:ind w:left="720"/>
        <w:jc w:val="both"/>
        <w:rPr>
          <w:rFonts w:ascii="Times New Roman" w:hAnsi="Times New Roman" w:cs="Times New Roman"/>
          <w:sz w:val="24"/>
          <w:szCs w:val="24"/>
        </w:rPr>
      </w:pPr>
      <w:r w:rsidRPr="00C40618">
        <w:rPr>
          <w:rStyle w:val="Gl"/>
          <w:rFonts w:ascii="Times New Roman" w:hAnsi="Times New Roman" w:cs="Times New Roman"/>
          <w:sz w:val="24"/>
          <w:szCs w:val="24"/>
        </w:rPr>
        <w:t>Since Key Experts will not be evaluated at this stage, no CVs will be included in the Expression of Interest/s (EoIs).</w:t>
      </w:r>
    </w:p>
    <w:p w14:paraId="482B369A" w14:textId="67247129" w:rsidR="007946E1" w:rsidRDefault="007946E1" w:rsidP="00C40618">
      <w:pPr>
        <w:pStyle w:val="ListeParagraf"/>
        <w:numPr>
          <w:ilvl w:val="0"/>
          <w:numId w:val="11"/>
        </w:numPr>
        <w:spacing w:after="0" w:line="240" w:lineRule="auto"/>
        <w:jc w:val="both"/>
        <w:rPr>
          <w:rFonts w:ascii="Times New Roman" w:hAnsi="Times New Roman" w:cs="Times New Roman"/>
          <w:sz w:val="24"/>
          <w:szCs w:val="24"/>
          <w:lang w:val="en-GB"/>
        </w:rPr>
      </w:pPr>
      <w:r w:rsidRPr="00C40618">
        <w:rPr>
          <w:rFonts w:ascii="Times New Roman" w:hAnsi="Times New Roman" w:cs="Times New Roman"/>
          <w:sz w:val="24"/>
          <w:szCs w:val="24"/>
          <w:lang w:val="en-GB"/>
        </w:rPr>
        <w:t xml:space="preserve">To demonstrate their qualifications and experience in meeting the above shortlisting/selection criteria, Consultants are requested to submit, at a minimum, the supporting documentation listed below.  A consultant firm can only use its own qualifications and experience and not of its parent, sister or subsidiary companies or its employees.  </w:t>
      </w:r>
    </w:p>
    <w:p w14:paraId="533303C5" w14:textId="77777777" w:rsidR="00C40618" w:rsidRPr="00C40618" w:rsidRDefault="00C40618" w:rsidP="00C40618">
      <w:pPr>
        <w:pStyle w:val="ListeParagraf"/>
        <w:spacing w:after="0" w:line="240" w:lineRule="auto"/>
        <w:jc w:val="both"/>
        <w:rPr>
          <w:rFonts w:ascii="Times New Roman" w:hAnsi="Times New Roman" w:cs="Times New Roman"/>
          <w:sz w:val="24"/>
          <w:szCs w:val="24"/>
          <w:lang w:val="en-GB"/>
        </w:rPr>
      </w:pPr>
    </w:p>
    <w:p w14:paraId="3CDA7EE6" w14:textId="71C4CDB8" w:rsidR="007946E1" w:rsidRPr="00C40618" w:rsidRDefault="007946E1" w:rsidP="00C40618">
      <w:pPr>
        <w:pStyle w:val="ListeParagraf"/>
        <w:numPr>
          <w:ilvl w:val="0"/>
          <w:numId w:val="14"/>
        </w:numPr>
        <w:spacing w:after="0" w:line="240" w:lineRule="auto"/>
        <w:jc w:val="both"/>
        <w:rPr>
          <w:rFonts w:ascii="Times New Roman" w:hAnsi="Times New Roman" w:cs="Times New Roman"/>
          <w:sz w:val="24"/>
          <w:szCs w:val="24"/>
          <w:lang w:val="en-GB"/>
        </w:rPr>
      </w:pPr>
      <w:r w:rsidRPr="00C40618">
        <w:rPr>
          <w:rFonts w:ascii="Times New Roman" w:hAnsi="Times New Roman" w:cs="Times New Roman"/>
          <w:sz w:val="24"/>
          <w:szCs w:val="24"/>
          <w:lang w:val="en-GB"/>
        </w:rPr>
        <w:t xml:space="preserve">The firm's incorporation/trade/registration documents issued by the concerned government authority of the country of the firm. </w:t>
      </w:r>
    </w:p>
    <w:p w14:paraId="254305F0" w14:textId="254BED4C" w:rsidR="007946E1" w:rsidRPr="00C40618" w:rsidRDefault="007946E1" w:rsidP="00C40618">
      <w:pPr>
        <w:pStyle w:val="ListeParagraf"/>
        <w:numPr>
          <w:ilvl w:val="0"/>
          <w:numId w:val="14"/>
        </w:numPr>
        <w:spacing w:after="0" w:line="240" w:lineRule="auto"/>
        <w:jc w:val="both"/>
        <w:rPr>
          <w:rFonts w:ascii="Times New Roman" w:hAnsi="Times New Roman" w:cs="Times New Roman"/>
          <w:sz w:val="24"/>
          <w:szCs w:val="24"/>
          <w:lang w:val="en-GB"/>
        </w:rPr>
      </w:pPr>
      <w:r w:rsidRPr="00C40618">
        <w:rPr>
          <w:rFonts w:ascii="Times New Roman" w:hAnsi="Times New Roman" w:cs="Times New Roman"/>
          <w:sz w:val="24"/>
          <w:szCs w:val="24"/>
          <w:lang w:val="en-GB"/>
        </w:rPr>
        <w:t xml:space="preserve">The firm’s company brochures including the core areas of business; and </w:t>
      </w:r>
    </w:p>
    <w:p w14:paraId="17478D80" w14:textId="4C86CA82" w:rsidR="007946E1" w:rsidRDefault="007946E1" w:rsidP="00C40618">
      <w:pPr>
        <w:pStyle w:val="ListeParagraf"/>
        <w:numPr>
          <w:ilvl w:val="0"/>
          <w:numId w:val="14"/>
        </w:numPr>
        <w:spacing w:after="0" w:line="240" w:lineRule="auto"/>
        <w:jc w:val="both"/>
        <w:rPr>
          <w:rFonts w:ascii="Times New Roman" w:hAnsi="Times New Roman" w:cs="Times New Roman"/>
          <w:sz w:val="24"/>
          <w:szCs w:val="24"/>
          <w:lang w:val="en-GB"/>
        </w:rPr>
      </w:pPr>
      <w:r w:rsidRPr="00C40618">
        <w:rPr>
          <w:rFonts w:ascii="Times New Roman" w:hAnsi="Times New Roman" w:cs="Times New Roman"/>
          <w:sz w:val="24"/>
          <w:szCs w:val="24"/>
          <w:lang w:val="en-GB"/>
        </w:rPr>
        <w:t xml:space="preserve">Completed Form-1 (attached to this Request for Expression of Interest) to provide information of similar contracts. This should include the name and reference number of the contract, brief description of the scope of work, contract amount, period of the contract, name of the client and country of assignment, and role of the Consultant in the contract.  </w:t>
      </w:r>
      <w:r w:rsidRPr="00EF37D8">
        <w:rPr>
          <w:rFonts w:ascii="Times New Roman" w:hAnsi="Times New Roman" w:cs="Times New Roman"/>
          <w:b/>
          <w:bCs/>
          <w:sz w:val="24"/>
          <w:szCs w:val="24"/>
          <w:lang w:val="en-GB"/>
        </w:rPr>
        <w:t xml:space="preserve">Copies of completion certificates/references of Clients of </w:t>
      </w:r>
      <w:r w:rsidRPr="00EF37D8">
        <w:rPr>
          <w:rFonts w:ascii="Times New Roman" w:hAnsi="Times New Roman" w:cs="Times New Roman"/>
          <w:b/>
          <w:bCs/>
          <w:sz w:val="24"/>
          <w:szCs w:val="24"/>
          <w:lang w:val="en-GB"/>
        </w:rPr>
        <w:lastRenderedPageBreak/>
        <w:t>completed contracts are not required to be submitted with the EoI.</w:t>
      </w:r>
      <w:r w:rsidRPr="00C40618">
        <w:rPr>
          <w:rFonts w:ascii="Times New Roman" w:hAnsi="Times New Roman" w:cs="Times New Roman"/>
          <w:sz w:val="24"/>
          <w:szCs w:val="24"/>
          <w:lang w:val="en-GB"/>
        </w:rPr>
        <w:t xml:space="preserve"> In the subsequent stage at the time of submission of proposals, the Client may request the shortlisted consultants to submit such supporting completion certificates.</w:t>
      </w:r>
    </w:p>
    <w:p w14:paraId="6A13CC1E" w14:textId="77777777" w:rsidR="00C40618" w:rsidRPr="00C40618" w:rsidRDefault="00C40618" w:rsidP="00C40618">
      <w:pPr>
        <w:pStyle w:val="ListeParagraf"/>
        <w:spacing w:after="0" w:line="240" w:lineRule="auto"/>
        <w:ind w:left="1080"/>
        <w:jc w:val="both"/>
        <w:rPr>
          <w:rFonts w:ascii="Times New Roman" w:hAnsi="Times New Roman" w:cs="Times New Roman"/>
          <w:sz w:val="24"/>
          <w:szCs w:val="24"/>
          <w:lang w:val="en-GB"/>
        </w:rPr>
      </w:pPr>
    </w:p>
    <w:p w14:paraId="7370B0D1" w14:textId="42DA5C74" w:rsidR="007946E1" w:rsidRDefault="007946E1" w:rsidP="00C40618">
      <w:pPr>
        <w:pStyle w:val="ListeParagraf"/>
        <w:numPr>
          <w:ilvl w:val="0"/>
          <w:numId w:val="11"/>
        </w:numPr>
        <w:spacing w:after="0" w:line="240" w:lineRule="auto"/>
        <w:jc w:val="both"/>
        <w:rPr>
          <w:rFonts w:ascii="Times New Roman" w:hAnsi="Times New Roman" w:cs="Times New Roman"/>
          <w:sz w:val="24"/>
          <w:szCs w:val="24"/>
          <w:lang w:val="en-GB"/>
        </w:rPr>
      </w:pPr>
      <w:r w:rsidRPr="00C40618">
        <w:rPr>
          <w:rFonts w:ascii="Times New Roman" w:hAnsi="Times New Roman" w:cs="Times New Roman"/>
          <w:sz w:val="24"/>
          <w:szCs w:val="24"/>
          <w:lang w:val="en-GB"/>
        </w:rPr>
        <w:t xml:space="preserve">The attention of interested Consultants is drawn to (i) paragraphs 3.16 &amp; 3.17 of the World Bank’s Procurement Regulations for IPF Borrowers: Procurement in Investment Project Financing (Goods, Works, Non-Consulting and Consulting Services) (November 2020), setting forth the World Bank's policy on conflict of interest. </w:t>
      </w:r>
    </w:p>
    <w:p w14:paraId="4E19A462" w14:textId="77777777" w:rsidR="00C40618" w:rsidRPr="00C40618" w:rsidRDefault="00C40618" w:rsidP="00C40618">
      <w:pPr>
        <w:pStyle w:val="ListeParagraf"/>
        <w:spacing w:after="0" w:line="240" w:lineRule="auto"/>
        <w:jc w:val="both"/>
        <w:rPr>
          <w:rFonts w:ascii="Times New Roman" w:hAnsi="Times New Roman" w:cs="Times New Roman"/>
          <w:sz w:val="24"/>
          <w:szCs w:val="24"/>
          <w:lang w:val="en-GB"/>
        </w:rPr>
      </w:pPr>
    </w:p>
    <w:p w14:paraId="18B7F2BC" w14:textId="77777777" w:rsidR="00C40618" w:rsidRDefault="007946E1" w:rsidP="00C40618">
      <w:pPr>
        <w:pStyle w:val="ListeParagraf"/>
        <w:numPr>
          <w:ilvl w:val="0"/>
          <w:numId w:val="11"/>
        </w:numPr>
        <w:spacing w:after="0" w:line="240" w:lineRule="auto"/>
        <w:jc w:val="both"/>
        <w:rPr>
          <w:rFonts w:ascii="Times New Roman" w:hAnsi="Times New Roman" w:cs="Times New Roman"/>
          <w:sz w:val="24"/>
          <w:szCs w:val="24"/>
          <w:lang w:val="en-GB"/>
        </w:rPr>
      </w:pPr>
      <w:r w:rsidRPr="00C40618">
        <w:rPr>
          <w:rFonts w:ascii="Times New Roman" w:hAnsi="Times New Roman" w:cs="Times New Roman"/>
          <w:sz w:val="24"/>
          <w:szCs w:val="24"/>
          <w:lang w:val="en-GB"/>
        </w:rPr>
        <w:t xml:space="preserve">9. </w:t>
      </w:r>
      <w:r w:rsidR="00374C3C" w:rsidRPr="00C40618">
        <w:rPr>
          <w:rFonts w:ascii="Times New Roman" w:hAnsi="Times New Roman" w:cs="Times New Roman"/>
          <w:sz w:val="24"/>
          <w:szCs w:val="24"/>
          <w:lang w:val="en-GB"/>
        </w:rPr>
        <w:t>A Consultant will be selected in accordance with the Consultant’s qualifications-based selection (CQS) method set out in the Procurement Regulations</w:t>
      </w:r>
    </w:p>
    <w:p w14:paraId="63E7D2FD" w14:textId="77777777" w:rsidR="00C40618" w:rsidRPr="00C40618" w:rsidRDefault="00C40618" w:rsidP="00C40618">
      <w:pPr>
        <w:pStyle w:val="ListeParagraf"/>
        <w:rPr>
          <w:rFonts w:ascii="Times New Roman" w:hAnsi="Times New Roman" w:cs="Times New Roman"/>
          <w:sz w:val="24"/>
          <w:szCs w:val="24"/>
          <w:lang w:val="en-GB"/>
        </w:rPr>
      </w:pPr>
    </w:p>
    <w:p w14:paraId="30A32055" w14:textId="23A1FEC8" w:rsidR="006B4733" w:rsidRPr="00C40618" w:rsidRDefault="006B4733" w:rsidP="00C40618">
      <w:pPr>
        <w:pStyle w:val="ListeParagraf"/>
        <w:numPr>
          <w:ilvl w:val="0"/>
          <w:numId w:val="11"/>
        </w:numPr>
        <w:spacing w:after="0" w:line="240" w:lineRule="auto"/>
        <w:jc w:val="both"/>
        <w:rPr>
          <w:rFonts w:ascii="Times New Roman" w:hAnsi="Times New Roman" w:cs="Times New Roman"/>
          <w:sz w:val="24"/>
          <w:szCs w:val="24"/>
          <w:lang w:val="en-GB"/>
        </w:rPr>
      </w:pPr>
      <w:r w:rsidRPr="00C40618">
        <w:rPr>
          <w:rFonts w:ascii="Times New Roman" w:hAnsi="Times New Roman" w:cs="Times New Roman"/>
          <w:sz w:val="24"/>
          <w:szCs w:val="24"/>
          <w:lang w:val="en-GB"/>
        </w:rPr>
        <w:t>Further information can be obtained at the address below during office hours from 10:00 a.m. to 4:00 p.m. Türkiye time.</w:t>
      </w:r>
    </w:p>
    <w:p w14:paraId="7D1C38AA" w14:textId="3140348B" w:rsidR="006B4733" w:rsidRPr="00C330E9" w:rsidRDefault="006B4733" w:rsidP="00C330E9">
      <w:pPr>
        <w:spacing w:after="0" w:line="240" w:lineRule="auto"/>
        <w:jc w:val="both"/>
        <w:rPr>
          <w:rFonts w:ascii="Times New Roman" w:hAnsi="Times New Roman" w:cs="Times New Roman"/>
          <w:sz w:val="24"/>
          <w:szCs w:val="24"/>
          <w:lang w:val="en-GB"/>
        </w:rPr>
      </w:pPr>
    </w:p>
    <w:p w14:paraId="3EB6BF27" w14:textId="2FBEE5B1" w:rsidR="006B4733" w:rsidRPr="0020562C" w:rsidRDefault="00374C3C" w:rsidP="00C40618">
      <w:pPr>
        <w:pStyle w:val="ListeParagraf"/>
        <w:numPr>
          <w:ilvl w:val="0"/>
          <w:numId w:val="11"/>
        </w:numPr>
        <w:spacing w:after="0" w:line="240" w:lineRule="auto"/>
        <w:jc w:val="both"/>
        <w:rPr>
          <w:rFonts w:ascii="Times New Roman" w:hAnsi="Times New Roman" w:cs="Times New Roman"/>
          <w:b/>
          <w:bCs/>
          <w:sz w:val="24"/>
          <w:szCs w:val="24"/>
          <w:lang w:val="en-GB"/>
        </w:rPr>
      </w:pPr>
      <w:r>
        <w:rPr>
          <w:rFonts w:ascii="Times New Roman" w:hAnsi="Times New Roman" w:cs="Times New Roman"/>
          <w:sz w:val="24"/>
          <w:szCs w:val="24"/>
          <w:lang w:val="en-GB"/>
        </w:rPr>
        <w:t xml:space="preserve">11. </w:t>
      </w:r>
      <w:r w:rsidR="006B4733" w:rsidRPr="00C330E9">
        <w:rPr>
          <w:rFonts w:ascii="Times New Roman" w:hAnsi="Times New Roman" w:cs="Times New Roman"/>
          <w:sz w:val="24"/>
          <w:szCs w:val="24"/>
          <w:lang w:val="en-GB"/>
        </w:rPr>
        <w:t>Expressions of interest must be delivered in a written form</w:t>
      </w:r>
      <w:r w:rsidR="00762278" w:rsidRPr="00762278">
        <w:rPr>
          <w:rFonts w:ascii="Times New Roman" w:hAnsi="Times New Roman" w:cs="Times New Roman"/>
          <w:b/>
          <w:bCs/>
          <w:sz w:val="24"/>
          <w:szCs w:val="24"/>
          <w:lang w:val="en-GB"/>
        </w:rPr>
        <w:t xml:space="preserve"> (max.</w:t>
      </w:r>
      <w:r w:rsidR="00AF4AB7">
        <w:rPr>
          <w:rFonts w:ascii="Times New Roman" w:hAnsi="Times New Roman" w:cs="Times New Roman"/>
          <w:b/>
          <w:bCs/>
          <w:sz w:val="24"/>
          <w:szCs w:val="24"/>
          <w:lang w:val="en-GB"/>
        </w:rPr>
        <w:t xml:space="preserve"> </w:t>
      </w:r>
      <w:r w:rsidR="00762278" w:rsidRPr="00762278">
        <w:rPr>
          <w:rFonts w:ascii="Times New Roman" w:hAnsi="Times New Roman" w:cs="Times New Roman"/>
          <w:b/>
          <w:bCs/>
          <w:sz w:val="24"/>
          <w:szCs w:val="24"/>
          <w:lang w:val="en-GB"/>
        </w:rPr>
        <w:t xml:space="preserve">100 pages) </w:t>
      </w:r>
      <w:r w:rsidR="006B4733" w:rsidRPr="00C330E9">
        <w:rPr>
          <w:rFonts w:ascii="Times New Roman" w:hAnsi="Times New Roman" w:cs="Times New Roman"/>
          <w:sz w:val="24"/>
          <w:szCs w:val="24"/>
          <w:lang w:val="en-GB"/>
        </w:rPr>
        <w:t xml:space="preserve">to the address below in person, or by mail, or by e-mail </w:t>
      </w:r>
      <w:r w:rsidR="0020562C">
        <w:rPr>
          <w:rFonts w:ascii="Times New Roman" w:hAnsi="Times New Roman" w:cs="Times New Roman"/>
          <w:sz w:val="24"/>
          <w:szCs w:val="24"/>
          <w:lang w:val="en-GB"/>
        </w:rPr>
        <w:t xml:space="preserve">(as an attachment or via Wetansfer or similar platform provided that downloads are available for at least 30 days) </w:t>
      </w:r>
      <w:r w:rsidR="006B4733" w:rsidRPr="00C330E9">
        <w:rPr>
          <w:rFonts w:ascii="Times New Roman" w:hAnsi="Times New Roman" w:cs="Times New Roman"/>
          <w:sz w:val="24"/>
          <w:szCs w:val="24"/>
          <w:lang w:val="en-GB"/>
        </w:rPr>
        <w:t xml:space="preserve">until </w:t>
      </w:r>
      <w:r w:rsidR="0020562C" w:rsidRPr="0020562C">
        <w:rPr>
          <w:rFonts w:ascii="Times New Roman" w:hAnsi="Times New Roman" w:cs="Times New Roman"/>
          <w:b/>
          <w:bCs/>
          <w:sz w:val="24"/>
          <w:szCs w:val="24"/>
          <w:lang w:val="en-GB"/>
        </w:rPr>
        <w:t xml:space="preserve">5 July 2024 </w:t>
      </w:r>
      <w:r w:rsidR="006B4733" w:rsidRPr="0020562C">
        <w:rPr>
          <w:rFonts w:ascii="Times New Roman" w:hAnsi="Times New Roman" w:cs="Times New Roman"/>
          <w:b/>
          <w:bCs/>
          <w:sz w:val="24"/>
          <w:szCs w:val="24"/>
          <w:lang w:val="en-GB"/>
        </w:rPr>
        <w:t xml:space="preserve">at </w:t>
      </w:r>
      <w:r w:rsidR="00C330E9" w:rsidRPr="0020562C">
        <w:rPr>
          <w:rFonts w:ascii="Times New Roman" w:hAnsi="Times New Roman" w:cs="Times New Roman"/>
          <w:b/>
          <w:bCs/>
          <w:sz w:val="24"/>
          <w:szCs w:val="24"/>
          <w:lang w:val="en-GB"/>
        </w:rPr>
        <w:t xml:space="preserve">by </w:t>
      </w:r>
      <w:r w:rsidR="006B4733" w:rsidRPr="0020562C">
        <w:rPr>
          <w:rFonts w:ascii="Times New Roman" w:hAnsi="Times New Roman" w:cs="Times New Roman"/>
          <w:b/>
          <w:bCs/>
          <w:sz w:val="24"/>
          <w:szCs w:val="24"/>
          <w:lang w:val="en-GB"/>
        </w:rPr>
        <w:t xml:space="preserve">2:00 p.m. </w:t>
      </w:r>
      <w:r w:rsidR="00C330E9" w:rsidRPr="0020562C">
        <w:rPr>
          <w:rFonts w:ascii="Times New Roman" w:hAnsi="Times New Roman" w:cs="Times New Roman"/>
          <w:b/>
          <w:bCs/>
          <w:sz w:val="24"/>
          <w:szCs w:val="24"/>
          <w:lang w:val="en-GB"/>
        </w:rPr>
        <w:t xml:space="preserve">Türkiye </w:t>
      </w:r>
      <w:r w:rsidR="006B4733" w:rsidRPr="0020562C">
        <w:rPr>
          <w:rFonts w:ascii="Times New Roman" w:hAnsi="Times New Roman" w:cs="Times New Roman"/>
          <w:b/>
          <w:bCs/>
          <w:sz w:val="24"/>
          <w:szCs w:val="24"/>
          <w:lang w:val="en-GB"/>
        </w:rPr>
        <w:t>time.</w:t>
      </w:r>
    </w:p>
    <w:p w14:paraId="03D01C81" w14:textId="072C835A" w:rsidR="006B4733" w:rsidRPr="0020562C" w:rsidRDefault="006B4733" w:rsidP="00C330E9">
      <w:pPr>
        <w:spacing w:after="0" w:line="240" w:lineRule="auto"/>
        <w:jc w:val="both"/>
        <w:rPr>
          <w:rFonts w:ascii="Times New Roman" w:hAnsi="Times New Roman" w:cs="Times New Roman"/>
          <w:b/>
          <w:bCs/>
          <w:sz w:val="24"/>
          <w:szCs w:val="24"/>
          <w:lang w:val="en-GB"/>
        </w:rPr>
      </w:pPr>
    </w:p>
    <w:p w14:paraId="3DB6E283" w14:textId="254A1E3D" w:rsidR="006B4733" w:rsidRPr="00662EAC" w:rsidRDefault="006B4733" w:rsidP="00C40618">
      <w:pPr>
        <w:spacing w:after="0" w:line="240" w:lineRule="auto"/>
        <w:ind w:left="360"/>
        <w:jc w:val="both"/>
        <w:rPr>
          <w:rFonts w:ascii="Times New Roman" w:hAnsi="Times New Roman" w:cs="Times New Roman"/>
          <w:sz w:val="24"/>
          <w:szCs w:val="24"/>
          <w:lang w:val="en-GB"/>
        </w:rPr>
      </w:pPr>
      <w:r w:rsidRPr="00662EAC">
        <w:rPr>
          <w:rFonts w:ascii="Times New Roman" w:hAnsi="Times New Roman" w:cs="Times New Roman"/>
          <w:sz w:val="24"/>
          <w:szCs w:val="24"/>
          <w:lang w:val="en-GB"/>
        </w:rPr>
        <w:t>Address:</w:t>
      </w:r>
    </w:p>
    <w:p w14:paraId="2C1C88EB" w14:textId="77777777" w:rsidR="006B4733" w:rsidRPr="00662EAC" w:rsidRDefault="006B4733" w:rsidP="00C40618">
      <w:pPr>
        <w:spacing w:after="0" w:line="240" w:lineRule="auto"/>
        <w:ind w:left="360"/>
        <w:jc w:val="both"/>
        <w:rPr>
          <w:rFonts w:ascii="Times New Roman" w:hAnsi="Times New Roman" w:cs="Times New Roman"/>
          <w:sz w:val="24"/>
          <w:szCs w:val="24"/>
          <w:lang w:val="en-GB"/>
        </w:rPr>
      </w:pPr>
      <w:r w:rsidRPr="00662EAC">
        <w:rPr>
          <w:rFonts w:ascii="Times New Roman" w:hAnsi="Times New Roman" w:cs="Times New Roman"/>
          <w:sz w:val="24"/>
          <w:szCs w:val="24"/>
          <w:lang w:val="en-GB"/>
        </w:rPr>
        <w:t>Ministry of Energy and Natural Resources</w:t>
      </w:r>
    </w:p>
    <w:p w14:paraId="5DBD643B" w14:textId="77777777" w:rsidR="006B4733" w:rsidRPr="00662EAC" w:rsidRDefault="006B4733" w:rsidP="00C40618">
      <w:pPr>
        <w:spacing w:after="0" w:line="240" w:lineRule="auto"/>
        <w:ind w:left="360"/>
        <w:jc w:val="both"/>
        <w:rPr>
          <w:rFonts w:ascii="Times New Roman" w:hAnsi="Times New Roman" w:cs="Times New Roman"/>
          <w:sz w:val="24"/>
          <w:szCs w:val="24"/>
          <w:lang w:val="en-GB"/>
        </w:rPr>
      </w:pPr>
      <w:r w:rsidRPr="00662EAC">
        <w:rPr>
          <w:rFonts w:ascii="Times New Roman" w:hAnsi="Times New Roman" w:cs="Times New Roman"/>
          <w:sz w:val="24"/>
          <w:szCs w:val="24"/>
          <w:lang w:val="en-GB"/>
        </w:rPr>
        <w:t>General Directorate of Foreign Relations</w:t>
      </w:r>
    </w:p>
    <w:p w14:paraId="45BB0280" w14:textId="77777777" w:rsidR="006B4733" w:rsidRPr="00662EAC" w:rsidRDefault="006B4733" w:rsidP="00C40618">
      <w:pPr>
        <w:spacing w:after="0" w:line="240" w:lineRule="auto"/>
        <w:ind w:left="360"/>
        <w:jc w:val="both"/>
        <w:rPr>
          <w:rFonts w:ascii="Times New Roman" w:hAnsi="Times New Roman" w:cs="Times New Roman"/>
          <w:sz w:val="24"/>
          <w:szCs w:val="24"/>
          <w:lang w:val="en-GB"/>
        </w:rPr>
      </w:pPr>
      <w:r w:rsidRPr="00662EAC">
        <w:rPr>
          <w:rFonts w:ascii="Times New Roman" w:hAnsi="Times New Roman" w:cs="Times New Roman"/>
          <w:sz w:val="24"/>
          <w:szCs w:val="24"/>
          <w:lang w:val="en-GB"/>
        </w:rPr>
        <w:t>Foreign Investment Coordination Department (Project Implementation Unit)</w:t>
      </w:r>
    </w:p>
    <w:p w14:paraId="325BC4E3" w14:textId="77777777" w:rsidR="006B4733" w:rsidRPr="00662EAC" w:rsidRDefault="006B4733" w:rsidP="00C40618">
      <w:pPr>
        <w:spacing w:after="0" w:line="240" w:lineRule="auto"/>
        <w:ind w:left="360"/>
        <w:jc w:val="both"/>
        <w:rPr>
          <w:rFonts w:ascii="Times New Roman" w:hAnsi="Times New Roman" w:cs="Times New Roman"/>
          <w:sz w:val="24"/>
          <w:szCs w:val="24"/>
          <w:lang w:val="en-GB"/>
        </w:rPr>
      </w:pPr>
      <w:r w:rsidRPr="00662EAC">
        <w:rPr>
          <w:rFonts w:ascii="Times New Roman" w:hAnsi="Times New Roman" w:cs="Times New Roman"/>
          <w:sz w:val="24"/>
          <w:szCs w:val="24"/>
          <w:lang w:val="en-GB"/>
        </w:rPr>
        <w:t>Attn: Engin Bostancı</w:t>
      </w:r>
    </w:p>
    <w:p w14:paraId="059D10E2" w14:textId="28261809" w:rsidR="006B4733" w:rsidRPr="00662EAC" w:rsidRDefault="006B4733" w:rsidP="00C40618">
      <w:pPr>
        <w:spacing w:after="0" w:line="240" w:lineRule="auto"/>
        <w:ind w:left="360"/>
        <w:jc w:val="both"/>
        <w:rPr>
          <w:rFonts w:ascii="Times New Roman" w:hAnsi="Times New Roman" w:cs="Times New Roman"/>
          <w:sz w:val="24"/>
          <w:szCs w:val="24"/>
          <w:lang w:val="en-GB"/>
        </w:rPr>
      </w:pPr>
      <w:r w:rsidRPr="00662EAC">
        <w:rPr>
          <w:rFonts w:ascii="Times New Roman" w:hAnsi="Times New Roman" w:cs="Times New Roman"/>
          <w:sz w:val="24"/>
          <w:szCs w:val="24"/>
          <w:lang w:val="en-GB"/>
        </w:rPr>
        <w:t xml:space="preserve">Nasuh Akar M. Türkocağı C. </w:t>
      </w:r>
      <w:r w:rsidR="00C330E9" w:rsidRPr="00662EAC">
        <w:rPr>
          <w:rFonts w:ascii="Times New Roman" w:hAnsi="Times New Roman" w:cs="Times New Roman"/>
          <w:sz w:val="24"/>
          <w:szCs w:val="24"/>
          <w:lang w:val="en-GB"/>
        </w:rPr>
        <w:t>N</w:t>
      </w:r>
      <w:r w:rsidRPr="00662EAC">
        <w:rPr>
          <w:rFonts w:ascii="Times New Roman" w:hAnsi="Times New Roman" w:cs="Times New Roman"/>
          <w:sz w:val="24"/>
          <w:szCs w:val="24"/>
          <w:lang w:val="en-GB"/>
        </w:rPr>
        <w:t xml:space="preserve">o:2 A Blok Kat:4 </w:t>
      </w:r>
      <w:r w:rsidR="00C330E9" w:rsidRPr="00662EAC">
        <w:rPr>
          <w:rFonts w:ascii="Times New Roman" w:hAnsi="Times New Roman" w:cs="Times New Roman"/>
          <w:sz w:val="24"/>
          <w:szCs w:val="24"/>
          <w:lang w:val="en-GB"/>
        </w:rPr>
        <w:t>n</w:t>
      </w:r>
      <w:r w:rsidRPr="00662EAC">
        <w:rPr>
          <w:rFonts w:ascii="Times New Roman" w:hAnsi="Times New Roman" w:cs="Times New Roman"/>
          <w:sz w:val="24"/>
          <w:szCs w:val="24"/>
          <w:lang w:val="en-GB"/>
        </w:rPr>
        <w:t>o:60</w:t>
      </w:r>
    </w:p>
    <w:p w14:paraId="759D6E76" w14:textId="191A4BF0" w:rsidR="006B4733" w:rsidRPr="00662EAC" w:rsidRDefault="006B4733" w:rsidP="00C40618">
      <w:pPr>
        <w:spacing w:after="0" w:line="240" w:lineRule="auto"/>
        <w:ind w:left="360"/>
        <w:jc w:val="both"/>
        <w:rPr>
          <w:rFonts w:ascii="Times New Roman" w:hAnsi="Times New Roman" w:cs="Times New Roman"/>
          <w:sz w:val="24"/>
          <w:szCs w:val="24"/>
          <w:lang w:val="en-GB"/>
        </w:rPr>
      </w:pPr>
      <w:r w:rsidRPr="00662EAC">
        <w:rPr>
          <w:rFonts w:ascii="Times New Roman" w:hAnsi="Times New Roman" w:cs="Times New Roman"/>
          <w:sz w:val="24"/>
          <w:szCs w:val="24"/>
          <w:lang w:val="en-GB"/>
        </w:rPr>
        <w:t xml:space="preserve">Tel: +90 312 546 </w:t>
      </w:r>
      <w:r w:rsidR="00662EAC" w:rsidRPr="00662EAC">
        <w:rPr>
          <w:rFonts w:ascii="Times New Roman" w:hAnsi="Times New Roman" w:cs="Times New Roman"/>
          <w:sz w:val="24"/>
          <w:szCs w:val="24"/>
          <w:lang w:val="en-GB"/>
        </w:rPr>
        <w:t>56 72</w:t>
      </w:r>
    </w:p>
    <w:p w14:paraId="33A3A632" w14:textId="77777777" w:rsidR="006B4733" w:rsidRPr="00662EAC" w:rsidRDefault="006B4733" w:rsidP="00C40618">
      <w:pPr>
        <w:spacing w:after="0" w:line="240" w:lineRule="auto"/>
        <w:ind w:left="360"/>
        <w:jc w:val="both"/>
        <w:rPr>
          <w:rFonts w:ascii="Times New Roman" w:hAnsi="Times New Roman" w:cs="Times New Roman"/>
          <w:sz w:val="24"/>
          <w:szCs w:val="24"/>
          <w:lang w:val="en-GB"/>
        </w:rPr>
      </w:pPr>
      <w:r w:rsidRPr="00662EAC">
        <w:rPr>
          <w:rFonts w:ascii="Times New Roman" w:hAnsi="Times New Roman" w:cs="Times New Roman"/>
          <w:sz w:val="24"/>
          <w:szCs w:val="24"/>
          <w:lang w:val="en-GB"/>
        </w:rPr>
        <w:t xml:space="preserve">E-mail: </w:t>
      </w:r>
      <w:r w:rsidRPr="0020562C">
        <w:rPr>
          <w:rFonts w:ascii="Times New Roman" w:hAnsi="Times New Roman" w:cs="Times New Roman"/>
          <w:b/>
          <w:bCs/>
          <w:sz w:val="24"/>
          <w:szCs w:val="24"/>
          <w:lang w:val="en-GB"/>
        </w:rPr>
        <w:t>dia2@enerji.gov.tr</w:t>
      </w:r>
    </w:p>
    <w:p w14:paraId="79BDF122" w14:textId="4EA37470" w:rsidR="006B4733" w:rsidRDefault="006B4733" w:rsidP="00C40618">
      <w:pPr>
        <w:spacing w:after="0" w:line="240" w:lineRule="auto"/>
        <w:ind w:left="360"/>
        <w:jc w:val="both"/>
        <w:rPr>
          <w:rFonts w:ascii="Times New Roman" w:hAnsi="Times New Roman" w:cs="Times New Roman"/>
          <w:sz w:val="24"/>
          <w:szCs w:val="24"/>
          <w:lang w:val="en-GB"/>
        </w:rPr>
      </w:pPr>
      <w:r w:rsidRPr="00662EAC">
        <w:rPr>
          <w:rFonts w:ascii="Times New Roman" w:hAnsi="Times New Roman" w:cs="Times New Roman"/>
          <w:sz w:val="24"/>
          <w:szCs w:val="24"/>
          <w:lang w:val="en-GB"/>
        </w:rPr>
        <w:t xml:space="preserve">Website: </w:t>
      </w:r>
      <w:hyperlink r:id="rId6" w:history="1">
        <w:r w:rsidR="002A6ED0" w:rsidRPr="00193F32">
          <w:rPr>
            <w:rStyle w:val="Kpr"/>
            <w:rFonts w:ascii="Times New Roman" w:hAnsi="Times New Roman" w:cs="Times New Roman"/>
            <w:sz w:val="24"/>
            <w:szCs w:val="24"/>
            <w:lang w:val="en-GB"/>
          </w:rPr>
          <w:t>www.enerji.gov.tr</w:t>
        </w:r>
      </w:hyperlink>
      <w:bookmarkEnd w:id="0"/>
    </w:p>
    <w:p w14:paraId="606418DB" w14:textId="6FB6D4D6" w:rsidR="002A6ED0" w:rsidRDefault="002A6ED0" w:rsidP="00C330E9">
      <w:pPr>
        <w:spacing w:after="0" w:line="240" w:lineRule="auto"/>
        <w:jc w:val="both"/>
        <w:rPr>
          <w:rFonts w:ascii="Times New Roman" w:hAnsi="Times New Roman" w:cs="Times New Roman"/>
          <w:sz w:val="24"/>
          <w:szCs w:val="24"/>
          <w:lang w:val="en-GB"/>
        </w:rPr>
      </w:pPr>
    </w:p>
    <w:p w14:paraId="5C748651" w14:textId="51BBF386" w:rsidR="001C65CC" w:rsidRDefault="001C65CC" w:rsidP="001C65CC">
      <w:pPr>
        <w:suppressAutoHyphens/>
        <w:rPr>
          <w:rFonts w:ascii="Times New Roman" w:hAnsi="Times New Roman"/>
          <w:spacing w:val="-2"/>
        </w:rPr>
      </w:pPr>
    </w:p>
    <w:p w14:paraId="327A4A0D" w14:textId="18779D8E" w:rsidR="00C40618" w:rsidRDefault="00C40618" w:rsidP="001C65CC">
      <w:pPr>
        <w:suppressAutoHyphens/>
        <w:rPr>
          <w:rFonts w:ascii="Times New Roman" w:hAnsi="Times New Roman"/>
          <w:spacing w:val="-2"/>
        </w:rPr>
      </w:pPr>
    </w:p>
    <w:p w14:paraId="3FE41957" w14:textId="2CAD06C2" w:rsidR="00C40618" w:rsidRDefault="00C40618" w:rsidP="001C65CC">
      <w:pPr>
        <w:suppressAutoHyphens/>
        <w:rPr>
          <w:rFonts w:ascii="Times New Roman" w:hAnsi="Times New Roman"/>
          <w:spacing w:val="-2"/>
        </w:rPr>
      </w:pPr>
    </w:p>
    <w:p w14:paraId="04E90663" w14:textId="7AA6C97F" w:rsidR="00C40618" w:rsidRDefault="00C40618" w:rsidP="001C65CC">
      <w:pPr>
        <w:suppressAutoHyphens/>
        <w:rPr>
          <w:rFonts w:ascii="Times New Roman" w:hAnsi="Times New Roman"/>
          <w:spacing w:val="-2"/>
        </w:rPr>
      </w:pPr>
    </w:p>
    <w:p w14:paraId="6B8CFC8E" w14:textId="1AC1B153" w:rsidR="00C40618" w:rsidRDefault="00C40618" w:rsidP="001C65CC">
      <w:pPr>
        <w:suppressAutoHyphens/>
        <w:rPr>
          <w:rFonts w:ascii="Times New Roman" w:hAnsi="Times New Roman"/>
          <w:spacing w:val="-2"/>
        </w:rPr>
      </w:pPr>
    </w:p>
    <w:p w14:paraId="13BC799F" w14:textId="409292A4" w:rsidR="00C40618" w:rsidRDefault="00C40618" w:rsidP="001C65CC">
      <w:pPr>
        <w:suppressAutoHyphens/>
        <w:rPr>
          <w:rFonts w:ascii="Times New Roman" w:hAnsi="Times New Roman"/>
          <w:spacing w:val="-2"/>
        </w:rPr>
      </w:pPr>
    </w:p>
    <w:p w14:paraId="52107B2A" w14:textId="5D51CF13" w:rsidR="00C40618" w:rsidRDefault="00C40618" w:rsidP="001C65CC">
      <w:pPr>
        <w:suppressAutoHyphens/>
        <w:rPr>
          <w:rFonts w:ascii="Times New Roman" w:hAnsi="Times New Roman"/>
          <w:spacing w:val="-2"/>
        </w:rPr>
      </w:pPr>
    </w:p>
    <w:p w14:paraId="2681FD6C" w14:textId="63E3D2D4" w:rsidR="00C40618" w:rsidRDefault="00C40618" w:rsidP="001C65CC">
      <w:pPr>
        <w:suppressAutoHyphens/>
        <w:rPr>
          <w:rFonts w:ascii="Times New Roman" w:hAnsi="Times New Roman"/>
          <w:spacing w:val="-2"/>
        </w:rPr>
      </w:pPr>
    </w:p>
    <w:p w14:paraId="361BEA81" w14:textId="68002862" w:rsidR="00C40618" w:rsidRDefault="00C40618" w:rsidP="001C65CC">
      <w:pPr>
        <w:suppressAutoHyphens/>
        <w:rPr>
          <w:rFonts w:ascii="Times New Roman" w:hAnsi="Times New Roman"/>
          <w:spacing w:val="-2"/>
        </w:rPr>
      </w:pPr>
    </w:p>
    <w:p w14:paraId="691A296A" w14:textId="2BB3C457" w:rsidR="00C40618" w:rsidRDefault="00C40618" w:rsidP="001C65CC">
      <w:pPr>
        <w:suppressAutoHyphens/>
        <w:rPr>
          <w:rFonts w:ascii="Times New Roman" w:hAnsi="Times New Roman"/>
          <w:spacing w:val="-2"/>
        </w:rPr>
      </w:pPr>
    </w:p>
    <w:p w14:paraId="2A80089C" w14:textId="0CD71BB2" w:rsidR="00C40618" w:rsidRDefault="00C40618" w:rsidP="001C65CC">
      <w:pPr>
        <w:suppressAutoHyphens/>
        <w:rPr>
          <w:rFonts w:ascii="Times New Roman" w:hAnsi="Times New Roman"/>
          <w:spacing w:val="-2"/>
        </w:rPr>
      </w:pPr>
    </w:p>
    <w:p w14:paraId="334E3908" w14:textId="5AEEB8AD" w:rsidR="00C40618" w:rsidRDefault="00C40618" w:rsidP="001C65CC">
      <w:pPr>
        <w:suppressAutoHyphens/>
        <w:rPr>
          <w:rFonts w:ascii="Times New Roman" w:hAnsi="Times New Roman"/>
          <w:spacing w:val="-2"/>
        </w:rPr>
      </w:pPr>
    </w:p>
    <w:p w14:paraId="132FBDB6" w14:textId="77777777" w:rsidR="00C40618" w:rsidRPr="00661457" w:rsidRDefault="00C40618" w:rsidP="001C65CC">
      <w:pPr>
        <w:suppressAutoHyphens/>
        <w:rPr>
          <w:rFonts w:ascii="Times New Roman" w:hAnsi="Times New Roman"/>
          <w:spacing w:val="-2"/>
        </w:rPr>
      </w:pPr>
    </w:p>
    <w:p w14:paraId="7D51A7BD" w14:textId="77777777" w:rsidR="001C65CC" w:rsidRPr="00C40618" w:rsidRDefault="001C65CC" w:rsidP="001C65CC">
      <w:pPr>
        <w:suppressAutoHyphens/>
        <w:ind w:left="720" w:firstLine="720"/>
        <w:rPr>
          <w:rFonts w:ascii="Times New Roman" w:hAnsi="Times New Roman" w:cs="Times New Roman"/>
          <w:b/>
          <w:bCs/>
          <w:spacing w:val="-2"/>
          <w:sz w:val="24"/>
          <w:szCs w:val="24"/>
          <w:u w:val="single"/>
        </w:rPr>
      </w:pPr>
      <w:r w:rsidRPr="00C40618">
        <w:rPr>
          <w:rFonts w:ascii="Times New Roman" w:hAnsi="Times New Roman" w:cs="Times New Roman"/>
          <w:b/>
          <w:bCs/>
          <w:spacing w:val="-2"/>
          <w:sz w:val="24"/>
          <w:szCs w:val="24"/>
          <w:u w:val="single"/>
        </w:rPr>
        <w:lastRenderedPageBreak/>
        <w:t xml:space="preserve">Attachment: Form-1 (Similar Contracts)  </w:t>
      </w:r>
    </w:p>
    <w:p w14:paraId="409D0774" w14:textId="77777777" w:rsidR="001C65CC" w:rsidRPr="00C40618" w:rsidRDefault="001C65CC" w:rsidP="001C65CC">
      <w:pPr>
        <w:suppressAutoHyphens/>
        <w:rPr>
          <w:rFonts w:ascii="Times New Roman" w:hAnsi="Times New Roman" w:cs="Times New Roman"/>
          <w:b/>
          <w:bCs/>
          <w:spacing w:val="-2"/>
          <w:sz w:val="24"/>
          <w:szCs w:val="24"/>
        </w:rPr>
      </w:pPr>
    </w:p>
    <w:p w14:paraId="6333C87A" w14:textId="77777777" w:rsidR="001C65CC" w:rsidRPr="00C40618" w:rsidRDefault="001C65CC" w:rsidP="001C65CC">
      <w:pPr>
        <w:suppressAutoHyphens/>
        <w:rPr>
          <w:rFonts w:ascii="Times New Roman" w:hAnsi="Times New Roman" w:cs="Times New Roman"/>
          <w:spacing w:val="-2"/>
          <w:sz w:val="24"/>
          <w:szCs w:val="24"/>
        </w:rPr>
      </w:pPr>
      <w:r w:rsidRPr="00C40618">
        <w:rPr>
          <w:rFonts w:ascii="Times New Roman" w:hAnsi="Times New Roman" w:cs="Times New Roman"/>
          <w:spacing w:val="-2"/>
          <w:sz w:val="24"/>
          <w:szCs w:val="24"/>
        </w:rPr>
        <w:t xml:space="preserve">Name of Consultant </w:t>
      </w:r>
      <w:proofErr w:type="gramStart"/>
      <w:r w:rsidRPr="00C40618">
        <w:rPr>
          <w:rFonts w:ascii="Times New Roman" w:hAnsi="Times New Roman" w:cs="Times New Roman"/>
          <w:spacing w:val="-2"/>
          <w:sz w:val="24"/>
          <w:szCs w:val="24"/>
        </w:rPr>
        <w:t>firm:_</w:t>
      </w:r>
      <w:proofErr w:type="gramEnd"/>
      <w:r w:rsidRPr="00C40618">
        <w:rPr>
          <w:rFonts w:ascii="Times New Roman" w:hAnsi="Times New Roman" w:cs="Times New Roman"/>
          <w:spacing w:val="-2"/>
          <w:sz w:val="24"/>
          <w:szCs w:val="24"/>
        </w:rPr>
        <w:t xml:space="preserve">_____________ (attach separate form for each firm in case of JV) </w:t>
      </w:r>
    </w:p>
    <w:p w14:paraId="549EDA45" w14:textId="77777777" w:rsidR="001C65CC" w:rsidRPr="00C40618" w:rsidRDefault="001C65CC" w:rsidP="001C65CC">
      <w:pPr>
        <w:suppressAutoHyphens/>
        <w:rPr>
          <w:rFonts w:ascii="Times New Roman" w:hAnsi="Times New Roman" w:cs="Times New Roman"/>
          <w:spacing w:val="-2"/>
          <w:sz w:val="24"/>
          <w:szCs w:val="24"/>
        </w:rPr>
      </w:pPr>
    </w:p>
    <w:tbl>
      <w:tblPr>
        <w:tblW w:w="9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62"/>
        <w:gridCol w:w="1472"/>
        <w:gridCol w:w="1651"/>
        <w:gridCol w:w="1397"/>
        <w:gridCol w:w="1213"/>
        <w:gridCol w:w="1497"/>
        <w:gridCol w:w="1559"/>
      </w:tblGrid>
      <w:tr w:rsidR="001C65CC" w:rsidRPr="00C40618" w14:paraId="54CB1D0F" w14:textId="77777777" w:rsidTr="00C40618">
        <w:trPr>
          <w:tblHeader/>
        </w:trPr>
        <w:tc>
          <w:tcPr>
            <w:tcW w:w="562" w:type="dxa"/>
          </w:tcPr>
          <w:p w14:paraId="6D285CC2" w14:textId="6A4E1D03" w:rsidR="001C65CC" w:rsidRPr="00C40618" w:rsidRDefault="001C65CC" w:rsidP="00333301">
            <w:pPr>
              <w:suppressAutoHyphens/>
              <w:rPr>
                <w:rFonts w:ascii="Times New Roman" w:hAnsi="Times New Roman" w:cs="Times New Roman"/>
                <w:bCs/>
                <w:spacing w:val="-2"/>
                <w:sz w:val="24"/>
                <w:szCs w:val="24"/>
              </w:rPr>
            </w:pPr>
            <w:r w:rsidRPr="00C40618">
              <w:rPr>
                <w:rFonts w:ascii="Times New Roman" w:hAnsi="Times New Roman" w:cs="Times New Roman"/>
                <w:bCs/>
                <w:spacing w:val="-2"/>
                <w:sz w:val="24"/>
                <w:szCs w:val="24"/>
              </w:rPr>
              <w:t>No</w:t>
            </w:r>
          </w:p>
        </w:tc>
        <w:tc>
          <w:tcPr>
            <w:tcW w:w="1472" w:type="dxa"/>
          </w:tcPr>
          <w:p w14:paraId="407B7A8F" w14:textId="77777777" w:rsidR="001C65CC" w:rsidRPr="00C40618" w:rsidRDefault="001C65CC" w:rsidP="00333301">
            <w:pPr>
              <w:suppressAutoHyphens/>
              <w:rPr>
                <w:rFonts w:ascii="Times New Roman" w:hAnsi="Times New Roman" w:cs="Times New Roman"/>
                <w:bCs/>
                <w:spacing w:val="-2"/>
                <w:sz w:val="24"/>
                <w:szCs w:val="24"/>
              </w:rPr>
            </w:pPr>
            <w:proofErr w:type="gramStart"/>
            <w:r w:rsidRPr="00C40618">
              <w:rPr>
                <w:rFonts w:ascii="Times New Roman" w:hAnsi="Times New Roman" w:cs="Times New Roman"/>
                <w:bCs/>
                <w:spacing w:val="-2"/>
                <w:sz w:val="24"/>
                <w:szCs w:val="24"/>
              </w:rPr>
              <w:t>Contract  name</w:t>
            </w:r>
            <w:proofErr w:type="gramEnd"/>
            <w:r w:rsidRPr="00C40618">
              <w:rPr>
                <w:rFonts w:ascii="Times New Roman" w:hAnsi="Times New Roman" w:cs="Times New Roman"/>
                <w:bCs/>
                <w:spacing w:val="-2"/>
                <w:sz w:val="24"/>
                <w:szCs w:val="24"/>
              </w:rPr>
              <w:t xml:space="preserve"> &amp; Reference No. of contract</w:t>
            </w:r>
          </w:p>
        </w:tc>
        <w:tc>
          <w:tcPr>
            <w:tcW w:w="1651" w:type="dxa"/>
          </w:tcPr>
          <w:p w14:paraId="5C1991FF" w14:textId="77777777" w:rsidR="001C65CC" w:rsidRPr="00C40618" w:rsidRDefault="001C65CC" w:rsidP="00333301">
            <w:pPr>
              <w:suppressAutoHyphens/>
              <w:rPr>
                <w:rFonts w:ascii="Times New Roman" w:hAnsi="Times New Roman" w:cs="Times New Roman"/>
                <w:bCs/>
                <w:spacing w:val="-2"/>
                <w:sz w:val="24"/>
                <w:szCs w:val="24"/>
              </w:rPr>
            </w:pPr>
            <w:r w:rsidRPr="00C40618">
              <w:rPr>
                <w:rFonts w:ascii="Times New Roman" w:hAnsi="Times New Roman" w:cs="Times New Roman"/>
                <w:bCs/>
                <w:spacing w:val="-2"/>
                <w:sz w:val="24"/>
                <w:szCs w:val="24"/>
              </w:rPr>
              <w:t>Brief Description of scope of work and main deliverables/outputs</w:t>
            </w:r>
          </w:p>
        </w:tc>
        <w:tc>
          <w:tcPr>
            <w:tcW w:w="1397" w:type="dxa"/>
          </w:tcPr>
          <w:p w14:paraId="5C02B981" w14:textId="77777777" w:rsidR="001C65CC" w:rsidRPr="00C40618" w:rsidRDefault="001C65CC" w:rsidP="00333301">
            <w:pPr>
              <w:suppressAutoHyphens/>
              <w:rPr>
                <w:rFonts w:ascii="Times New Roman" w:hAnsi="Times New Roman" w:cs="Times New Roman"/>
                <w:bCs/>
                <w:spacing w:val="-2"/>
                <w:sz w:val="24"/>
                <w:szCs w:val="24"/>
              </w:rPr>
            </w:pPr>
            <w:r w:rsidRPr="00C40618">
              <w:rPr>
                <w:rFonts w:ascii="Times New Roman" w:hAnsi="Times New Roman" w:cs="Times New Roman"/>
                <w:bCs/>
                <w:spacing w:val="-2"/>
                <w:sz w:val="24"/>
                <w:szCs w:val="24"/>
              </w:rPr>
              <w:t xml:space="preserve">Contract value (in US$ </w:t>
            </w:r>
            <w:proofErr w:type="gramStart"/>
            <w:r w:rsidRPr="00C40618">
              <w:rPr>
                <w:rFonts w:ascii="Times New Roman" w:hAnsi="Times New Roman" w:cs="Times New Roman"/>
                <w:bCs/>
                <w:spacing w:val="-2"/>
                <w:sz w:val="24"/>
                <w:szCs w:val="24"/>
              </w:rPr>
              <w:t>equivalent)/</w:t>
            </w:r>
            <w:proofErr w:type="gramEnd"/>
            <w:r w:rsidRPr="00C40618">
              <w:rPr>
                <w:rFonts w:ascii="Times New Roman" w:hAnsi="Times New Roman" w:cs="Times New Roman"/>
                <w:bCs/>
                <w:spacing w:val="-2"/>
                <w:sz w:val="24"/>
                <w:szCs w:val="24"/>
              </w:rPr>
              <w:t xml:space="preserve"> Amount paid to your firm</w:t>
            </w:r>
          </w:p>
        </w:tc>
        <w:tc>
          <w:tcPr>
            <w:tcW w:w="1213" w:type="dxa"/>
          </w:tcPr>
          <w:p w14:paraId="6F9369D8" w14:textId="77777777" w:rsidR="001C65CC" w:rsidRPr="00C40618" w:rsidRDefault="001C65CC" w:rsidP="00333301">
            <w:pPr>
              <w:suppressAutoHyphens/>
              <w:rPr>
                <w:rFonts w:ascii="Times New Roman" w:hAnsi="Times New Roman" w:cs="Times New Roman"/>
                <w:bCs/>
                <w:spacing w:val="-2"/>
                <w:sz w:val="24"/>
                <w:szCs w:val="24"/>
              </w:rPr>
            </w:pPr>
            <w:r w:rsidRPr="00C40618">
              <w:rPr>
                <w:rFonts w:ascii="Times New Roman" w:hAnsi="Times New Roman" w:cs="Times New Roman"/>
                <w:bCs/>
                <w:spacing w:val="-2"/>
                <w:sz w:val="24"/>
                <w:szCs w:val="24"/>
              </w:rPr>
              <w:t>Contract Period (start date and completion date)</w:t>
            </w:r>
          </w:p>
        </w:tc>
        <w:tc>
          <w:tcPr>
            <w:tcW w:w="1497" w:type="dxa"/>
          </w:tcPr>
          <w:p w14:paraId="05507776" w14:textId="77777777" w:rsidR="001C65CC" w:rsidRPr="00C40618" w:rsidRDefault="001C65CC" w:rsidP="00333301">
            <w:pPr>
              <w:suppressAutoHyphens/>
              <w:rPr>
                <w:rFonts w:ascii="Times New Roman" w:hAnsi="Times New Roman" w:cs="Times New Roman"/>
                <w:bCs/>
                <w:spacing w:val="-2"/>
                <w:sz w:val="24"/>
                <w:szCs w:val="24"/>
              </w:rPr>
            </w:pPr>
            <w:r w:rsidRPr="00C40618">
              <w:rPr>
                <w:rFonts w:ascii="Times New Roman" w:hAnsi="Times New Roman" w:cs="Times New Roman"/>
                <w:bCs/>
                <w:spacing w:val="-2"/>
                <w:sz w:val="24"/>
                <w:szCs w:val="24"/>
              </w:rPr>
              <w:t>Name of Client &amp; Country of Assignment</w:t>
            </w:r>
          </w:p>
          <w:p w14:paraId="7B03A43C" w14:textId="77777777" w:rsidR="001C65CC" w:rsidRPr="00C40618" w:rsidRDefault="001C65CC" w:rsidP="00333301">
            <w:pPr>
              <w:suppressAutoHyphens/>
              <w:rPr>
                <w:rFonts w:ascii="Times New Roman" w:hAnsi="Times New Roman" w:cs="Times New Roman"/>
                <w:bCs/>
                <w:spacing w:val="-2"/>
                <w:sz w:val="24"/>
                <w:szCs w:val="24"/>
              </w:rPr>
            </w:pPr>
          </w:p>
        </w:tc>
        <w:tc>
          <w:tcPr>
            <w:tcW w:w="1559" w:type="dxa"/>
          </w:tcPr>
          <w:p w14:paraId="55C07EBE" w14:textId="77777777" w:rsidR="001C65CC" w:rsidRPr="00C40618" w:rsidRDefault="001C65CC" w:rsidP="00333301">
            <w:pPr>
              <w:suppressAutoHyphens/>
              <w:rPr>
                <w:rFonts w:ascii="Times New Roman" w:hAnsi="Times New Roman" w:cs="Times New Roman"/>
                <w:bCs/>
                <w:spacing w:val="-2"/>
                <w:sz w:val="24"/>
                <w:szCs w:val="24"/>
              </w:rPr>
            </w:pPr>
            <w:r w:rsidRPr="00C40618">
              <w:rPr>
                <w:rFonts w:ascii="Times New Roman" w:hAnsi="Times New Roman" w:cs="Times New Roman"/>
                <w:bCs/>
                <w:spacing w:val="-2"/>
                <w:sz w:val="24"/>
                <w:szCs w:val="24"/>
              </w:rPr>
              <w:t>Role in the Assignment</w:t>
            </w:r>
          </w:p>
        </w:tc>
      </w:tr>
      <w:tr w:rsidR="001C65CC" w:rsidRPr="00C40618" w14:paraId="63A0284E" w14:textId="77777777" w:rsidTr="00C40618">
        <w:tc>
          <w:tcPr>
            <w:tcW w:w="562" w:type="dxa"/>
          </w:tcPr>
          <w:p w14:paraId="70606B35" w14:textId="77777777" w:rsidR="001C65CC" w:rsidRPr="00C40618" w:rsidRDefault="001C65CC" w:rsidP="00333301">
            <w:pPr>
              <w:suppressAutoHyphens/>
              <w:rPr>
                <w:rFonts w:ascii="Times New Roman" w:hAnsi="Times New Roman" w:cs="Times New Roman"/>
                <w:spacing w:val="-2"/>
                <w:sz w:val="24"/>
                <w:szCs w:val="24"/>
              </w:rPr>
            </w:pPr>
          </w:p>
        </w:tc>
        <w:tc>
          <w:tcPr>
            <w:tcW w:w="1472" w:type="dxa"/>
          </w:tcPr>
          <w:p w14:paraId="3DFDBCD3" w14:textId="77777777" w:rsidR="001C65CC" w:rsidRPr="00C40618" w:rsidRDefault="001C65CC" w:rsidP="00333301">
            <w:pPr>
              <w:suppressAutoHyphens/>
              <w:rPr>
                <w:rFonts w:ascii="Times New Roman" w:hAnsi="Times New Roman" w:cs="Times New Roman"/>
                <w:spacing w:val="-2"/>
                <w:sz w:val="24"/>
                <w:szCs w:val="24"/>
              </w:rPr>
            </w:pPr>
            <w:r w:rsidRPr="00C40618">
              <w:rPr>
                <w:rFonts w:ascii="Times New Roman" w:hAnsi="Times New Roman" w:cs="Times New Roman"/>
                <w:spacing w:val="-2"/>
                <w:sz w:val="24"/>
                <w:szCs w:val="24"/>
              </w:rPr>
              <w:t>{</w:t>
            </w:r>
            <w:proofErr w:type="gramStart"/>
            <w:r w:rsidRPr="00C40618">
              <w:rPr>
                <w:rFonts w:ascii="Times New Roman" w:hAnsi="Times New Roman" w:cs="Times New Roman"/>
                <w:spacing w:val="-2"/>
                <w:sz w:val="24"/>
                <w:szCs w:val="24"/>
              </w:rPr>
              <w:t>e.g.</w:t>
            </w:r>
            <w:proofErr w:type="gramEnd"/>
            <w:r w:rsidRPr="00C40618">
              <w:rPr>
                <w:rFonts w:ascii="Times New Roman" w:hAnsi="Times New Roman" w:cs="Times New Roman"/>
                <w:spacing w:val="-2"/>
                <w:sz w:val="24"/>
                <w:szCs w:val="24"/>
              </w:rPr>
              <w:t>, “Improvement quality of...............”: designed master plan for rationalization of ........; }</w:t>
            </w:r>
          </w:p>
        </w:tc>
        <w:tc>
          <w:tcPr>
            <w:tcW w:w="1651" w:type="dxa"/>
          </w:tcPr>
          <w:p w14:paraId="4A41CC22" w14:textId="77777777" w:rsidR="001C65CC" w:rsidRPr="00C40618" w:rsidRDefault="001C65CC" w:rsidP="00333301">
            <w:pPr>
              <w:suppressAutoHyphens/>
              <w:rPr>
                <w:rFonts w:ascii="Times New Roman" w:hAnsi="Times New Roman" w:cs="Times New Roman"/>
                <w:spacing w:val="-2"/>
                <w:sz w:val="24"/>
                <w:szCs w:val="24"/>
              </w:rPr>
            </w:pPr>
          </w:p>
        </w:tc>
        <w:tc>
          <w:tcPr>
            <w:tcW w:w="1397" w:type="dxa"/>
          </w:tcPr>
          <w:p w14:paraId="59411A41" w14:textId="77777777" w:rsidR="001C65CC" w:rsidRPr="00C40618" w:rsidRDefault="001C65CC" w:rsidP="00333301">
            <w:pPr>
              <w:suppressAutoHyphens/>
              <w:rPr>
                <w:rFonts w:ascii="Times New Roman" w:hAnsi="Times New Roman" w:cs="Times New Roman"/>
                <w:spacing w:val="-2"/>
                <w:sz w:val="24"/>
                <w:szCs w:val="24"/>
              </w:rPr>
            </w:pPr>
            <w:r w:rsidRPr="00C40618">
              <w:rPr>
                <w:rFonts w:ascii="Times New Roman" w:hAnsi="Times New Roman" w:cs="Times New Roman"/>
                <w:spacing w:val="-2"/>
                <w:sz w:val="24"/>
                <w:szCs w:val="24"/>
              </w:rPr>
              <w:t>{</w:t>
            </w:r>
            <w:proofErr w:type="gramStart"/>
            <w:r w:rsidRPr="00C40618">
              <w:rPr>
                <w:rFonts w:ascii="Times New Roman" w:hAnsi="Times New Roman" w:cs="Times New Roman"/>
                <w:spacing w:val="-2"/>
                <w:sz w:val="24"/>
                <w:szCs w:val="24"/>
              </w:rPr>
              <w:t>e.g.</w:t>
            </w:r>
            <w:proofErr w:type="gramEnd"/>
            <w:r w:rsidRPr="00C40618">
              <w:rPr>
                <w:rFonts w:ascii="Times New Roman" w:hAnsi="Times New Roman" w:cs="Times New Roman"/>
                <w:spacing w:val="-2"/>
                <w:sz w:val="24"/>
                <w:szCs w:val="24"/>
              </w:rPr>
              <w:t>, US$1 mill/US$0.5 mill}</w:t>
            </w:r>
          </w:p>
          <w:p w14:paraId="31990AA7" w14:textId="77777777" w:rsidR="001C65CC" w:rsidRPr="00C40618" w:rsidRDefault="001C65CC" w:rsidP="00333301">
            <w:pPr>
              <w:suppressAutoHyphens/>
              <w:rPr>
                <w:rFonts w:ascii="Times New Roman" w:hAnsi="Times New Roman" w:cs="Times New Roman"/>
                <w:spacing w:val="-2"/>
                <w:sz w:val="24"/>
                <w:szCs w:val="24"/>
              </w:rPr>
            </w:pPr>
          </w:p>
        </w:tc>
        <w:tc>
          <w:tcPr>
            <w:tcW w:w="1213" w:type="dxa"/>
          </w:tcPr>
          <w:p w14:paraId="573A76BE" w14:textId="77777777" w:rsidR="001C65CC" w:rsidRPr="00C40618" w:rsidRDefault="001C65CC" w:rsidP="00333301">
            <w:pPr>
              <w:suppressAutoHyphens/>
              <w:rPr>
                <w:rFonts w:ascii="Times New Roman" w:hAnsi="Times New Roman" w:cs="Times New Roman"/>
                <w:spacing w:val="-2"/>
                <w:sz w:val="24"/>
                <w:szCs w:val="24"/>
              </w:rPr>
            </w:pPr>
            <w:r w:rsidRPr="00C40618">
              <w:rPr>
                <w:rFonts w:ascii="Times New Roman" w:hAnsi="Times New Roman" w:cs="Times New Roman"/>
                <w:spacing w:val="-2"/>
                <w:sz w:val="24"/>
                <w:szCs w:val="24"/>
              </w:rPr>
              <w:t>{</w:t>
            </w:r>
            <w:proofErr w:type="gramStart"/>
            <w:r w:rsidRPr="00C40618">
              <w:rPr>
                <w:rFonts w:ascii="Times New Roman" w:hAnsi="Times New Roman" w:cs="Times New Roman"/>
                <w:spacing w:val="-2"/>
                <w:sz w:val="24"/>
                <w:szCs w:val="24"/>
              </w:rPr>
              <w:t>e.g.</w:t>
            </w:r>
            <w:proofErr w:type="gramEnd"/>
            <w:r w:rsidRPr="00C40618">
              <w:rPr>
                <w:rFonts w:ascii="Times New Roman" w:hAnsi="Times New Roman" w:cs="Times New Roman"/>
                <w:spacing w:val="-2"/>
                <w:sz w:val="24"/>
                <w:szCs w:val="24"/>
              </w:rPr>
              <w:t>, Jan.2009– Apr.2010}</w:t>
            </w:r>
          </w:p>
        </w:tc>
        <w:tc>
          <w:tcPr>
            <w:tcW w:w="1497" w:type="dxa"/>
          </w:tcPr>
          <w:p w14:paraId="78EA3B33" w14:textId="77777777" w:rsidR="001C65CC" w:rsidRPr="00C40618" w:rsidRDefault="001C65CC" w:rsidP="00333301">
            <w:pPr>
              <w:suppressAutoHyphens/>
              <w:rPr>
                <w:rFonts w:ascii="Times New Roman" w:hAnsi="Times New Roman" w:cs="Times New Roman"/>
                <w:spacing w:val="-2"/>
                <w:sz w:val="24"/>
                <w:szCs w:val="24"/>
              </w:rPr>
            </w:pPr>
            <w:r w:rsidRPr="00C40618">
              <w:rPr>
                <w:rFonts w:ascii="Times New Roman" w:hAnsi="Times New Roman" w:cs="Times New Roman"/>
                <w:spacing w:val="-2"/>
                <w:sz w:val="24"/>
                <w:szCs w:val="24"/>
              </w:rPr>
              <w:t>{</w:t>
            </w:r>
            <w:proofErr w:type="gramStart"/>
            <w:r w:rsidRPr="00C40618">
              <w:rPr>
                <w:rFonts w:ascii="Times New Roman" w:hAnsi="Times New Roman" w:cs="Times New Roman"/>
                <w:spacing w:val="-2"/>
                <w:sz w:val="24"/>
                <w:szCs w:val="24"/>
              </w:rPr>
              <w:t>e.g.</w:t>
            </w:r>
            <w:proofErr w:type="gramEnd"/>
            <w:r w:rsidRPr="00C40618">
              <w:rPr>
                <w:rFonts w:ascii="Times New Roman" w:hAnsi="Times New Roman" w:cs="Times New Roman"/>
                <w:spacing w:val="-2"/>
                <w:sz w:val="24"/>
                <w:szCs w:val="24"/>
              </w:rPr>
              <w:t>, Ministry of ......, country}</w:t>
            </w:r>
          </w:p>
        </w:tc>
        <w:tc>
          <w:tcPr>
            <w:tcW w:w="1559" w:type="dxa"/>
          </w:tcPr>
          <w:p w14:paraId="4CEE0E1C" w14:textId="77777777" w:rsidR="001C65CC" w:rsidRPr="00C40618" w:rsidRDefault="001C65CC" w:rsidP="00333301">
            <w:pPr>
              <w:suppressAutoHyphens/>
              <w:rPr>
                <w:rFonts w:ascii="Times New Roman" w:hAnsi="Times New Roman" w:cs="Times New Roman"/>
                <w:spacing w:val="-2"/>
                <w:sz w:val="24"/>
                <w:szCs w:val="24"/>
              </w:rPr>
            </w:pPr>
            <w:r w:rsidRPr="00C40618">
              <w:rPr>
                <w:rFonts w:ascii="Times New Roman" w:hAnsi="Times New Roman" w:cs="Times New Roman"/>
                <w:spacing w:val="-2"/>
                <w:sz w:val="24"/>
                <w:szCs w:val="24"/>
              </w:rPr>
              <w:t>{</w:t>
            </w:r>
            <w:proofErr w:type="gramStart"/>
            <w:r w:rsidRPr="00C40618">
              <w:rPr>
                <w:rFonts w:ascii="Times New Roman" w:hAnsi="Times New Roman" w:cs="Times New Roman"/>
                <w:spacing w:val="-2"/>
                <w:sz w:val="24"/>
                <w:szCs w:val="24"/>
              </w:rPr>
              <w:t>e.g.</w:t>
            </w:r>
            <w:proofErr w:type="gramEnd"/>
            <w:r w:rsidRPr="00C40618">
              <w:rPr>
                <w:rFonts w:ascii="Times New Roman" w:hAnsi="Times New Roman" w:cs="Times New Roman"/>
                <w:spacing w:val="-2"/>
                <w:sz w:val="24"/>
                <w:szCs w:val="24"/>
              </w:rPr>
              <w:t>, Lead partner in a JV A&amp;B&amp;C}</w:t>
            </w:r>
          </w:p>
        </w:tc>
      </w:tr>
      <w:tr w:rsidR="001C65CC" w:rsidRPr="00C40618" w14:paraId="4D1D7F07" w14:textId="77777777" w:rsidTr="00C40618">
        <w:tc>
          <w:tcPr>
            <w:tcW w:w="562" w:type="dxa"/>
          </w:tcPr>
          <w:p w14:paraId="4F00D013" w14:textId="77777777" w:rsidR="001C65CC" w:rsidRPr="00C40618" w:rsidRDefault="001C65CC" w:rsidP="00333301">
            <w:pPr>
              <w:suppressAutoHyphens/>
              <w:rPr>
                <w:rFonts w:ascii="Times New Roman" w:hAnsi="Times New Roman" w:cs="Times New Roman"/>
                <w:spacing w:val="-2"/>
                <w:sz w:val="24"/>
                <w:szCs w:val="24"/>
              </w:rPr>
            </w:pPr>
          </w:p>
        </w:tc>
        <w:tc>
          <w:tcPr>
            <w:tcW w:w="1472" w:type="dxa"/>
          </w:tcPr>
          <w:p w14:paraId="6D3B4B95" w14:textId="77777777" w:rsidR="001C65CC" w:rsidRPr="00C40618" w:rsidRDefault="001C65CC" w:rsidP="00333301">
            <w:pPr>
              <w:suppressAutoHyphens/>
              <w:rPr>
                <w:rFonts w:ascii="Times New Roman" w:hAnsi="Times New Roman" w:cs="Times New Roman"/>
                <w:spacing w:val="-2"/>
                <w:sz w:val="24"/>
                <w:szCs w:val="24"/>
              </w:rPr>
            </w:pPr>
            <w:r w:rsidRPr="00C40618">
              <w:rPr>
                <w:rFonts w:ascii="Times New Roman" w:hAnsi="Times New Roman" w:cs="Times New Roman"/>
                <w:spacing w:val="-2"/>
                <w:sz w:val="24"/>
                <w:szCs w:val="24"/>
              </w:rPr>
              <w:t>{</w:t>
            </w:r>
            <w:proofErr w:type="gramStart"/>
            <w:r w:rsidRPr="00C40618">
              <w:rPr>
                <w:rFonts w:ascii="Times New Roman" w:hAnsi="Times New Roman" w:cs="Times New Roman"/>
                <w:spacing w:val="-2"/>
                <w:sz w:val="24"/>
                <w:szCs w:val="24"/>
              </w:rPr>
              <w:t>e.g.</w:t>
            </w:r>
            <w:proofErr w:type="gramEnd"/>
            <w:r w:rsidRPr="00C40618">
              <w:rPr>
                <w:rFonts w:ascii="Times New Roman" w:hAnsi="Times New Roman" w:cs="Times New Roman"/>
                <w:spacing w:val="-2"/>
                <w:sz w:val="24"/>
                <w:szCs w:val="24"/>
              </w:rPr>
              <w:t>, “Support to sub-national government.....” : drafted secondary level regulations on..............}</w:t>
            </w:r>
          </w:p>
        </w:tc>
        <w:tc>
          <w:tcPr>
            <w:tcW w:w="1651" w:type="dxa"/>
          </w:tcPr>
          <w:p w14:paraId="16CF7570" w14:textId="77777777" w:rsidR="001C65CC" w:rsidRPr="00C40618" w:rsidRDefault="001C65CC" w:rsidP="00333301">
            <w:pPr>
              <w:suppressAutoHyphens/>
              <w:rPr>
                <w:rFonts w:ascii="Times New Roman" w:hAnsi="Times New Roman" w:cs="Times New Roman"/>
                <w:spacing w:val="-2"/>
                <w:sz w:val="24"/>
                <w:szCs w:val="24"/>
              </w:rPr>
            </w:pPr>
          </w:p>
        </w:tc>
        <w:tc>
          <w:tcPr>
            <w:tcW w:w="1397" w:type="dxa"/>
          </w:tcPr>
          <w:p w14:paraId="2FD90927" w14:textId="77777777" w:rsidR="001C65CC" w:rsidRPr="00C40618" w:rsidRDefault="001C65CC" w:rsidP="00333301">
            <w:pPr>
              <w:suppressAutoHyphens/>
              <w:rPr>
                <w:rFonts w:ascii="Times New Roman" w:hAnsi="Times New Roman" w:cs="Times New Roman"/>
                <w:spacing w:val="-2"/>
                <w:sz w:val="24"/>
                <w:szCs w:val="24"/>
              </w:rPr>
            </w:pPr>
            <w:r w:rsidRPr="00C40618">
              <w:rPr>
                <w:rFonts w:ascii="Times New Roman" w:hAnsi="Times New Roman" w:cs="Times New Roman"/>
                <w:spacing w:val="-2"/>
                <w:sz w:val="24"/>
                <w:szCs w:val="24"/>
              </w:rPr>
              <w:t>{</w:t>
            </w:r>
            <w:proofErr w:type="gramStart"/>
            <w:r w:rsidRPr="00C40618">
              <w:rPr>
                <w:rFonts w:ascii="Times New Roman" w:hAnsi="Times New Roman" w:cs="Times New Roman"/>
                <w:spacing w:val="-2"/>
                <w:sz w:val="24"/>
                <w:szCs w:val="24"/>
              </w:rPr>
              <w:t>e.g.</w:t>
            </w:r>
            <w:proofErr w:type="gramEnd"/>
            <w:r w:rsidRPr="00C40618">
              <w:rPr>
                <w:rFonts w:ascii="Times New Roman" w:hAnsi="Times New Roman" w:cs="Times New Roman"/>
                <w:spacing w:val="-2"/>
                <w:sz w:val="24"/>
                <w:szCs w:val="24"/>
              </w:rPr>
              <w:t>, US$0.2 mil/US$0.2 mil}</w:t>
            </w:r>
          </w:p>
        </w:tc>
        <w:tc>
          <w:tcPr>
            <w:tcW w:w="1213" w:type="dxa"/>
          </w:tcPr>
          <w:p w14:paraId="3440F13D" w14:textId="77777777" w:rsidR="001C65CC" w:rsidRPr="00C40618" w:rsidRDefault="001C65CC" w:rsidP="00333301">
            <w:pPr>
              <w:suppressAutoHyphens/>
              <w:rPr>
                <w:rFonts w:ascii="Times New Roman" w:hAnsi="Times New Roman" w:cs="Times New Roman"/>
                <w:spacing w:val="-2"/>
                <w:sz w:val="24"/>
                <w:szCs w:val="24"/>
              </w:rPr>
            </w:pPr>
            <w:r w:rsidRPr="00C40618">
              <w:rPr>
                <w:rFonts w:ascii="Times New Roman" w:hAnsi="Times New Roman" w:cs="Times New Roman"/>
                <w:spacing w:val="-2"/>
                <w:sz w:val="24"/>
                <w:szCs w:val="24"/>
              </w:rPr>
              <w:t>{</w:t>
            </w:r>
            <w:proofErr w:type="gramStart"/>
            <w:r w:rsidRPr="00C40618">
              <w:rPr>
                <w:rFonts w:ascii="Times New Roman" w:hAnsi="Times New Roman" w:cs="Times New Roman"/>
                <w:spacing w:val="-2"/>
                <w:sz w:val="24"/>
                <w:szCs w:val="24"/>
              </w:rPr>
              <w:t>e.g.</w:t>
            </w:r>
            <w:proofErr w:type="gramEnd"/>
            <w:r w:rsidRPr="00C40618">
              <w:rPr>
                <w:rFonts w:ascii="Times New Roman" w:hAnsi="Times New Roman" w:cs="Times New Roman"/>
                <w:spacing w:val="-2"/>
                <w:sz w:val="24"/>
                <w:szCs w:val="24"/>
              </w:rPr>
              <w:t>, Jan-May 2008}</w:t>
            </w:r>
          </w:p>
        </w:tc>
        <w:tc>
          <w:tcPr>
            <w:tcW w:w="1497" w:type="dxa"/>
          </w:tcPr>
          <w:p w14:paraId="3A73835B" w14:textId="77777777" w:rsidR="001C65CC" w:rsidRPr="00C40618" w:rsidRDefault="001C65CC" w:rsidP="00333301">
            <w:pPr>
              <w:suppressAutoHyphens/>
              <w:rPr>
                <w:rFonts w:ascii="Times New Roman" w:hAnsi="Times New Roman" w:cs="Times New Roman"/>
                <w:spacing w:val="-2"/>
                <w:sz w:val="24"/>
                <w:szCs w:val="24"/>
              </w:rPr>
            </w:pPr>
            <w:r w:rsidRPr="00C40618">
              <w:rPr>
                <w:rFonts w:ascii="Times New Roman" w:hAnsi="Times New Roman" w:cs="Times New Roman"/>
                <w:spacing w:val="-2"/>
                <w:sz w:val="24"/>
                <w:szCs w:val="24"/>
              </w:rPr>
              <w:t>{</w:t>
            </w:r>
            <w:proofErr w:type="gramStart"/>
            <w:r w:rsidRPr="00C40618">
              <w:rPr>
                <w:rFonts w:ascii="Times New Roman" w:hAnsi="Times New Roman" w:cs="Times New Roman"/>
                <w:spacing w:val="-2"/>
                <w:sz w:val="24"/>
                <w:szCs w:val="24"/>
              </w:rPr>
              <w:t>e.g.</w:t>
            </w:r>
            <w:proofErr w:type="gramEnd"/>
            <w:r w:rsidRPr="00C40618">
              <w:rPr>
                <w:rFonts w:ascii="Times New Roman" w:hAnsi="Times New Roman" w:cs="Times New Roman"/>
                <w:spacing w:val="-2"/>
                <w:sz w:val="24"/>
                <w:szCs w:val="24"/>
              </w:rPr>
              <w:t>, municipality of........., country}</w:t>
            </w:r>
          </w:p>
        </w:tc>
        <w:tc>
          <w:tcPr>
            <w:tcW w:w="1559" w:type="dxa"/>
          </w:tcPr>
          <w:p w14:paraId="7C831DDC" w14:textId="77777777" w:rsidR="001C65CC" w:rsidRPr="00C40618" w:rsidRDefault="001C65CC" w:rsidP="00333301">
            <w:pPr>
              <w:suppressAutoHyphens/>
              <w:rPr>
                <w:rFonts w:ascii="Times New Roman" w:hAnsi="Times New Roman" w:cs="Times New Roman"/>
                <w:spacing w:val="-2"/>
                <w:sz w:val="24"/>
                <w:szCs w:val="24"/>
              </w:rPr>
            </w:pPr>
            <w:r w:rsidRPr="00C40618">
              <w:rPr>
                <w:rFonts w:ascii="Times New Roman" w:hAnsi="Times New Roman" w:cs="Times New Roman"/>
                <w:spacing w:val="-2"/>
                <w:sz w:val="24"/>
                <w:szCs w:val="24"/>
              </w:rPr>
              <w:t>{</w:t>
            </w:r>
            <w:proofErr w:type="gramStart"/>
            <w:r w:rsidRPr="00C40618">
              <w:rPr>
                <w:rFonts w:ascii="Times New Roman" w:hAnsi="Times New Roman" w:cs="Times New Roman"/>
                <w:spacing w:val="-2"/>
                <w:sz w:val="24"/>
                <w:szCs w:val="24"/>
              </w:rPr>
              <w:t>e.g.</w:t>
            </w:r>
            <w:proofErr w:type="gramEnd"/>
            <w:r w:rsidRPr="00C40618">
              <w:rPr>
                <w:rFonts w:ascii="Times New Roman" w:hAnsi="Times New Roman" w:cs="Times New Roman"/>
                <w:spacing w:val="-2"/>
                <w:sz w:val="24"/>
                <w:szCs w:val="24"/>
              </w:rPr>
              <w:t>, sole Consultant}</w:t>
            </w:r>
          </w:p>
        </w:tc>
      </w:tr>
      <w:tr w:rsidR="001C65CC" w:rsidRPr="00C40618" w14:paraId="36A573D6" w14:textId="77777777" w:rsidTr="00C40618">
        <w:tc>
          <w:tcPr>
            <w:tcW w:w="562" w:type="dxa"/>
          </w:tcPr>
          <w:p w14:paraId="7F9EFDFD" w14:textId="77777777" w:rsidR="001C65CC" w:rsidRPr="00C40618" w:rsidRDefault="001C65CC" w:rsidP="00333301">
            <w:pPr>
              <w:suppressAutoHyphens/>
              <w:rPr>
                <w:rFonts w:ascii="Times New Roman" w:hAnsi="Times New Roman" w:cs="Times New Roman"/>
                <w:spacing w:val="-2"/>
                <w:sz w:val="24"/>
                <w:szCs w:val="24"/>
              </w:rPr>
            </w:pPr>
          </w:p>
        </w:tc>
        <w:tc>
          <w:tcPr>
            <w:tcW w:w="1472" w:type="dxa"/>
          </w:tcPr>
          <w:p w14:paraId="1182D9EF" w14:textId="77777777" w:rsidR="001C65CC" w:rsidRPr="00C40618" w:rsidRDefault="001C65CC" w:rsidP="00333301">
            <w:pPr>
              <w:suppressAutoHyphens/>
              <w:rPr>
                <w:rFonts w:ascii="Times New Roman" w:hAnsi="Times New Roman" w:cs="Times New Roman"/>
                <w:spacing w:val="-2"/>
                <w:sz w:val="24"/>
                <w:szCs w:val="24"/>
              </w:rPr>
            </w:pPr>
          </w:p>
        </w:tc>
        <w:tc>
          <w:tcPr>
            <w:tcW w:w="1651" w:type="dxa"/>
          </w:tcPr>
          <w:p w14:paraId="63EF6596" w14:textId="77777777" w:rsidR="001C65CC" w:rsidRPr="00C40618" w:rsidRDefault="001C65CC" w:rsidP="00333301">
            <w:pPr>
              <w:suppressAutoHyphens/>
              <w:rPr>
                <w:rFonts w:ascii="Times New Roman" w:hAnsi="Times New Roman" w:cs="Times New Roman"/>
                <w:spacing w:val="-2"/>
                <w:sz w:val="24"/>
                <w:szCs w:val="24"/>
              </w:rPr>
            </w:pPr>
          </w:p>
        </w:tc>
        <w:tc>
          <w:tcPr>
            <w:tcW w:w="1397" w:type="dxa"/>
          </w:tcPr>
          <w:p w14:paraId="72191B6F" w14:textId="77777777" w:rsidR="001C65CC" w:rsidRPr="00C40618" w:rsidRDefault="001C65CC" w:rsidP="00333301">
            <w:pPr>
              <w:suppressAutoHyphens/>
              <w:rPr>
                <w:rFonts w:ascii="Times New Roman" w:hAnsi="Times New Roman" w:cs="Times New Roman"/>
                <w:spacing w:val="-2"/>
                <w:sz w:val="24"/>
                <w:szCs w:val="24"/>
              </w:rPr>
            </w:pPr>
          </w:p>
        </w:tc>
        <w:tc>
          <w:tcPr>
            <w:tcW w:w="1213" w:type="dxa"/>
          </w:tcPr>
          <w:p w14:paraId="483E5966" w14:textId="77777777" w:rsidR="001C65CC" w:rsidRPr="00C40618" w:rsidRDefault="001C65CC" w:rsidP="00333301">
            <w:pPr>
              <w:suppressAutoHyphens/>
              <w:rPr>
                <w:rFonts w:ascii="Times New Roman" w:hAnsi="Times New Roman" w:cs="Times New Roman"/>
                <w:spacing w:val="-2"/>
                <w:sz w:val="24"/>
                <w:szCs w:val="24"/>
              </w:rPr>
            </w:pPr>
          </w:p>
        </w:tc>
        <w:tc>
          <w:tcPr>
            <w:tcW w:w="1497" w:type="dxa"/>
          </w:tcPr>
          <w:p w14:paraId="1AF8836F" w14:textId="77777777" w:rsidR="001C65CC" w:rsidRPr="00C40618" w:rsidRDefault="001C65CC" w:rsidP="00333301">
            <w:pPr>
              <w:suppressAutoHyphens/>
              <w:rPr>
                <w:rFonts w:ascii="Times New Roman" w:hAnsi="Times New Roman" w:cs="Times New Roman"/>
                <w:spacing w:val="-2"/>
                <w:sz w:val="24"/>
                <w:szCs w:val="24"/>
              </w:rPr>
            </w:pPr>
          </w:p>
        </w:tc>
        <w:tc>
          <w:tcPr>
            <w:tcW w:w="1559" w:type="dxa"/>
          </w:tcPr>
          <w:p w14:paraId="4AD709F2" w14:textId="77777777" w:rsidR="001C65CC" w:rsidRPr="00C40618" w:rsidRDefault="001C65CC" w:rsidP="00333301">
            <w:pPr>
              <w:suppressAutoHyphens/>
              <w:rPr>
                <w:rFonts w:ascii="Times New Roman" w:hAnsi="Times New Roman" w:cs="Times New Roman"/>
                <w:spacing w:val="-2"/>
                <w:sz w:val="24"/>
                <w:szCs w:val="24"/>
              </w:rPr>
            </w:pPr>
          </w:p>
        </w:tc>
      </w:tr>
      <w:tr w:rsidR="00C40618" w:rsidRPr="00C40618" w14:paraId="2967AD44" w14:textId="77777777" w:rsidTr="00C40618">
        <w:tc>
          <w:tcPr>
            <w:tcW w:w="562" w:type="dxa"/>
          </w:tcPr>
          <w:p w14:paraId="0E4DB191" w14:textId="77777777" w:rsidR="00C40618" w:rsidRPr="00C40618" w:rsidRDefault="00C40618" w:rsidP="00333301">
            <w:pPr>
              <w:suppressAutoHyphens/>
              <w:rPr>
                <w:rFonts w:ascii="Times New Roman" w:hAnsi="Times New Roman" w:cs="Times New Roman"/>
                <w:spacing w:val="-2"/>
                <w:sz w:val="24"/>
                <w:szCs w:val="24"/>
              </w:rPr>
            </w:pPr>
          </w:p>
        </w:tc>
        <w:tc>
          <w:tcPr>
            <w:tcW w:w="1472" w:type="dxa"/>
          </w:tcPr>
          <w:p w14:paraId="55A1BD2C" w14:textId="77777777" w:rsidR="00C40618" w:rsidRPr="00C40618" w:rsidRDefault="00C40618" w:rsidP="00333301">
            <w:pPr>
              <w:suppressAutoHyphens/>
              <w:rPr>
                <w:rFonts w:ascii="Times New Roman" w:hAnsi="Times New Roman" w:cs="Times New Roman"/>
                <w:spacing w:val="-2"/>
                <w:sz w:val="24"/>
                <w:szCs w:val="24"/>
              </w:rPr>
            </w:pPr>
          </w:p>
        </w:tc>
        <w:tc>
          <w:tcPr>
            <w:tcW w:w="1651" w:type="dxa"/>
          </w:tcPr>
          <w:p w14:paraId="38E33559" w14:textId="77777777" w:rsidR="00C40618" w:rsidRPr="00C40618" w:rsidRDefault="00C40618" w:rsidP="00333301">
            <w:pPr>
              <w:suppressAutoHyphens/>
              <w:rPr>
                <w:rFonts w:ascii="Times New Roman" w:hAnsi="Times New Roman" w:cs="Times New Roman"/>
                <w:spacing w:val="-2"/>
                <w:sz w:val="24"/>
                <w:szCs w:val="24"/>
              </w:rPr>
            </w:pPr>
          </w:p>
        </w:tc>
        <w:tc>
          <w:tcPr>
            <w:tcW w:w="1397" w:type="dxa"/>
          </w:tcPr>
          <w:p w14:paraId="7F82748A" w14:textId="77777777" w:rsidR="00C40618" w:rsidRPr="00C40618" w:rsidRDefault="00C40618" w:rsidP="00333301">
            <w:pPr>
              <w:suppressAutoHyphens/>
              <w:rPr>
                <w:rFonts w:ascii="Times New Roman" w:hAnsi="Times New Roman" w:cs="Times New Roman"/>
                <w:spacing w:val="-2"/>
                <w:sz w:val="24"/>
                <w:szCs w:val="24"/>
              </w:rPr>
            </w:pPr>
          </w:p>
        </w:tc>
        <w:tc>
          <w:tcPr>
            <w:tcW w:w="1213" w:type="dxa"/>
          </w:tcPr>
          <w:p w14:paraId="4ABDD0D6" w14:textId="77777777" w:rsidR="00C40618" w:rsidRPr="00C40618" w:rsidRDefault="00C40618" w:rsidP="00333301">
            <w:pPr>
              <w:suppressAutoHyphens/>
              <w:rPr>
                <w:rFonts w:ascii="Times New Roman" w:hAnsi="Times New Roman" w:cs="Times New Roman"/>
                <w:spacing w:val="-2"/>
                <w:sz w:val="24"/>
                <w:szCs w:val="24"/>
              </w:rPr>
            </w:pPr>
          </w:p>
        </w:tc>
        <w:tc>
          <w:tcPr>
            <w:tcW w:w="1497" w:type="dxa"/>
          </w:tcPr>
          <w:p w14:paraId="6F018193" w14:textId="77777777" w:rsidR="00C40618" w:rsidRPr="00C40618" w:rsidRDefault="00C40618" w:rsidP="00333301">
            <w:pPr>
              <w:suppressAutoHyphens/>
              <w:rPr>
                <w:rFonts w:ascii="Times New Roman" w:hAnsi="Times New Roman" w:cs="Times New Roman"/>
                <w:spacing w:val="-2"/>
                <w:sz w:val="24"/>
                <w:szCs w:val="24"/>
              </w:rPr>
            </w:pPr>
          </w:p>
        </w:tc>
        <w:tc>
          <w:tcPr>
            <w:tcW w:w="1559" w:type="dxa"/>
          </w:tcPr>
          <w:p w14:paraId="27D4CA75" w14:textId="77777777" w:rsidR="00C40618" w:rsidRPr="00C40618" w:rsidRDefault="00C40618" w:rsidP="00333301">
            <w:pPr>
              <w:suppressAutoHyphens/>
              <w:rPr>
                <w:rFonts w:ascii="Times New Roman" w:hAnsi="Times New Roman" w:cs="Times New Roman"/>
                <w:spacing w:val="-2"/>
                <w:sz w:val="24"/>
                <w:szCs w:val="24"/>
              </w:rPr>
            </w:pPr>
          </w:p>
        </w:tc>
      </w:tr>
    </w:tbl>
    <w:p w14:paraId="0459BA4E" w14:textId="77777777" w:rsidR="001C65CC" w:rsidRPr="00C40618" w:rsidRDefault="001C65CC" w:rsidP="001C65CC">
      <w:pPr>
        <w:suppressAutoHyphens/>
        <w:rPr>
          <w:rFonts w:ascii="Times New Roman" w:hAnsi="Times New Roman" w:cs="Times New Roman"/>
          <w:b/>
          <w:spacing w:val="-2"/>
          <w:sz w:val="24"/>
          <w:szCs w:val="24"/>
        </w:rPr>
      </w:pPr>
    </w:p>
    <w:p w14:paraId="041673C6" w14:textId="023687C0" w:rsidR="002A6ED0" w:rsidRDefault="002A6ED0" w:rsidP="001C11AC">
      <w:pPr>
        <w:spacing w:after="0" w:line="240" w:lineRule="auto"/>
        <w:rPr>
          <w:rFonts w:ascii="Times New Roman" w:hAnsi="Times New Roman" w:cs="Times New Roman"/>
          <w:b/>
          <w:sz w:val="24"/>
          <w:szCs w:val="24"/>
          <w:lang w:val="en-GB"/>
        </w:rPr>
      </w:pPr>
    </w:p>
    <w:p w14:paraId="01027CAA" w14:textId="577523CE" w:rsidR="00F31E38" w:rsidRDefault="00F31E38" w:rsidP="001C11AC">
      <w:pPr>
        <w:spacing w:after="0" w:line="240" w:lineRule="auto"/>
        <w:rPr>
          <w:rFonts w:ascii="Times New Roman" w:hAnsi="Times New Roman" w:cs="Times New Roman"/>
          <w:b/>
          <w:sz w:val="24"/>
          <w:szCs w:val="24"/>
          <w:lang w:val="en-GB"/>
        </w:rPr>
      </w:pPr>
    </w:p>
    <w:p w14:paraId="43EB8074" w14:textId="3CABBB15" w:rsidR="00F31E38" w:rsidRDefault="00F31E38" w:rsidP="001C11AC">
      <w:pPr>
        <w:spacing w:after="0" w:line="240" w:lineRule="auto"/>
        <w:rPr>
          <w:rFonts w:ascii="Times New Roman" w:hAnsi="Times New Roman" w:cs="Times New Roman"/>
          <w:b/>
          <w:sz w:val="24"/>
          <w:szCs w:val="24"/>
          <w:lang w:val="en-GB"/>
        </w:rPr>
      </w:pPr>
    </w:p>
    <w:p w14:paraId="2334DF69" w14:textId="3E6B7D43" w:rsidR="00F31E38" w:rsidRDefault="00F31E38" w:rsidP="001C11AC">
      <w:pPr>
        <w:spacing w:after="0" w:line="240" w:lineRule="auto"/>
        <w:rPr>
          <w:rFonts w:ascii="Times New Roman" w:hAnsi="Times New Roman" w:cs="Times New Roman"/>
          <w:b/>
          <w:sz w:val="24"/>
          <w:szCs w:val="24"/>
          <w:lang w:val="en-GB"/>
        </w:rPr>
      </w:pPr>
    </w:p>
    <w:p w14:paraId="3CB13D12" w14:textId="7680AB2F" w:rsidR="00F31E38" w:rsidRDefault="00F31E38" w:rsidP="001C11AC">
      <w:pPr>
        <w:spacing w:after="0" w:line="240" w:lineRule="auto"/>
        <w:rPr>
          <w:rFonts w:ascii="Times New Roman" w:hAnsi="Times New Roman" w:cs="Times New Roman"/>
          <w:b/>
          <w:sz w:val="24"/>
          <w:szCs w:val="24"/>
          <w:lang w:val="en-GB"/>
        </w:rPr>
      </w:pPr>
    </w:p>
    <w:p w14:paraId="41342D80" w14:textId="09C2520F" w:rsidR="00F31E38" w:rsidRDefault="00F31E38" w:rsidP="001C11AC">
      <w:pPr>
        <w:spacing w:after="0" w:line="240" w:lineRule="auto"/>
        <w:rPr>
          <w:rFonts w:ascii="Times New Roman" w:hAnsi="Times New Roman" w:cs="Times New Roman"/>
          <w:b/>
          <w:sz w:val="24"/>
          <w:szCs w:val="24"/>
          <w:lang w:val="en-GB"/>
        </w:rPr>
      </w:pPr>
    </w:p>
    <w:p w14:paraId="7ED2B2A8" w14:textId="741CD37C" w:rsidR="00F31E38" w:rsidRDefault="00F31E38" w:rsidP="001C11AC">
      <w:pPr>
        <w:spacing w:after="0" w:line="240" w:lineRule="auto"/>
        <w:rPr>
          <w:rFonts w:ascii="Times New Roman" w:hAnsi="Times New Roman" w:cs="Times New Roman"/>
          <w:b/>
          <w:sz w:val="24"/>
          <w:szCs w:val="24"/>
          <w:lang w:val="en-GB"/>
        </w:rPr>
      </w:pPr>
    </w:p>
    <w:p w14:paraId="10EA3103" w14:textId="03670866" w:rsidR="00F31E38" w:rsidRDefault="00F31E38" w:rsidP="001C11AC">
      <w:pPr>
        <w:spacing w:after="0" w:line="240" w:lineRule="auto"/>
        <w:rPr>
          <w:rFonts w:ascii="Times New Roman" w:hAnsi="Times New Roman" w:cs="Times New Roman"/>
          <w:b/>
          <w:sz w:val="24"/>
          <w:szCs w:val="24"/>
          <w:lang w:val="en-GB"/>
        </w:rPr>
      </w:pPr>
    </w:p>
    <w:p w14:paraId="73704F0C" w14:textId="77777777" w:rsidR="00F31E38" w:rsidRPr="00F31E38" w:rsidRDefault="00F31E38" w:rsidP="00F31E38">
      <w:pPr>
        <w:spacing w:after="0" w:line="240" w:lineRule="auto"/>
        <w:jc w:val="both"/>
        <w:rPr>
          <w:rFonts w:ascii="Times New Roman" w:hAnsi="Times New Roman" w:cs="Times New Roman"/>
          <w:sz w:val="24"/>
          <w:szCs w:val="24"/>
          <w:lang w:val="en-GB"/>
        </w:rPr>
      </w:pPr>
    </w:p>
    <w:p w14:paraId="36957632" w14:textId="77777777" w:rsidR="00F31E38" w:rsidRPr="00F31E38" w:rsidRDefault="00F31E38" w:rsidP="00F31E38">
      <w:pPr>
        <w:spacing w:after="0" w:line="240" w:lineRule="auto"/>
        <w:jc w:val="center"/>
        <w:rPr>
          <w:rFonts w:ascii="Times New Roman" w:hAnsi="Times New Roman" w:cs="Times New Roman"/>
          <w:b/>
          <w:sz w:val="24"/>
          <w:szCs w:val="24"/>
          <w:lang w:val="en-GB"/>
        </w:rPr>
      </w:pPr>
    </w:p>
    <w:p w14:paraId="1EE4394D" w14:textId="77777777" w:rsidR="00F31E38" w:rsidRPr="00F31E38" w:rsidRDefault="00F31E38" w:rsidP="00F31E38">
      <w:pPr>
        <w:spacing w:after="0" w:line="240" w:lineRule="auto"/>
        <w:jc w:val="center"/>
        <w:rPr>
          <w:rFonts w:ascii="Times New Roman" w:hAnsi="Times New Roman" w:cs="Times New Roman"/>
          <w:b/>
          <w:sz w:val="24"/>
          <w:szCs w:val="24"/>
          <w:lang w:val="en-GB"/>
        </w:rPr>
      </w:pPr>
      <w:r w:rsidRPr="00F31E38">
        <w:rPr>
          <w:rFonts w:ascii="Times New Roman" w:hAnsi="Times New Roman" w:cs="Times New Roman"/>
          <w:b/>
          <w:sz w:val="24"/>
          <w:szCs w:val="24"/>
          <w:lang w:val="en-GB"/>
        </w:rPr>
        <w:lastRenderedPageBreak/>
        <w:t>ANNEX: TERMS OF REFERENCE</w:t>
      </w:r>
    </w:p>
    <w:p w14:paraId="34771059" w14:textId="77777777" w:rsidR="00F31E38" w:rsidRPr="00F31E38" w:rsidRDefault="00F31E38" w:rsidP="00F31E38">
      <w:pPr>
        <w:autoSpaceDE w:val="0"/>
        <w:autoSpaceDN w:val="0"/>
        <w:adjustRightInd w:val="0"/>
        <w:spacing w:after="0" w:line="23" w:lineRule="atLeast"/>
        <w:jc w:val="center"/>
        <w:rPr>
          <w:rFonts w:ascii="Times-Bold" w:eastAsia="Times New Roman" w:hAnsi="Times-Bold" w:cs="Times-Bold"/>
          <w:b/>
          <w:bCs/>
          <w:sz w:val="23"/>
          <w:szCs w:val="23"/>
          <w:lang w:val="en-GB" w:eastAsia="zh-CN"/>
        </w:rPr>
      </w:pPr>
      <w:r w:rsidRPr="00F31E38">
        <w:rPr>
          <w:rFonts w:ascii="Times New Roman" w:eastAsia="Times New Roman" w:hAnsi="Times New Roman" w:cs="Times New Roman"/>
          <w:b/>
          <w:sz w:val="24"/>
          <w:szCs w:val="24"/>
          <w:lang w:val="en-GB"/>
        </w:rPr>
        <w:t xml:space="preserve">Türkiye European Union / </w:t>
      </w:r>
      <w:r w:rsidRPr="00F31E38">
        <w:rPr>
          <w:rFonts w:ascii="Times-Bold" w:eastAsia="Times New Roman" w:hAnsi="Times-Bold" w:cs="Times-Bold"/>
          <w:b/>
          <w:bCs/>
          <w:sz w:val="23"/>
          <w:szCs w:val="23"/>
          <w:lang w:val="en-GB" w:eastAsia="zh-CN"/>
        </w:rPr>
        <w:t>Instrument for Pre-Accession Assistance</w:t>
      </w:r>
    </w:p>
    <w:p w14:paraId="56BAE3D9" w14:textId="77777777" w:rsidR="00F31E38" w:rsidRPr="00F31E38" w:rsidRDefault="00F31E38" w:rsidP="00F31E38">
      <w:pPr>
        <w:autoSpaceDE w:val="0"/>
        <w:autoSpaceDN w:val="0"/>
        <w:adjustRightInd w:val="0"/>
        <w:spacing w:after="0" w:line="23" w:lineRule="atLeast"/>
        <w:jc w:val="center"/>
        <w:rPr>
          <w:rFonts w:ascii="Times-Bold" w:eastAsia="Times New Roman" w:hAnsi="Times-Bold" w:cs="Times-Bold"/>
          <w:b/>
          <w:bCs/>
          <w:sz w:val="23"/>
          <w:szCs w:val="23"/>
          <w:lang w:val="en-GB" w:eastAsia="zh-CN"/>
        </w:rPr>
      </w:pPr>
      <w:r w:rsidRPr="00F31E38">
        <w:rPr>
          <w:rFonts w:ascii="Times-Bold" w:eastAsia="Times New Roman" w:hAnsi="Times-Bold" w:cs="Times-Bold"/>
          <w:b/>
          <w:bCs/>
          <w:sz w:val="23"/>
          <w:szCs w:val="23"/>
          <w:lang w:val="en-GB" w:eastAsia="zh-CN"/>
        </w:rPr>
        <w:t>(IPA) 2018 Energy Sector Program Phase-3 Project</w:t>
      </w:r>
    </w:p>
    <w:p w14:paraId="5AC3DA8A" w14:textId="77777777" w:rsidR="00F31E38" w:rsidRPr="00F31E38" w:rsidRDefault="00F31E38" w:rsidP="00F31E38">
      <w:pPr>
        <w:spacing w:after="0" w:line="23" w:lineRule="atLeast"/>
        <w:jc w:val="center"/>
        <w:rPr>
          <w:rFonts w:ascii="Times New Roman" w:eastAsia="Times New Roman" w:hAnsi="Times New Roman" w:cs="Calibri"/>
          <w:b/>
          <w:sz w:val="24"/>
          <w:szCs w:val="24"/>
          <w:lang w:val="en-GB"/>
        </w:rPr>
      </w:pPr>
    </w:p>
    <w:p w14:paraId="26A3D0C0" w14:textId="77777777" w:rsidR="00F31E38" w:rsidRPr="00F31E38" w:rsidRDefault="00F31E38" w:rsidP="00F31E38">
      <w:pPr>
        <w:spacing w:after="0" w:line="23" w:lineRule="atLeast"/>
        <w:jc w:val="center"/>
        <w:rPr>
          <w:rFonts w:ascii="Times New Roman" w:eastAsia="Times New Roman" w:hAnsi="Times New Roman" w:cs="Calibri"/>
          <w:b/>
          <w:sz w:val="24"/>
          <w:szCs w:val="24"/>
          <w:lang w:val="en-GB"/>
        </w:rPr>
      </w:pPr>
      <w:r w:rsidRPr="00F31E38">
        <w:rPr>
          <w:rFonts w:ascii="Times New Roman" w:eastAsia="Times New Roman" w:hAnsi="Times New Roman" w:cs="Calibri"/>
          <w:b/>
          <w:sz w:val="24"/>
          <w:szCs w:val="24"/>
          <w:lang w:val="en-GB"/>
        </w:rPr>
        <w:t>CONSULTANCY SERVICES FOR INCREASING COMPETITION AND TRANSPARENCY IN NATURAL GAS MARKET (CS-04b)</w:t>
      </w:r>
    </w:p>
    <w:p w14:paraId="758C2FD0" w14:textId="77777777" w:rsidR="00F31E38" w:rsidRPr="00F31E38" w:rsidRDefault="00F31E38" w:rsidP="00F31E38">
      <w:pPr>
        <w:spacing w:after="0" w:line="23" w:lineRule="atLeast"/>
        <w:jc w:val="center"/>
        <w:rPr>
          <w:rFonts w:ascii="Times New Roman" w:eastAsia="Times New Roman" w:hAnsi="Times New Roman" w:cs="Calibri"/>
          <w:b/>
          <w:sz w:val="24"/>
          <w:szCs w:val="24"/>
          <w:lang w:val="en-GB"/>
        </w:rPr>
      </w:pPr>
    </w:p>
    <w:p w14:paraId="1E132524" w14:textId="77777777" w:rsidR="00F31E38" w:rsidRPr="00F31E38" w:rsidRDefault="00F31E38" w:rsidP="00F31E38">
      <w:pPr>
        <w:keepNext/>
        <w:keepLines/>
        <w:numPr>
          <w:ilvl w:val="0"/>
          <w:numId w:val="15"/>
        </w:numPr>
        <w:spacing w:before="240" w:after="240" w:line="23" w:lineRule="atLeast"/>
        <w:jc w:val="both"/>
        <w:outlineLvl w:val="0"/>
        <w:rPr>
          <w:rFonts w:ascii="Times New Roman" w:eastAsia="Times New Roman" w:hAnsi="Times New Roman" w:cs="Times New Roman"/>
          <w:b/>
          <w:sz w:val="24"/>
          <w:szCs w:val="24"/>
          <w:lang w:val="en-GB"/>
        </w:rPr>
      </w:pPr>
      <w:bookmarkStart w:id="3" w:name="_Toc476332792"/>
      <w:bookmarkStart w:id="4" w:name="_Toc476332658"/>
      <w:r w:rsidRPr="00F31E38">
        <w:rPr>
          <w:rFonts w:ascii="Times New Roman" w:eastAsia="Times New Roman" w:hAnsi="Times New Roman" w:cs="Times New Roman"/>
          <w:b/>
          <w:sz w:val="24"/>
          <w:szCs w:val="24"/>
          <w:lang w:val="en-GB"/>
        </w:rPr>
        <w:t>INTRODUCTION</w:t>
      </w:r>
      <w:bookmarkEnd w:id="3"/>
      <w:bookmarkEnd w:id="4"/>
    </w:p>
    <w:p w14:paraId="5F84A32E" w14:textId="77777777" w:rsidR="00F31E38" w:rsidRPr="00F31E38" w:rsidRDefault="00F31E38" w:rsidP="00F31E38">
      <w:pPr>
        <w:spacing w:after="120" w:line="276" w:lineRule="auto"/>
        <w:jc w:val="both"/>
        <w:rPr>
          <w:rFonts w:ascii="Times New Roman" w:eastAsia="Times New Roman" w:hAnsi="Times New Roman" w:cs="Times New Roman"/>
          <w:sz w:val="24"/>
          <w:szCs w:val="24"/>
          <w:lang w:val="en-GB"/>
        </w:rPr>
      </w:pPr>
      <w:r w:rsidRPr="00F31E38">
        <w:rPr>
          <w:rFonts w:ascii="Times New Roman" w:eastAsia="Times New Roman" w:hAnsi="Times New Roman" w:cs="Times New Roman"/>
          <w:sz w:val="24"/>
          <w:szCs w:val="24"/>
          <w:lang w:val="en-GB"/>
        </w:rPr>
        <w:t xml:space="preserve">Türkiye’s energy sector is in a transition to ensure self-reliance, robustness, diversification, supply security, competitiveness and low-carbon energy in compliance with its national circumstances. So far, the sector has been driven by two major characteristics: growing energy demand and import dependency, both of which are impacted by steady economic development with averagely 5% annual growth coupled with sectoral leaps in energy. To tackle these challenges, Türkiye has had its own circumstantial energy transition phases, first of which lasted a decade over the period of 2001-2016. During this first stage, Türkiye introduced radical reforms and restructuring in the energy sector including independent regulation of the sector by the Energy Market Regulatory Authority (EMRA), enabling a level playing field for new market entrants, liberalization in power generation, distribution and trade as well as gas distribution and retail, and stepping up efforts to support the growth of renewable energy sources like solar and wind. Ensuring non-discriminatory access energy markets mobilized sizeable private sector investments and involvement in energy activities. Since </w:t>
      </w:r>
      <w:proofErr w:type="gramStart"/>
      <w:r w:rsidRPr="00F31E38">
        <w:rPr>
          <w:rFonts w:ascii="Times New Roman" w:eastAsia="Times New Roman" w:hAnsi="Times New Roman" w:cs="Times New Roman"/>
          <w:sz w:val="24"/>
          <w:szCs w:val="24"/>
          <w:lang w:val="en-GB"/>
        </w:rPr>
        <w:t>then</w:t>
      </w:r>
      <w:proofErr w:type="gramEnd"/>
      <w:r w:rsidRPr="00F31E38">
        <w:rPr>
          <w:rFonts w:ascii="Times New Roman" w:eastAsia="Times New Roman" w:hAnsi="Times New Roman" w:cs="Times New Roman"/>
          <w:sz w:val="24"/>
          <w:szCs w:val="24"/>
          <w:lang w:val="en-GB"/>
        </w:rPr>
        <w:t xml:space="preserve"> the installed capacity in energy generation, for instance, has almost tripled and the energy landscape in Türkiye’s consumption and power generation patterns have altered</w:t>
      </w:r>
    </w:p>
    <w:p w14:paraId="7E74F206" w14:textId="77777777" w:rsidR="00F31E38" w:rsidRPr="00F31E38" w:rsidRDefault="00F31E38" w:rsidP="00F31E38">
      <w:pPr>
        <w:spacing w:after="0" w:line="276" w:lineRule="auto"/>
        <w:jc w:val="both"/>
        <w:rPr>
          <w:rFonts w:ascii="Times New Roman" w:eastAsia="Times New Roman" w:hAnsi="Times New Roman" w:cs="Times New Roman"/>
          <w:iCs/>
          <w:sz w:val="24"/>
          <w:szCs w:val="24"/>
          <w:lang w:val="en-US"/>
        </w:rPr>
      </w:pPr>
      <w:r w:rsidRPr="00F31E38">
        <w:rPr>
          <w:rFonts w:ascii="Times New Roman" w:eastAsia="Times New Roman" w:hAnsi="Times New Roman" w:cs="Times New Roman"/>
          <w:sz w:val="24"/>
          <w:szCs w:val="24"/>
          <w:lang w:val="en-GB"/>
        </w:rPr>
        <w:t xml:space="preserve">Having reached a certain maturity threshold with the introduction of the Energy Exchange Istanbul (EPIAS) for electricity and natural gas transactions, Türkiye has stepped into the second phase of the energy transition which is mainly inspired by the National Energy and Mining Policy Strategy announced in 2017. This new stage emphasizes the three main pillars of the Strategy, which are (i) reinforcement of security of supply, (ii) localization through renewable and domestic sources and (iii) enhancement of predictability in the market. Furthermore, Türkiye is party to the UNFCCC and signed the Paris Agreement. In line with its Nationally Determined Contribution, Türkiye pledged to reach 21% reduction in GHG emissions compared to the business-as-usual levels by 2030. Pledge towards a greener and more sustainable energy system will require accelerating generation investments. This need for acceleration is evident in </w:t>
      </w:r>
      <w:r w:rsidRPr="00F31E38">
        <w:rPr>
          <w:rFonts w:ascii="Times New Roman" w:eastAsia="Times New Roman" w:hAnsi="Times New Roman" w:cs="Times New Roman"/>
          <w:iCs/>
          <w:sz w:val="24"/>
          <w:szCs w:val="24"/>
          <w:lang w:val="en-GB"/>
        </w:rPr>
        <w:t xml:space="preserve">Türkiye’s National Energy Plan (NEP) which will guide the energy sector by 2035 on a path toward Türkiye’s goal to decarbonize the economy by 2053. The NEP prospects to reach the total installed electricity of 189.7 GW with the additional capacity corresponding 96.9 GW, and the share of the renewable resources is expected to correspond to by 64.7% of this installed capacity.  </w:t>
      </w:r>
    </w:p>
    <w:p w14:paraId="6775D9F9" w14:textId="77777777" w:rsidR="00F31E38" w:rsidRPr="00F31E38" w:rsidRDefault="00F31E38" w:rsidP="00F31E38">
      <w:pPr>
        <w:shd w:val="clear" w:color="auto" w:fill="FFFFFF"/>
        <w:spacing w:after="120" w:line="276" w:lineRule="auto"/>
        <w:jc w:val="both"/>
        <w:rPr>
          <w:rFonts w:ascii="Times New Roman" w:eastAsia="Times New Roman" w:hAnsi="Times New Roman" w:cs="Times New Roman"/>
          <w:sz w:val="24"/>
          <w:szCs w:val="24"/>
          <w:lang w:val="en-GB"/>
        </w:rPr>
      </w:pPr>
    </w:p>
    <w:p w14:paraId="2F3800CC" w14:textId="77777777" w:rsidR="00F31E38" w:rsidRPr="00F31E38" w:rsidRDefault="00F31E38" w:rsidP="00F31E38">
      <w:pPr>
        <w:shd w:val="clear" w:color="auto" w:fill="FFFFFF"/>
        <w:spacing w:after="120" w:line="276" w:lineRule="auto"/>
        <w:jc w:val="both"/>
        <w:rPr>
          <w:rFonts w:ascii="Times New Roman" w:eastAsia="Times New Roman" w:hAnsi="Times New Roman" w:cs="Times New Roman"/>
          <w:sz w:val="24"/>
          <w:szCs w:val="24"/>
          <w:lang w:val="en-GB"/>
        </w:rPr>
      </w:pPr>
      <w:r w:rsidRPr="00F31E38">
        <w:rPr>
          <w:rFonts w:ascii="Times New Roman" w:eastAsia="Times New Roman" w:hAnsi="Times New Roman" w:cs="Times New Roman"/>
          <w:sz w:val="24"/>
          <w:szCs w:val="24"/>
          <w:lang w:val="en-GB"/>
        </w:rPr>
        <w:t xml:space="preserve">The need for continuous reform to enhance competition and transparency in the energy markets is manifested in Türkiye’s legislative framework. Market reforms were identified as one of the cross-cutting pillars in the National Energy and Mining Policy. The aim of a” financially-strong, stable, transparent, predictable and sustainable energy market which protect consumers” is also </w:t>
      </w:r>
      <w:r w:rsidRPr="00F31E38">
        <w:rPr>
          <w:rFonts w:ascii="Times New Roman" w:eastAsia="Times New Roman" w:hAnsi="Times New Roman" w:cs="Times New Roman"/>
          <w:sz w:val="24"/>
          <w:szCs w:val="24"/>
          <w:lang w:val="en-GB"/>
        </w:rPr>
        <w:lastRenderedPageBreak/>
        <w:t>present in the 12</w:t>
      </w:r>
      <w:r w:rsidRPr="00F31E38">
        <w:rPr>
          <w:rFonts w:ascii="Times New Roman" w:eastAsia="Times New Roman" w:hAnsi="Times New Roman" w:cs="Times New Roman"/>
          <w:sz w:val="24"/>
          <w:szCs w:val="24"/>
          <w:vertAlign w:val="superscript"/>
          <w:lang w:val="en-GB"/>
        </w:rPr>
        <w:t>th</w:t>
      </w:r>
      <w:r w:rsidRPr="00F31E38">
        <w:rPr>
          <w:rFonts w:ascii="Times New Roman" w:eastAsia="Times New Roman" w:hAnsi="Times New Roman" w:cs="Times New Roman"/>
          <w:sz w:val="24"/>
          <w:szCs w:val="24"/>
          <w:lang w:val="en-GB"/>
        </w:rPr>
        <w:t xml:space="preserve"> Development Plan which sets forth cost-based pricing while protecting vulnerable consumers as an action.  Enhancing predictability of markets is included as a target in the Strategic Plan for 2019-2023 prepared by Ministry of Energy and Natural Resources (MENR).  New Strategic Plans of the Ministry of Energy and Natural Resources (MENR) and of EMRA for 2024-2028 will be published in 2024.</w:t>
      </w:r>
    </w:p>
    <w:p w14:paraId="128355B3" w14:textId="77777777" w:rsidR="00F31E38" w:rsidRPr="00F31E38" w:rsidRDefault="00F31E38" w:rsidP="00F31E38">
      <w:pPr>
        <w:shd w:val="clear" w:color="auto" w:fill="FFFFFF"/>
        <w:spacing w:after="120" w:line="23" w:lineRule="atLeast"/>
        <w:jc w:val="both"/>
        <w:rPr>
          <w:rFonts w:ascii="Times New Roman" w:eastAsia="Times New Roman" w:hAnsi="Times New Roman" w:cs="Times New Roman"/>
          <w:sz w:val="24"/>
          <w:szCs w:val="24"/>
          <w:lang w:val="en-GB"/>
        </w:rPr>
      </w:pPr>
      <w:r w:rsidRPr="00F31E38">
        <w:rPr>
          <w:rFonts w:ascii="Times New Roman" w:eastAsia="Times New Roman" w:hAnsi="Times New Roman" w:cs="Times New Roman"/>
          <w:sz w:val="24"/>
          <w:szCs w:val="24"/>
          <w:lang w:val="en-GB"/>
        </w:rPr>
        <w:t>In line with the abovementioned targets; in order to continue increasing Türkiye’s readiness to integrate with the EU gas market, EMRA’s capacity to implement the legislation on transparency and competition in the gas market needs to be supported through technical assistance activities. The action will provide valuable input for developing EMRA’s capacity to implement the legislation on transparency and competition in Turkish natural gas market through technical assistance activities regarding the EU legislation and supplier of last resort (SoLR) and market maker (MM) mechanisms.</w:t>
      </w:r>
    </w:p>
    <w:p w14:paraId="537B615C" w14:textId="77777777" w:rsidR="00F31E38" w:rsidRPr="00F31E38" w:rsidRDefault="00F31E38" w:rsidP="00F31E38">
      <w:pPr>
        <w:shd w:val="clear" w:color="auto" w:fill="FFFFFF"/>
        <w:spacing w:after="120" w:line="23" w:lineRule="atLeast"/>
        <w:jc w:val="both"/>
        <w:rPr>
          <w:rFonts w:ascii="Times New Roman" w:eastAsia="Times New Roman" w:hAnsi="Times New Roman" w:cs="Times New Roman"/>
          <w:sz w:val="24"/>
          <w:szCs w:val="24"/>
          <w:lang w:val="en-GB"/>
        </w:rPr>
      </w:pPr>
      <w:r w:rsidRPr="00F31E38">
        <w:rPr>
          <w:rFonts w:ascii="Times New Roman" w:eastAsia="Times New Roman" w:hAnsi="Times New Roman" w:cs="Times New Roman"/>
          <w:sz w:val="24"/>
          <w:szCs w:val="24"/>
          <w:lang w:val="en-GB"/>
        </w:rPr>
        <w:t xml:space="preserve">The action is among the priorities identified for the energy sector under the EU’s revised Indicative Strategy Paper for Türkiye for the Instrument for Pre-Accession (IPA) II period (covering IPA 2014-2020 programming years) and in compliance with one of the actions to achieve the results in the Energy sector: </w:t>
      </w:r>
    </w:p>
    <w:p w14:paraId="3F52DC24" w14:textId="77777777" w:rsidR="00F31E38" w:rsidRPr="00F31E38" w:rsidRDefault="00F31E38" w:rsidP="00F31E38">
      <w:pPr>
        <w:shd w:val="clear" w:color="auto" w:fill="FFFFFF"/>
        <w:spacing w:after="120" w:line="23" w:lineRule="atLeast"/>
        <w:jc w:val="both"/>
        <w:rPr>
          <w:rFonts w:ascii="Times New Roman" w:eastAsia="Times New Roman" w:hAnsi="Times New Roman" w:cs="Times New Roman"/>
          <w:sz w:val="24"/>
          <w:szCs w:val="24"/>
          <w:lang w:val="en-GB"/>
        </w:rPr>
      </w:pPr>
    </w:p>
    <w:p w14:paraId="68D4231F" w14:textId="77777777" w:rsidR="00F31E38" w:rsidRPr="00F31E38" w:rsidRDefault="00F31E38" w:rsidP="00F31E38">
      <w:pPr>
        <w:shd w:val="clear" w:color="auto" w:fill="FFFFFF"/>
        <w:spacing w:after="120" w:line="23" w:lineRule="atLeast"/>
        <w:ind w:left="720"/>
        <w:jc w:val="both"/>
        <w:rPr>
          <w:rFonts w:ascii="Times New Roman" w:eastAsia="Times New Roman" w:hAnsi="Times New Roman" w:cs="Times New Roman"/>
          <w:i/>
          <w:sz w:val="24"/>
          <w:szCs w:val="24"/>
          <w:lang w:val="en-GB"/>
        </w:rPr>
      </w:pPr>
      <w:r w:rsidRPr="00F31E38">
        <w:rPr>
          <w:rFonts w:ascii="Times New Roman" w:eastAsia="Times New Roman" w:hAnsi="Times New Roman" w:cs="Times New Roman"/>
          <w:i/>
          <w:sz w:val="24"/>
          <w:szCs w:val="24"/>
          <w:lang w:val="en-GB"/>
        </w:rPr>
        <w:t xml:space="preserve">Market integration and development of infrastructures: IPA II assistance will support the modernisation and upgrading of the Turkish electricity network in line with the European Network of Transmission System Operators for Electricity (ENTSO-E), and of the Turkish Gas Transmission System in line with the European Network of Transmission System Operators for Gas (ENTSO-G), including soft supply equipment for Supervisory Control and Data Acquisition (SCADA). Technical assistance will be needed for harmonising Turkish gas and electricity codes with relevant EU network codes and for acquis alignment in the areas of electricity and gas. </w:t>
      </w:r>
    </w:p>
    <w:p w14:paraId="2D54587F" w14:textId="77777777" w:rsidR="00F31E38" w:rsidRPr="00F31E38" w:rsidRDefault="00F31E38" w:rsidP="00F31E38">
      <w:pPr>
        <w:shd w:val="clear" w:color="auto" w:fill="FFFFFF"/>
        <w:spacing w:after="120" w:line="23" w:lineRule="atLeast"/>
        <w:jc w:val="both"/>
        <w:rPr>
          <w:rFonts w:ascii="Times New Roman" w:eastAsia="Times New Roman" w:hAnsi="Times New Roman" w:cs="Times New Roman"/>
          <w:sz w:val="24"/>
          <w:szCs w:val="24"/>
          <w:lang w:val="en-GB"/>
        </w:rPr>
      </w:pPr>
    </w:p>
    <w:p w14:paraId="17D3B9C2" w14:textId="77777777" w:rsidR="00F31E38" w:rsidRPr="00F31E38" w:rsidRDefault="00F31E38" w:rsidP="00F31E38">
      <w:pPr>
        <w:shd w:val="clear" w:color="auto" w:fill="FFFFFF"/>
        <w:spacing w:after="120" w:line="23" w:lineRule="atLeast"/>
        <w:jc w:val="both"/>
        <w:rPr>
          <w:rFonts w:ascii="Times New Roman" w:eastAsia="Times New Roman" w:hAnsi="Times New Roman" w:cs="Times New Roman"/>
          <w:sz w:val="24"/>
          <w:szCs w:val="24"/>
          <w:lang w:val="en-GB"/>
        </w:rPr>
      </w:pPr>
      <w:r w:rsidRPr="00F31E38">
        <w:rPr>
          <w:rFonts w:ascii="Times New Roman" w:eastAsia="Times New Roman" w:hAnsi="Times New Roman" w:cs="Times New Roman"/>
          <w:sz w:val="24"/>
          <w:szCs w:val="24"/>
          <w:lang w:val="en-GB"/>
        </w:rPr>
        <w:t>The European Commission (EC, for the EU) and the Ministry of Foreign Affairs (for the Government of Türkiye) signed a Financing Agreement under EU’s IPA 2018 program to Türkiye. The World Bank administers a Trust Fund for the EU-IPA including for the Türkiye EU IPA Energy Sector Program Phase III Project (World Bank Project Code P173247, hereafter the ‘Project’). The execution of the Project is led by MENR, the ‘Contracting Authority’. An Administration Agreement between the EC and WB, and a Grant Agreement between the MENR and WB, have been executed to finance the implementation of the Project, with beneficiaries including EMRA, the ‘End Beneficiary’ of this activity.</w:t>
      </w:r>
    </w:p>
    <w:p w14:paraId="308A151B" w14:textId="77777777" w:rsidR="00F31E38" w:rsidRPr="00F31E38" w:rsidRDefault="00F31E38" w:rsidP="00F31E38">
      <w:pPr>
        <w:shd w:val="clear" w:color="auto" w:fill="FFFFFF"/>
        <w:spacing w:after="120" w:line="23" w:lineRule="atLeast"/>
        <w:jc w:val="both"/>
        <w:rPr>
          <w:rFonts w:ascii="Times New Roman" w:eastAsia="Times New Roman" w:hAnsi="Times New Roman" w:cs="Times New Roman"/>
          <w:sz w:val="24"/>
          <w:szCs w:val="24"/>
          <w:lang w:val="en-GB"/>
        </w:rPr>
      </w:pPr>
      <w:r w:rsidRPr="00F31E38">
        <w:rPr>
          <w:rFonts w:ascii="Times New Roman" w:eastAsia="Times New Roman" w:hAnsi="Times New Roman" w:cs="Times New Roman"/>
          <w:sz w:val="24"/>
          <w:szCs w:val="24"/>
          <w:lang w:val="en-GB"/>
        </w:rPr>
        <w:t>The Project Development Objective (PDO) includes to “build EMRA’s capacity to increase the level of trust and market depth in natural gas market”.</w:t>
      </w:r>
    </w:p>
    <w:p w14:paraId="3C58672E" w14:textId="77777777" w:rsidR="00F31E38" w:rsidRPr="00F31E38" w:rsidRDefault="00F31E38" w:rsidP="00F31E38">
      <w:pPr>
        <w:shd w:val="clear" w:color="auto" w:fill="FFFFFF"/>
        <w:spacing w:after="120" w:line="23" w:lineRule="atLeast"/>
        <w:jc w:val="both"/>
        <w:rPr>
          <w:rFonts w:ascii="Times New Roman" w:eastAsia="Times New Roman" w:hAnsi="Times New Roman" w:cs="Times New Roman"/>
          <w:sz w:val="24"/>
          <w:szCs w:val="24"/>
          <w:lang w:val="en-GB"/>
        </w:rPr>
      </w:pPr>
      <w:r w:rsidRPr="00F31E38">
        <w:rPr>
          <w:rFonts w:ascii="Times New Roman" w:eastAsia="Times New Roman" w:hAnsi="Times New Roman" w:cs="Times New Roman"/>
          <w:sz w:val="24"/>
          <w:szCs w:val="24"/>
          <w:lang w:val="en-GB"/>
        </w:rPr>
        <w:t>Per the Grant Agreement, the activity comprises: “provision of technical assistance to EMRA to include: (a) training activities focusing on good practices of regional implementation of legislation on market maker (MM) and supplier of last resort (SoLR) mechanisms and the use of such mechanisms in compliance with relevant EU legislation and regulations; and (b) support for the preparation of draft natural gas market legislation and regulatory recommendations to increase competition and transparency in natural gas markets”.</w:t>
      </w:r>
    </w:p>
    <w:p w14:paraId="267B164C" w14:textId="77777777" w:rsidR="00F31E38" w:rsidRPr="00F31E38" w:rsidRDefault="00F31E38" w:rsidP="00F31E38">
      <w:pPr>
        <w:shd w:val="clear" w:color="auto" w:fill="FFFFFF"/>
        <w:spacing w:after="120" w:line="23" w:lineRule="atLeast"/>
        <w:jc w:val="both"/>
        <w:rPr>
          <w:rFonts w:ascii="Times New Roman" w:eastAsia="Times New Roman" w:hAnsi="Times New Roman" w:cs="Times New Roman"/>
          <w:sz w:val="24"/>
          <w:szCs w:val="24"/>
          <w:lang w:val="en-GB"/>
        </w:rPr>
      </w:pPr>
      <w:r w:rsidRPr="00F31E38">
        <w:rPr>
          <w:rFonts w:ascii="Times New Roman" w:eastAsia="Times New Roman" w:hAnsi="Times New Roman" w:cs="Times New Roman"/>
          <w:sz w:val="24"/>
          <w:szCs w:val="24"/>
          <w:lang w:val="en-GB"/>
        </w:rPr>
        <w:t xml:space="preserve">The Project includes a PDO Indicator: “EMRA’s capacity to implement SoLR and MM mechanisms in the gas market,” defined as “Establishment of a working group within EMRA with the aim of drafting legislation on SoLR and MM Mechanisms”, with a baseline of “Legal </w:t>
      </w:r>
      <w:r w:rsidRPr="00F31E38">
        <w:rPr>
          <w:rFonts w:ascii="Times New Roman" w:eastAsia="Times New Roman" w:hAnsi="Times New Roman" w:cs="Times New Roman"/>
          <w:sz w:val="24"/>
          <w:szCs w:val="24"/>
          <w:lang w:val="en-GB"/>
        </w:rPr>
        <w:lastRenderedPageBreak/>
        <w:t>bases for mechanisms not in place” as of September 2023 and target value of “Working group kicked off studies to draft relevant legislation” by Project completion.</w:t>
      </w:r>
    </w:p>
    <w:p w14:paraId="5B131921" w14:textId="77777777" w:rsidR="00F31E38" w:rsidRPr="00F31E38" w:rsidRDefault="00F31E38" w:rsidP="00F31E38">
      <w:pPr>
        <w:shd w:val="clear" w:color="auto" w:fill="FFFFFF"/>
        <w:spacing w:after="120" w:line="23" w:lineRule="atLeast"/>
        <w:jc w:val="both"/>
        <w:rPr>
          <w:rFonts w:ascii="Times New Roman" w:eastAsia="Times New Roman" w:hAnsi="Times New Roman" w:cs="Times New Roman"/>
          <w:sz w:val="24"/>
          <w:szCs w:val="24"/>
          <w:lang w:val="en-GB"/>
        </w:rPr>
      </w:pPr>
      <w:r w:rsidRPr="00F31E38">
        <w:rPr>
          <w:rFonts w:ascii="Times New Roman" w:eastAsia="Times New Roman" w:hAnsi="Times New Roman" w:cs="Times New Roman"/>
          <w:sz w:val="24"/>
          <w:szCs w:val="24"/>
          <w:lang w:val="en-GB"/>
        </w:rPr>
        <w:t>The Project also includes two intermediate result indicators:</w:t>
      </w:r>
    </w:p>
    <w:p w14:paraId="06B7F7AF" w14:textId="77777777" w:rsidR="00F31E38" w:rsidRPr="00F31E38" w:rsidRDefault="00F31E38" w:rsidP="00F31E38">
      <w:pPr>
        <w:numPr>
          <w:ilvl w:val="0"/>
          <w:numId w:val="18"/>
        </w:numPr>
        <w:shd w:val="clear" w:color="auto" w:fill="FFFFFF"/>
        <w:spacing w:after="120" w:line="23" w:lineRule="atLeast"/>
        <w:contextualSpacing/>
        <w:jc w:val="both"/>
        <w:rPr>
          <w:rFonts w:ascii="Times New Roman" w:eastAsia="Times New Roman" w:hAnsi="Times New Roman" w:cs="Times New Roman"/>
          <w:sz w:val="24"/>
          <w:szCs w:val="24"/>
          <w:lang w:val="en-GB"/>
        </w:rPr>
      </w:pPr>
      <w:r w:rsidRPr="00F31E38">
        <w:rPr>
          <w:rFonts w:ascii="Times New Roman" w:eastAsia="Times New Roman" w:hAnsi="Times New Roman" w:cs="Times New Roman"/>
          <w:sz w:val="24"/>
          <w:szCs w:val="24"/>
          <w:lang w:val="en-GB"/>
        </w:rPr>
        <w:t>“Number of trainings, workshops and site visits conducted to increase capacity in SoLR and MM mechanisms within EMRA” with a baseline of zero as of September 2023 and target value of six (6) by Project completion.</w:t>
      </w:r>
    </w:p>
    <w:p w14:paraId="5AA5AF3E" w14:textId="77777777" w:rsidR="00F31E38" w:rsidRPr="00F31E38" w:rsidRDefault="00F31E38" w:rsidP="00F31E38">
      <w:pPr>
        <w:numPr>
          <w:ilvl w:val="0"/>
          <w:numId w:val="18"/>
        </w:numPr>
        <w:shd w:val="clear" w:color="auto" w:fill="FFFFFF"/>
        <w:spacing w:after="120" w:line="23" w:lineRule="atLeast"/>
        <w:contextualSpacing/>
        <w:jc w:val="both"/>
        <w:rPr>
          <w:rFonts w:ascii="Times New Roman" w:eastAsia="Times New Roman" w:hAnsi="Times New Roman" w:cs="Times New Roman"/>
          <w:sz w:val="24"/>
          <w:szCs w:val="24"/>
          <w:lang w:val="en-GB"/>
        </w:rPr>
      </w:pPr>
      <w:r w:rsidRPr="00F31E38">
        <w:rPr>
          <w:rFonts w:ascii="Times New Roman" w:eastAsia="Times New Roman" w:hAnsi="Times New Roman" w:cs="Times New Roman"/>
          <w:sz w:val="24"/>
          <w:szCs w:val="24"/>
          <w:lang w:val="en-GB"/>
        </w:rPr>
        <w:t>“Number of legislative recommendation reports to implement SoLR and MM mechanisms in the gas market” with a baseline of zero as of September 2023 and target value of two (2) by Project completion.</w:t>
      </w:r>
    </w:p>
    <w:p w14:paraId="2140BFFB" w14:textId="77777777" w:rsidR="00F31E38" w:rsidRPr="00F31E38" w:rsidRDefault="00F31E38" w:rsidP="00F31E38">
      <w:pPr>
        <w:spacing w:after="0" w:line="23" w:lineRule="atLeast"/>
        <w:jc w:val="both"/>
        <w:rPr>
          <w:rFonts w:ascii="Times New Roman" w:eastAsia="Times New Roman" w:hAnsi="Times New Roman" w:cs="Times New Roman"/>
          <w:sz w:val="24"/>
          <w:szCs w:val="24"/>
          <w:lang w:val="en-GB"/>
        </w:rPr>
      </w:pPr>
    </w:p>
    <w:p w14:paraId="4C11CD96" w14:textId="77777777" w:rsidR="00F31E38" w:rsidRPr="00F31E38" w:rsidRDefault="00F31E38" w:rsidP="00F31E38">
      <w:pPr>
        <w:keepNext/>
        <w:keepLines/>
        <w:numPr>
          <w:ilvl w:val="0"/>
          <w:numId w:val="15"/>
        </w:numPr>
        <w:spacing w:before="240" w:after="240" w:line="23" w:lineRule="atLeast"/>
        <w:jc w:val="both"/>
        <w:outlineLvl w:val="0"/>
        <w:rPr>
          <w:rFonts w:ascii="Times New Roman" w:eastAsia="Times New Roman" w:hAnsi="Times New Roman" w:cs="Times New Roman"/>
          <w:b/>
          <w:sz w:val="24"/>
          <w:szCs w:val="24"/>
          <w:lang w:val="en-GB"/>
        </w:rPr>
      </w:pPr>
      <w:bookmarkStart w:id="5" w:name="_Toc476332793"/>
      <w:bookmarkStart w:id="6" w:name="_Toc476332659"/>
      <w:r w:rsidRPr="00F31E38">
        <w:rPr>
          <w:rFonts w:ascii="Times New Roman" w:eastAsia="Times New Roman" w:hAnsi="Times New Roman" w:cs="Times New Roman"/>
          <w:b/>
          <w:sz w:val="24"/>
          <w:szCs w:val="24"/>
          <w:lang w:val="en-GB"/>
        </w:rPr>
        <w:t>BACKGROUND</w:t>
      </w:r>
      <w:bookmarkEnd w:id="5"/>
      <w:bookmarkEnd w:id="6"/>
    </w:p>
    <w:p w14:paraId="6208BF51" w14:textId="77777777" w:rsidR="00F31E38" w:rsidRPr="00F31E38" w:rsidRDefault="00F31E38" w:rsidP="00F31E38">
      <w:pPr>
        <w:numPr>
          <w:ilvl w:val="1"/>
          <w:numId w:val="15"/>
        </w:numPr>
        <w:spacing w:after="0" w:line="23" w:lineRule="atLeast"/>
        <w:jc w:val="both"/>
        <w:rPr>
          <w:rFonts w:ascii="Times New Roman" w:eastAsia="Times New Roman" w:hAnsi="Times New Roman" w:cs="Times New Roman"/>
          <w:b/>
          <w:bCs/>
          <w:sz w:val="24"/>
          <w:szCs w:val="24"/>
          <w:lang w:val="en-GB"/>
        </w:rPr>
      </w:pPr>
      <w:r w:rsidRPr="00F31E38">
        <w:rPr>
          <w:rFonts w:ascii="Times New Roman" w:eastAsia="Times New Roman" w:hAnsi="Times New Roman" w:cs="Times New Roman"/>
          <w:b/>
          <w:bCs/>
          <w:sz w:val="24"/>
          <w:szCs w:val="24"/>
          <w:lang w:val="en-GB"/>
        </w:rPr>
        <w:t>INSTITUTIONAL SETTING</w:t>
      </w:r>
    </w:p>
    <w:p w14:paraId="04A07FBD" w14:textId="77777777" w:rsidR="00F31E38" w:rsidRPr="00F31E38" w:rsidRDefault="00F31E38" w:rsidP="00F31E38">
      <w:pPr>
        <w:spacing w:after="0" w:line="23" w:lineRule="atLeast"/>
        <w:ind w:left="938"/>
        <w:jc w:val="both"/>
        <w:rPr>
          <w:rFonts w:ascii="Times New Roman" w:eastAsia="Times New Roman" w:hAnsi="Times New Roman" w:cs="Times New Roman"/>
          <w:b/>
          <w:sz w:val="24"/>
          <w:szCs w:val="24"/>
          <w:lang w:val="en-GB"/>
        </w:rPr>
      </w:pPr>
    </w:p>
    <w:p w14:paraId="1C512C10" w14:textId="77777777" w:rsidR="00F31E38" w:rsidRPr="00F31E38" w:rsidRDefault="00F31E38" w:rsidP="00F31E38">
      <w:pPr>
        <w:shd w:val="clear" w:color="auto" w:fill="FFFFFF"/>
        <w:spacing w:after="120" w:line="23" w:lineRule="atLeast"/>
        <w:jc w:val="both"/>
        <w:rPr>
          <w:rFonts w:ascii="Times New Roman" w:eastAsia="Times New Roman" w:hAnsi="Times New Roman" w:cs="Times New Roman"/>
          <w:sz w:val="24"/>
          <w:szCs w:val="24"/>
          <w:lang w:val="en-GB"/>
        </w:rPr>
      </w:pPr>
      <w:r w:rsidRPr="00F31E38">
        <w:rPr>
          <w:rFonts w:ascii="Times New Roman" w:eastAsia="Times New Roman" w:hAnsi="Times New Roman" w:cs="Times New Roman"/>
          <w:sz w:val="24"/>
          <w:szCs w:val="24"/>
          <w:lang w:val="en-GB"/>
        </w:rPr>
        <w:t>EMRA was established in 2001 in order to perform the regulatory and supervisory functions in the energy markets. The fundamental objective of EMRA is set forth in its founding document as to ensure the development of financially sound and transparent energy markets operating in a competitive environment and the delivery of sufficient, high-quality, low-cost and environment-friendly energy to consumers and to ensure the autonomous regulation and supervision of electricity, natural gas, and downstream petroleum and LPG markets.</w:t>
      </w:r>
    </w:p>
    <w:p w14:paraId="71141057" w14:textId="77777777" w:rsidR="00F31E38" w:rsidRPr="00F31E38" w:rsidRDefault="00F31E38" w:rsidP="00F31E38">
      <w:pPr>
        <w:spacing w:after="0" w:line="23" w:lineRule="atLeast"/>
        <w:jc w:val="both"/>
        <w:rPr>
          <w:rFonts w:ascii="Times New Roman" w:eastAsia="Times New Roman" w:hAnsi="Times New Roman" w:cs="Times New Roman"/>
          <w:sz w:val="24"/>
          <w:szCs w:val="24"/>
          <w:lang w:val="en-GB"/>
        </w:rPr>
      </w:pPr>
    </w:p>
    <w:p w14:paraId="29C3D218" w14:textId="77777777" w:rsidR="00F31E38" w:rsidRPr="00F31E38" w:rsidRDefault="00F31E38" w:rsidP="00F31E38">
      <w:pPr>
        <w:numPr>
          <w:ilvl w:val="1"/>
          <w:numId w:val="15"/>
        </w:numPr>
        <w:spacing w:after="0" w:line="23" w:lineRule="atLeast"/>
        <w:jc w:val="both"/>
        <w:rPr>
          <w:rFonts w:ascii="Times New Roman" w:eastAsia="Times New Roman" w:hAnsi="Times New Roman" w:cs="Times New Roman"/>
          <w:b/>
          <w:bCs/>
          <w:sz w:val="24"/>
          <w:szCs w:val="24"/>
          <w:lang w:val="en-GB"/>
        </w:rPr>
      </w:pPr>
      <w:r w:rsidRPr="00F31E38">
        <w:rPr>
          <w:rFonts w:ascii="Times New Roman" w:eastAsia="Times New Roman" w:hAnsi="Times New Roman" w:cs="Times New Roman"/>
          <w:b/>
          <w:bCs/>
          <w:sz w:val="24"/>
          <w:szCs w:val="24"/>
          <w:lang w:val="en-GB"/>
        </w:rPr>
        <w:t>LEGISLATIVE FRAMEWORK</w:t>
      </w:r>
    </w:p>
    <w:p w14:paraId="585F9931" w14:textId="77777777" w:rsidR="00F31E38" w:rsidRPr="00F31E38" w:rsidRDefault="00F31E38" w:rsidP="00F31E38">
      <w:pPr>
        <w:shd w:val="clear" w:color="auto" w:fill="FFFFFF"/>
        <w:spacing w:after="120" w:line="23" w:lineRule="atLeast"/>
        <w:jc w:val="both"/>
        <w:rPr>
          <w:rFonts w:ascii="Times New Roman" w:eastAsia="Times New Roman" w:hAnsi="Times New Roman" w:cs="Times New Roman"/>
          <w:sz w:val="24"/>
          <w:szCs w:val="24"/>
          <w:lang w:val="en-GB"/>
        </w:rPr>
      </w:pPr>
    </w:p>
    <w:p w14:paraId="6684C8A9" w14:textId="77777777" w:rsidR="00F31E38" w:rsidRPr="00F31E38" w:rsidRDefault="00F31E38" w:rsidP="00F31E38">
      <w:pPr>
        <w:shd w:val="clear" w:color="auto" w:fill="FFFFFF"/>
        <w:spacing w:after="120" w:line="23" w:lineRule="atLeast"/>
        <w:jc w:val="both"/>
        <w:rPr>
          <w:rFonts w:ascii="Times New Roman" w:eastAsia="Times New Roman" w:hAnsi="Times New Roman" w:cs="Times New Roman"/>
          <w:b/>
          <w:sz w:val="24"/>
          <w:szCs w:val="24"/>
          <w:u w:val="single"/>
          <w:lang w:val="en-GB"/>
        </w:rPr>
      </w:pPr>
      <w:r w:rsidRPr="00F31E38">
        <w:rPr>
          <w:rFonts w:ascii="Times New Roman" w:eastAsia="Times New Roman" w:hAnsi="Times New Roman" w:cs="Times New Roman"/>
          <w:sz w:val="24"/>
          <w:szCs w:val="24"/>
          <w:lang w:val="en-GB"/>
        </w:rPr>
        <w:t xml:space="preserve">Foundations of the liberal Turkish natural gas market were laid by the establishment of (EMRA and enactment of the Natural Gas Market Law No. 4646 (the NGML) in 2001. The NGML, in line with the EU Directives in force, established a legal framework for all market activities such as transmission, distribution, import, sales, and storage of gas and set out the bases for licensing regulations and usage codes. In 2004, the network code of the TSO and the transmission tariffs based on Entry/Exit System was prepared and published by EMRA, granting third party access (TPA) to the system for all market participants. As a result of these steps, TPA to the gas infrastructure has been granted in a non-discriminatory and transparent manner.  </w:t>
      </w:r>
    </w:p>
    <w:p w14:paraId="0F12EFC3" w14:textId="77777777" w:rsidR="00F31E38" w:rsidRPr="00F31E38" w:rsidRDefault="00F31E38" w:rsidP="00F31E38">
      <w:pPr>
        <w:shd w:val="clear" w:color="auto" w:fill="FFFFFF"/>
        <w:spacing w:after="120" w:line="23" w:lineRule="atLeast"/>
        <w:jc w:val="both"/>
        <w:rPr>
          <w:rFonts w:ascii="Times New Roman" w:eastAsia="Times New Roman" w:hAnsi="Times New Roman" w:cs="Times New Roman"/>
          <w:sz w:val="24"/>
          <w:szCs w:val="24"/>
          <w:lang w:val="en-GB"/>
        </w:rPr>
      </w:pPr>
      <w:r w:rsidRPr="00F31E38">
        <w:rPr>
          <w:rFonts w:ascii="Times New Roman" w:eastAsia="Times New Roman" w:hAnsi="Times New Roman" w:cs="Times New Roman"/>
          <w:sz w:val="24"/>
          <w:szCs w:val="24"/>
          <w:lang w:val="en-GB"/>
        </w:rPr>
        <w:t xml:space="preserve">When the liberalization of the Turkish natural gas market was commenced, all of the national gas consumed in the country except the relatively small amount produced domestically was supplied via the long-term import contracts which were signed before the enactment of the NGML. As a result of the gas release tenders in 2005, gas supply by private importers started in 2007, from Russia via Malkoclar entry point. Following the gas release tenders, wholesale prices including LNG sales were liberalized at the beginning of 2008 by a Board Decision, in line with the relevant article of the NGML that dictates that the wholesale tariffs shall be set freely between the parties. </w:t>
      </w:r>
    </w:p>
    <w:p w14:paraId="6484C2AF" w14:textId="77777777" w:rsidR="00F31E38" w:rsidRPr="00F31E38" w:rsidRDefault="00F31E38" w:rsidP="00F31E38">
      <w:pPr>
        <w:shd w:val="clear" w:color="auto" w:fill="FFFFFF"/>
        <w:spacing w:after="120" w:line="23" w:lineRule="atLeast"/>
        <w:jc w:val="both"/>
        <w:rPr>
          <w:rFonts w:ascii="Times New Roman" w:eastAsia="Times New Roman" w:hAnsi="Times New Roman" w:cs="Times New Roman"/>
          <w:sz w:val="24"/>
          <w:szCs w:val="24"/>
          <w:lang w:val="en-GB"/>
        </w:rPr>
      </w:pPr>
      <w:r w:rsidRPr="00F31E38">
        <w:rPr>
          <w:rFonts w:ascii="Times New Roman" w:eastAsia="Times New Roman" w:hAnsi="Times New Roman" w:cs="Times New Roman"/>
          <w:sz w:val="24"/>
          <w:szCs w:val="24"/>
          <w:lang w:val="en-GB"/>
        </w:rPr>
        <w:t xml:space="preserve">Another important step towards a more liberalized market was taken in 2008, by the NGML amendments made in July 2008 that set the legal basis for spot LNG imports to the country and lifted the limitations regarding the source countries for LNG imports. Following the amendment in May 2009, “By-law on Establishing Basic Usage Procedures and Principles of Liquefied Natural Gas Storage Facilities” was put into effect, and in 2010, two separate “Basic Usage Procedures and Principles” that regulate non-discriminatory TPA to the two active LNG terminals were published by EMRA. </w:t>
      </w:r>
    </w:p>
    <w:p w14:paraId="542DB247" w14:textId="77777777" w:rsidR="00F31E38" w:rsidRPr="00F31E38" w:rsidRDefault="00F31E38" w:rsidP="00F31E38">
      <w:pPr>
        <w:shd w:val="clear" w:color="auto" w:fill="FFFFFF"/>
        <w:spacing w:after="120" w:line="23" w:lineRule="atLeast"/>
        <w:jc w:val="both"/>
        <w:rPr>
          <w:rFonts w:ascii="Times New Roman" w:eastAsia="Times New Roman" w:hAnsi="Times New Roman" w:cs="Times New Roman"/>
          <w:sz w:val="24"/>
          <w:szCs w:val="24"/>
          <w:lang w:val="en-GB"/>
        </w:rPr>
      </w:pPr>
      <w:r w:rsidRPr="00F31E38">
        <w:rPr>
          <w:rFonts w:ascii="Times New Roman" w:eastAsia="Times New Roman" w:hAnsi="Times New Roman" w:cs="Times New Roman"/>
          <w:sz w:val="24"/>
          <w:szCs w:val="24"/>
          <w:lang w:val="en-GB"/>
        </w:rPr>
        <w:lastRenderedPageBreak/>
        <w:t xml:space="preserve">In 2011, trading in Turkish National Balancing Point started as a result of increasing shares of the private importers, and in 2012, EMRA published a Board Decision declaring that residential customers that have an annual consumption above 75 000 Sm3 are eligible customers, as well as all non-household customers. These developments, along with the deregulation of wholesale tariffs and entry of new wholesales firms, benefited the market opening and liberalization considerably. After the termination of BOTAŞ contracts with Russia worth 6 bcm/year in 2012, the contracts were taken over by private companies, increasing the number of private firms holding import licenses to eight and share of private importers to 10 bcm/year. Another development in 2013 that further contributed to liberalization and source diversification in Türkiye was the first import from a new supplier country BOTAŞ never had contracts before. </w:t>
      </w:r>
    </w:p>
    <w:p w14:paraId="781D2D8C" w14:textId="77777777" w:rsidR="00F31E38" w:rsidRPr="00F31E38" w:rsidRDefault="00F31E38" w:rsidP="00F31E38">
      <w:pPr>
        <w:shd w:val="clear" w:color="auto" w:fill="FFFFFF"/>
        <w:spacing w:after="120" w:line="23" w:lineRule="atLeast"/>
        <w:jc w:val="both"/>
        <w:rPr>
          <w:rFonts w:ascii="Times New Roman" w:eastAsia="Times New Roman" w:hAnsi="Times New Roman" w:cs="Times New Roman"/>
          <w:sz w:val="24"/>
          <w:szCs w:val="24"/>
          <w:lang w:val="en-GB"/>
        </w:rPr>
      </w:pPr>
      <w:r w:rsidRPr="00F31E38">
        <w:rPr>
          <w:rFonts w:ascii="Times New Roman" w:eastAsia="Times New Roman" w:hAnsi="Times New Roman" w:cs="Times New Roman"/>
          <w:sz w:val="24"/>
          <w:szCs w:val="24"/>
          <w:lang w:val="en-GB"/>
        </w:rPr>
        <w:t xml:space="preserve">In March 2016, EMRA Board issued a decision on the licensing regime of Floating Storage and Regasification Units (FSRU), introducing the FSRUs to the Turkish gas market. Basic Usage Procedures and Principles of the first FSRU that acquired a license in May 2016 was approved by the EMRA Board and published in November 2016. These developments led to growing interest in FSRUs hence Türkiye’s second FSRU was licensed and its TPA code was published in 2017. The Board rendered another important decision in March 2016, enabling transportation of natural gas in LNG and CNG areas where neither transmission nor distribution networks exist. Along with the project which aimed at widening the distribution network to all districts that have enough population to support the necessary investments, these significant changes not only allowed the extension of distribution networks to regions where network extension is not feasible but also provided additional flexibility to the market players. </w:t>
      </w:r>
    </w:p>
    <w:p w14:paraId="1269594F" w14:textId="77777777" w:rsidR="00F31E38" w:rsidRPr="00F31E38" w:rsidRDefault="00F31E38" w:rsidP="00F31E38">
      <w:pPr>
        <w:shd w:val="clear" w:color="auto" w:fill="FFFFFF"/>
        <w:spacing w:after="120" w:line="23" w:lineRule="atLeast"/>
        <w:jc w:val="both"/>
        <w:rPr>
          <w:rFonts w:ascii="Times New Roman" w:eastAsia="Times New Roman" w:hAnsi="Times New Roman" w:cs="Times New Roman"/>
          <w:sz w:val="24"/>
          <w:szCs w:val="24"/>
          <w:highlight w:val="yellow"/>
          <w:lang w:val="en-GB"/>
        </w:rPr>
      </w:pPr>
      <w:r w:rsidRPr="00F31E38">
        <w:rPr>
          <w:rFonts w:ascii="Times New Roman" w:eastAsia="Times New Roman" w:hAnsi="Times New Roman" w:cs="Times New Roman"/>
          <w:sz w:val="24"/>
          <w:szCs w:val="24"/>
          <w:lang w:val="en-GB"/>
        </w:rPr>
        <w:t xml:space="preserve">By-law on Organized Natural Gas Wholesale Market enacted in 2017 established the basis for the foundation of the Turkish Continuous Trade Platform (STP). Outputs produced by the Gas Trading Platform component (CS-03) of the Phase-1 project titled “Energy Sector Technical Assistance” (IPA 2012/CS03) and the Phase-2 project titled “Energy Market Development Project” (IPA 2013/CS02a) were utilized by EMRA and EPİAS during the design and implementation of the Continuous Trade Platform. The market operations on STP started on September 1, 2018. STP, operated by EPİAŞ, allowed the market players to trade natural gas anonymously in an organized liberal market as well as let the transmission system operator balance the system as the “Residual Balancer”. Market design of EMRA based on the continuous trading principles allows import, wholesale and export companies to perform day-ahead, intra-day and after-the-day operations within a single trading window. As of the end of 2022, the total transaction volume in the organized market was 35.9 billion TRY (2.7 billion EUR with the Real Effective Exchange Rates of the relevant Gas Days), and the amount of the traded natural gas was 7.3 bcm. 51 active traders participated in the market and more than 37 thousand matchings were cleared in the first 30 months of the market. </w:t>
      </w:r>
    </w:p>
    <w:p w14:paraId="6E93F281" w14:textId="77777777" w:rsidR="00F31E38" w:rsidRPr="00F31E38" w:rsidRDefault="00F31E38" w:rsidP="00F31E38">
      <w:pPr>
        <w:shd w:val="clear" w:color="auto" w:fill="FFFFFF"/>
        <w:spacing w:after="120" w:line="23" w:lineRule="atLeast"/>
        <w:jc w:val="both"/>
        <w:rPr>
          <w:rFonts w:ascii="Times New Roman" w:eastAsia="Times New Roman" w:hAnsi="Times New Roman" w:cs="Times New Roman"/>
          <w:sz w:val="24"/>
          <w:szCs w:val="24"/>
          <w:lang w:val="en-GB"/>
        </w:rPr>
      </w:pPr>
      <w:r w:rsidRPr="00F31E38">
        <w:rPr>
          <w:rFonts w:ascii="Times New Roman" w:eastAsia="Times New Roman" w:hAnsi="Times New Roman" w:cs="Times New Roman"/>
          <w:sz w:val="24"/>
          <w:szCs w:val="24"/>
          <w:lang w:val="en-GB"/>
        </w:rPr>
        <w:t>By the amendment of the Market Operation Code in January 2020, Weekly, Weekend and Working Days contracts were introduced to the organized market. The new products are being traded since June 2020 and Weekly Reference Price is published by EPİAŞ every week, providing another benchmark for gas prices in the Turkish gas market. Natural Gas Futures Market Code, which introduces Annual, Quarterly and Monthly products, was prepared and published in March 2021 by EMRA. The market was launched in October 2021.The new futures market further increased the market depth, competition and price discovery in the organised gas markets, as well as providing the market players a tool for risk management and hedging.</w:t>
      </w:r>
    </w:p>
    <w:p w14:paraId="3CCB31A7" w14:textId="77777777" w:rsidR="00F31E38" w:rsidRPr="00F31E38" w:rsidRDefault="00F31E38" w:rsidP="00F31E38">
      <w:pPr>
        <w:shd w:val="clear" w:color="auto" w:fill="FFFFFF"/>
        <w:spacing w:after="120" w:line="23" w:lineRule="atLeast"/>
        <w:jc w:val="both"/>
        <w:rPr>
          <w:rFonts w:ascii="Times New Roman" w:eastAsia="Times New Roman" w:hAnsi="Times New Roman" w:cs="Times New Roman"/>
          <w:sz w:val="24"/>
          <w:szCs w:val="24"/>
          <w:lang w:val="en-GB"/>
        </w:rPr>
      </w:pPr>
      <w:r w:rsidRPr="00F31E38">
        <w:rPr>
          <w:rFonts w:ascii="Times New Roman" w:eastAsia="Times New Roman" w:hAnsi="Times New Roman" w:cs="Times New Roman"/>
          <w:sz w:val="24"/>
          <w:szCs w:val="24"/>
          <w:lang w:val="en-GB"/>
        </w:rPr>
        <w:t xml:space="preserve">In 2018, the NGML was amended to allow spot import via the pipeline entry points, and in September 2019, “The Regulation on Determination of Spot Pipeline Import Methods and Quantities” was adopted by EMRA. Spot Import Capacity Auctions for yearly, quarterly and monthly capacity products were introduced to the Turkish Natural Gas Market in January 2020 by this regulation. The new capacity mechanism is expected to encourage new suppliers and </w:t>
      </w:r>
      <w:r w:rsidRPr="00F31E38">
        <w:rPr>
          <w:rFonts w:ascii="Times New Roman" w:eastAsia="Times New Roman" w:hAnsi="Times New Roman" w:cs="Times New Roman"/>
          <w:sz w:val="24"/>
          <w:szCs w:val="24"/>
          <w:lang w:val="en-GB"/>
        </w:rPr>
        <w:lastRenderedPageBreak/>
        <w:t>result in greater source and price diversity. Importers holding long-term contracts preserve their share in import interconnection points and the remaining capacity is allocated to spot market. In 2020, first spot imports were realized by two private firms via the Strandzha (BG)/Malkoclar (TR) Interconnection Point.</w:t>
      </w:r>
    </w:p>
    <w:p w14:paraId="5A3CB7FF" w14:textId="77777777" w:rsidR="00F31E38" w:rsidRPr="00F31E38" w:rsidRDefault="00F31E38" w:rsidP="00F31E38">
      <w:pPr>
        <w:shd w:val="clear" w:color="auto" w:fill="FFFFFF"/>
        <w:spacing w:after="120" w:line="23" w:lineRule="atLeast"/>
        <w:jc w:val="both"/>
        <w:rPr>
          <w:rFonts w:ascii="Times New Roman" w:eastAsia="Times New Roman" w:hAnsi="Times New Roman" w:cs="Times New Roman"/>
          <w:sz w:val="24"/>
          <w:szCs w:val="24"/>
          <w:lang w:val="en-GB"/>
        </w:rPr>
      </w:pPr>
      <w:r w:rsidRPr="00F31E38">
        <w:rPr>
          <w:rFonts w:ascii="Times New Roman" w:eastAsia="Times New Roman" w:hAnsi="Times New Roman" w:cs="Times New Roman"/>
          <w:sz w:val="24"/>
          <w:szCs w:val="24"/>
          <w:lang w:val="en-GB"/>
        </w:rPr>
        <w:t xml:space="preserve">The establishment of the new organized spot market and the spot capacity auction platform paved the way for more liberalized and competitive gas markets in Türkiye. Besides these newly founded markets, the regulations for the derivative markets were prepared and Natural Gas Derivatives Market was established in 2021. As a result of the increasing trade volumes in spot markets, over-the-counter markets are expected to gain more depth and liquidity in the near future. Along with the flexibility provided by the organized spot gas market, the increase in cross-border trade ensured by the new regulation will be beneficial for Türkiye’s aim to be a regional natural gas trade center. </w:t>
      </w:r>
    </w:p>
    <w:p w14:paraId="666B93CA" w14:textId="77777777" w:rsidR="00F31E38" w:rsidRPr="00F31E38" w:rsidRDefault="00F31E38" w:rsidP="00F31E38">
      <w:pPr>
        <w:shd w:val="clear" w:color="auto" w:fill="FFFFFF"/>
        <w:spacing w:after="120" w:line="23" w:lineRule="atLeast"/>
        <w:jc w:val="both"/>
        <w:rPr>
          <w:rFonts w:ascii="Times New Roman" w:eastAsia="Times New Roman" w:hAnsi="Times New Roman" w:cs="Times New Roman"/>
          <w:sz w:val="24"/>
          <w:szCs w:val="24"/>
          <w:lang w:val="en-GB"/>
        </w:rPr>
      </w:pPr>
      <w:r w:rsidRPr="00F31E38">
        <w:rPr>
          <w:rFonts w:ascii="Times New Roman" w:eastAsia="Times New Roman" w:hAnsi="Times New Roman" w:cs="Times New Roman"/>
          <w:sz w:val="24"/>
          <w:szCs w:val="24"/>
          <w:lang w:val="en-GB"/>
        </w:rPr>
        <w:t>The amendment in NGML dated 25th November 2020 introduced the concept of market maker to the Turkish natural gas markets. Secondary legislation that will be prepared for the implementation of the Market Maker mechanism which will aim to further increase the competition and transparency in the in the spot and exchange-traded derivatives markets. Both the increased liquidity and depth in the organized markets provided by the market maker mechanism and the utilization of the mechanism in conjunction with the other regulations aiming to decrease the market share of BOTAŞ, will allow a more competitive market structure as well as transparent price formation and discovery in the gas markets.</w:t>
      </w:r>
    </w:p>
    <w:p w14:paraId="4811AAA3" w14:textId="77777777" w:rsidR="00F31E38" w:rsidRPr="00F31E38" w:rsidRDefault="00F31E38" w:rsidP="00F31E38">
      <w:pPr>
        <w:shd w:val="clear" w:color="auto" w:fill="FFFFFF"/>
        <w:spacing w:after="120" w:line="23" w:lineRule="atLeast"/>
        <w:jc w:val="both"/>
        <w:rPr>
          <w:rFonts w:ascii="Times New Roman" w:eastAsia="Times New Roman" w:hAnsi="Times New Roman" w:cs="Times New Roman"/>
          <w:sz w:val="24"/>
          <w:szCs w:val="24"/>
          <w:lang w:val="en-GB"/>
        </w:rPr>
      </w:pPr>
      <w:r w:rsidRPr="00F31E38">
        <w:rPr>
          <w:rFonts w:ascii="Times New Roman" w:eastAsia="Times New Roman" w:hAnsi="Times New Roman" w:cs="Times New Roman"/>
          <w:sz w:val="24"/>
          <w:szCs w:val="24"/>
          <w:lang w:val="en-GB"/>
        </w:rPr>
        <w:t xml:space="preserve">The 2020 amendment also defined the supplier of last resort, giving the authority to determine the principles to the EMRA Board. Market-based methods for allocation and pricing of the Supplier of Last Resort services are planned to be implemented by the secondary legislation that will be prepared by EMRA. Market-based Supplier of Last Resort mechanisms are also expected to benefit the competition in the market and the transparent formation of prices both by allowing the new market players enter the system more easily and by providing another benchmark price to the market, as well as securing the continuity of supply for the domestic customers. </w:t>
      </w:r>
    </w:p>
    <w:p w14:paraId="68CC0B86" w14:textId="77777777" w:rsidR="00F31E38" w:rsidRPr="00F31E38" w:rsidRDefault="00F31E38" w:rsidP="00F31E38">
      <w:pPr>
        <w:shd w:val="clear" w:color="auto" w:fill="FFFFFF"/>
        <w:spacing w:after="120" w:line="23" w:lineRule="atLeast"/>
        <w:jc w:val="both"/>
        <w:rPr>
          <w:rFonts w:ascii="Times New Roman" w:eastAsia="Times New Roman" w:hAnsi="Times New Roman" w:cs="Times New Roman"/>
          <w:sz w:val="24"/>
          <w:szCs w:val="24"/>
          <w:lang w:val="en-GB"/>
        </w:rPr>
      </w:pPr>
      <w:r w:rsidRPr="00F31E38">
        <w:rPr>
          <w:rFonts w:ascii="Times New Roman" w:eastAsia="Times New Roman" w:hAnsi="Times New Roman" w:cs="Times New Roman"/>
          <w:sz w:val="24"/>
          <w:szCs w:val="24"/>
          <w:lang w:val="en-GB"/>
        </w:rPr>
        <w:t>The project titled “Energy Market Development” (IPA 2013 Energy Sector Phase-2 Project) had an objective to support EPİAŞ in operating the Transparency Platform established by the Principles and Procedures published by EMRA. The project aimed to increase the capacity of EPİAŞ in gathering more efficient and usable transparency data. The workshops, training activities and reports about EU Regulations on the Wholesale Market Integrity and Transparency platform (REMIT) prepared within the scope of the said project may provide important input and experience for the legislation and regulations to be prepared under this contract.</w:t>
      </w:r>
    </w:p>
    <w:p w14:paraId="76E30B7D" w14:textId="77777777" w:rsidR="00F31E38" w:rsidRPr="00F31E38" w:rsidRDefault="00F31E38" w:rsidP="00F31E38">
      <w:pPr>
        <w:shd w:val="clear" w:color="auto" w:fill="FFFFFF"/>
        <w:spacing w:after="120" w:line="23" w:lineRule="atLeast"/>
        <w:jc w:val="both"/>
        <w:rPr>
          <w:rFonts w:ascii="Times New Roman" w:eastAsia="Times New Roman" w:hAnsi="Times New Roman" w:cs="Times New Roman"/>
          <w:sz w:val="24"/>
          <w:szCs w:val="24"/>
          <w:lang w:val="en-GB"/>
        </w:rPr>
      </w:pPr>
      <w:r w:rsidRPr="00F31E38">
        <w:rPr>
          <w:rFonts w:ascii="Times New Roman" w:eastAsia="Times New Roman" w:hAnsi="Times New Roman" w:cs="Times New Roman"/>
          <w:sz w:val="24"/>
          <w:szCs w:val="24"/>
          <w:lang w:val="en-GB"/>
        </w:rPr>
        <w:t>Another project relevant to this contract’s objective is titled “Improvement of Performance-Based Tariff Regulation of EMRA for Turkish Energy Markets through Introducing an Enhanced Monitoring System” (IPA 2015).  The report on “Tariff Structure for Supplier of Last Resort” prepared under the activity 6.1 of the project, may also provide insight for this contract.</w:t>
      </w:r>
    </w:p>
    <w:p w14:paraId="7F3CA541" w14:textId="77777777" w:rsidR="00F31E38" w:rsidRPr="00F31E38" w:rsidRDefault="00F31E38" w:rsidP="00F31E38">
      <w:pPr>
        <w:shd w:val="clear" w:color="auto" w:fill="FFFFFF"/>
        <w:spacing w:after="120" w:line="23" w:lineRule="atLeast"/>
        <w:jc w:val="both"/>
        <w:rPr>
          <w:rFonts w:ascii="Times New Roman" w:eastAsia="Times New Roman" w:hAnsi="Times New Roman" w:cs="Times New Roman"/>
          <w:sz w:val="24"/>
          <w:szCs w:val="24"/>
          <w:lang w:val="en-GB"/>
        </w:rPr>
      </w:pPr>
    </w:p>
    <w:p w14:paraId="549CAFB7" w14:textId="77777777" w:rsidR="00F31E38" w:rsidRPr="00F31E38" w:rsidRDefault="00F31E38" w:rsidP="00F31E38">
      <w:pPr>
        <w:keepNext/>
        <w:keepLines/>
        <w:numPr>
          <w:ilvl w:val="0"/>
          <w:numId w:val="15"/>
        </w:numPr>
        <w:spacing w:before="240" w:after="240" w:line="23" w:lineRule="atLeast"/>
        <w:jc w:val="both"/>
        <w:outlineLvl w:val="0"/>
        <w:rPr>
          <w:rFonts w:ascii="Times New Roman" w:eastAsia="Times New Roman" w:hAnsi="Times New Roman" w:cs="Times New Roman"/>
          <w:b/>
          <w:sz w:val="24"/>
          <w:szCs w:val="24"/>
          <w:lang w:val="en-GB"/>
        </w:rPr>
      </w:pPr>
      <w:bookmarkStart w:id="7" w:name="_Toc476332794"/>
      <w:bookmarkStart w:id="8" w:name="_Toc476332660"/>
      <w:r w:rsidRPr="00F31E38">
        <w:rPr>
          <w:rFonts w:ascii="Times New Roman" w:eastAsia="Times New Roman" w:hAnsi="Times New Roman" w:cs="Times New Roman"/>
          <w:b/>
          <w:sz w:val="24"/>
          <w:szCs w:val="24"/>
          <w:lang w:val="en-GB"/>
        </w:rPr>
        <w:t>OBJECTIVES OF THE STUDY</w:t>
      </w:r>
      <w:bookmarkEnd w:id="7"/>
      <w:bookmarkEnd w:id="8"/>
    </w:p>
    <w:p w14:paraId="1A0DD820" w14:textId="77777777" w:rsidR="00F31E38" w:rsidRPr="00F31E38" w:rsidRDefault="00F31E38" w:rsidP="00F31E38">
      <w:pPr>
        <w:shd w:val="clear" w:color="auto" w:fill="FFFFFF"/>
        <w:spacing w:after="120" w:line="23" w:lineRule="atLeast"/>
        <w:jc w:val="both"/>
        <w:rPr>
          <w:rFonts w:ascii="Times New Roman" w:eastAsia="Times New Roman" w:hAnsi="Times New Roman" w:cs="Times New Roman"/>
          <w:sz w:val="24"/>
          <w:szCs w:val="24"/>
          <w:lang w:val="en-GB"/>
        </w:rPr>
      </w:pPr>
      <w:r w:rsidRPr="00F31E38">
        <w:rPr>
          <w:rFonts w:ascii="Times New Roman" w:eastAsia="Times New Roman" w:hAnsi="Times New Roman" w:cs="Times New Roman"/>
          <w:sz w:val="24"/>
          <w:szCs w:val="24"/>
          <w:lang w:val="en-GB"/>
        </w:rPr>
        <w:t xml:space="preserve">This contract aims to support EMRA in implementing the necessary legislation and regulations crucial for increasing the level of transparency and competition in the natural gas market. In order to enhance the transparency in the current market structure, introducing new concepts such as supplier of last resort (SoLR) and market maker (MM) are considered to be essential in </w:t>
      </w:r>
      <w:r w:rsidRPr="00F31E38">
        <w:rPr>
          <w:rFonts w:ascii="Times New Roman" w:eastAsia="Times New Roman" w:hAnsi="Times New Roman" w:cs="Times New Roman"/>
          <w:sz w:val="24"/>
          <w:szCs w:val="24"/>
          <w:lang w:val="en-GB"/>
        </w:rPr>
        <w:lastRenderedPageBreak/>
        <w:t>order to provide more market-based and predictable pricing in the gas market. The contract will support the EMRA staff in implementing the secondary legislation on these new mechanisms, which are aimed to be fully compliant with the EU legislation and the practices in other well-developed international gas markets, and enhance the capacity of the EMRA staff on preparing the required legislation.</w:t>
      </w:r>
    </w:p>
    <w:p w14:paraId="2028F288" w14:textId="77777777" w:rsidR="00F31E38" w:rsidRPr="00F31E38" w:rsidRDefault="00F31E38" w:rsidP="00F31E38">
      <w:pPr>
        <w:shd w:val="clear" w:color="auto" w:fill="FFFFFF"/>
        <w:spacing w:after="120" w:line="23" w:lineRule="atLeast"/>
        <w:jc w:val="both"/>
        <w:rPr>
          <w:rFonts w:ascii="Times New Roman" w:eastAsia="Times New Roman" w:hAnsi="Times New Roman" w:cs="Times New Roman"/>
          <w:sz w:val="24"/>
          <w:szCs w:val="24"/>
          <w:lang w:val="en-GB"/>
        </w:rPr>
      </w:pPr>
    </w:p>
    <w:p w14:paraId="5DED1A01" w14:textId="77777777" w:rsidR="00F31E38" w:rsidRPr="00F31E38" w:rsidRDefault="00F31E38" w:rsidP="00F31E38">
      <w:pPr>
        <w:numPr>
          <w:ilvl w:val="1"/>
          <w:numId w:val="16"/>
        </w:numPr>
        <w:spacing w:after="0" w:line="23" w:lineRule="atLeast"/>
        <w:jc w:val="both"/>
        <w:rPr>
          <w:rFonts w:ascii="Times New Roman" w:eastAsia="Times New Roman" w:hAnsi="Times New Roman" w:cs="Times New Roman"/>
          <w:b/>
          <w:sz w:val="24"/>
          <w:szCs w:val="24"/>
          <w:lang w:val="en-GB"/>
        </w:rPr>
      </w:pPr>
      <w:r w:rsidRPr="00F31E38">
        <w:rPr>
          <w:rFonts w:ascii="Times New Roman" w:eastAsia="Times New Roman" w:hAnsi="Times New Roman" w:cs="Times New Roman"/>
          <w:b/>
          <w:sz w:val="24"/>
          <w:szCs w:val="24"/>
          <w:lang w:val="en-GB"/>
        </w:rPr>
        <w:t>Objective 1: Training EMRA staff on EU legislation aiming to increase competition and transparency in gas markets and Good Practices on Regional Implementation</w:t>
      </w:r>
    </w:p>
    <w:p w14:paraId="6C0B86F4" w14:textId="77777777" w:rsidR="00F31E38" w:rsidRPr="00F31E38" w:rsidRDefault="00F31E38" w:rsidP="00F31E38">
      <w:pPr>
        <w:spacing w:after="0" w:line="23" w:lineRule="atLeast"/>
        <w:ind w:left="720"/>
        <w:rPr>
          <w:rFonts w:ascii="Times New Roman" w:eastAsia="Times New Roman" w:hAnsi="Times New Roman" w:cs="Times New Roman"/>
          <w:b/>
          <w:sz w:val="24"/>
          <w:szCs w:val="24"/>
          <w:lang w:val="en-GB"/>
        </w:rPr>
      </w:pPr>
    </w:p>
    <w:p w14:paraId="114542BE" w14:textId="77777777" w:rsidR="00F31E38" w:rsidRPr="00F31E38" w:rsidRDefault="00F31E38" w:rsidP="00F31E38">
      <w:pPr>
        <w:spacing w:after="0" w:line="23" w:lineRule="atLeast"/>
        <w:jc w:val="both"/>
        <w:rPr>
          <w:rFonts w:ascii="Times New Roman" w:eastAsia="Times New Roman" w:hAnsi="Times New Roman" w:cs="Times New Roman"/>
          <w:sz w:val="24"/>
          <w:szCs w:val="24"/>
          <w:lang w:val="en-GB"/>
        </w:rPr>
      </w:pPr>
      <w:r w:rsidRPr="00F31E38">
        <w:rPr>
          <w:rFonts w:ascii="Times New Roman" w:eastAsia="Times New Roman" w:hAnsi="Times New Roman" w:cs="Times New Roman"/>
          <w:sz w:val="24"/>
          <w:szCs w:val="24"/>
          <w:lang w:val="en-GB"/>
        </w:rPr>
        <w:t>The first objective of the Contract is to increase the theoretical knowledge of EMRA staff on the EU legislation and regulations aiming to increase competition and transparency in gas markets, such as regulations on market maker mechanisms, and market-based allocation and pricing of supplier of last resort. As these mechanisms will be monitored in accordance with the Regulation (EU) 1227/2011 on wholesale energy market integrity and transparency (REMIT), The European Market Infrastructure Regulation (Regulation (EU9 No: 648/2021 (EMIR)) and other relevant legislation and as they will have an impact on OTC and physical forward markets and non-standardized long-term trade, theoretical knowledge in these subjects will also ensure EMRA staff is equipped with all relevant knowledge to monitor, sustain and revise these mechanisms, as necessary. Besides theoretical knowledge on these subjects, good practices of the relevant regulation in the EU and in other well-developed markets should be studied in order to prepare a road map for these activities in Turkish natural gas markets.</w:t>
      </w:r>
    </w:p>
    <w:p w14:paraId="291E2F7E" w14:textId="77777777" w:rsidR="00F31E38" w:rsidRPr="00F31E38" w:rsidRDefault="00F31E38" w:rsidP="00F31E38">
      <w:pPr>
        <w:spacing w:after="0" w:line="23" w:lineRule="atLeast"/>
        <w:jc w:val="both"/>
        <w:rPr>
          <w:rFonts w:ascii="Times New Roman" w:eastAsia="Times New Roman" w:hAnsi="Times New Roman" w:cs="Times New Roman"/>
          <w:sz w:val="24"/>
          <w:szCs w:val="24"/>
          <w:lang w:val="en-GB"/>
        </w:rPr>
      </w:pPr>
    </w:p>
    <w:p w14:paraId="0610BEA8" w14:textId="77777777" w:rsidR="00F31E38" w:rsidRPr="00F31E38" w:rsidRDefault="00F31E38" w:rsidP="00F31E38">
      <w:pPr>
        <w:numPr>
          <w:ilvl w:val="1"/>
          <w:numId w:val="16"/>
        </w:numPr>
        <w:spacing w:after="0" w:line="23" w:lineRule="atLeast"/>
        <w:jc w:val="both"/>
        <w:rPr>
          <w:rFonts w:ascii="Times New Roman" w:eastAsia="Times New Roman" w:hAnsi="Times New Roman" w:cs="Times New Roman"/>
          <w:b/>
          <w:sz w:val="24"/>
          <w:szCs w:val="24"/>
          <w:lang w:val="en-GB"/>
        </w:rPr>
      </w:pPr>
      <w:r w:rsidRPr="00F31E38">
        <w:rPr>
          <w:rFonts w:ascii="Times New Roman" w:eastAsia="Times New Roman" w:hAnsi="Times New Roman" w:cs="Times New Roman"/>
          <w:b/>
          <w:sz w:val="24"/>
          <w:szCs w:val="24"/>
          <w:lang w:val="en-GB"/>
        </w:rPr>
        <w:t>Objective 2:  Supporting the drafting of the legislation aiming to increase competition and transparency in natural gas markets</w:t>
      </w:r>
    </w:p>
    <w:p w14:paraId="4B6EEA41" w14:textId="77777777" w:rsidR="00F31E38" w:rsidRPr="00F31E38" w:rsidRDefault="00F31E38" w:rsidP="00F31E38">
      <w:pPr>
        <w:spacing w:after="0" w:line="240" w:lineRule="auto"/>
        <w:rPr>
          <w:rFonts w:ascii="Times New Roman" w:eastAsia="Times New Roman" w:hAnsi="Times New Roman" w:cs="Times New Roman"/>
          <w:b/>
          <w:sz w:val="24"/>
          <w:szCs w:val="24"/>
          <w:lang w:val="en-GB"/>
        </w:rPr>
      </w:pPr>
    </w:p>
    <w:p w14:paraId="791D946E" w14:textId="77777777" w:rsidR="00F31E38" w:rsidRPr="00F31E38" w:rsidRDefault="00F31E38" w:rsidP="00F31E38">
      <w:pPr>
        <w:shd w:val="clear" w:color="auto" w:fill="FFFFFF"/>
        <w:spacing w:after="0" w:line="23" w:lineRule="atLeast"/>
        <w:jc w:val="both"/>
        <w:rPr>
          <w:rFonts w:ascii="Times New Roman" w:eastAsia="Times New Roman" w:hAnsi="Times New Roman" w:cs="Times New Roman"/>
          <w:sz w:val="24"/>
          <w:szCs w:val="24"/>
          <w:lang w:val="en-GB"/>
        </w:rPr>
      </w:pPr>
      <w:r w:rsidRPr="00F31E38">
        <w:rPr>
          <w:rFonts w:ascii="Times New Roman" w:eastAsia="Times New Roman" w:hAnsi="Times New Roman" w:cs="Times New Roman"/>
          <w:sz w:val="24"/>
          <w:szCs w:val="24"/>
          <w:lang w:val="en-GB"/>
        </w:rPr>
        <w:t>Another objective of this study is, in order to help EMRA staff in enforcing the necessary regulations, preparing draft legislation on mechanisms such as market marking, supplier of last resort, and monitoring of the gas markets including OTC markets, physical forward markets and non-standardized long-term trade, fully compliant with REMIT, EMIR and other relevant legislation. The legislative recommendations shall be prepared in light of the good practices in EU countries, and a road map on implementation of the legislation shall be provided.</w:t>
      </w:r>
    </w:p>
    <w:p w14:paraId="7ED43179" w14:textId="77777777" w:rsidR="00F31E38" w:rsidRPr="00F31E38" w:rsidRDefault="00F31E38" w:rsidP="00F31E38">
      <w:pPr>
        <w:shd w:val="clear" w:color="auto" w:fill="FFFFFF"/>
        <w:spacing w:after="0" w:line="23" w:lineRule="atLeast"/>
        <w:jc w:val="both"/>
        <w:rPr>
          <w:rFonts w:ascii="Times New Roman" w:eastAsia="Times New Roman" w:hAnsi="Times New Roman" w:cs="Times New Roman"/>
          <w:sz w:val="24"/>
          <w:szCs w:val="24"/>
          <w:lang w:val="en-GB"/>
        </w:rPr>
      </w:pPr>
    </w:p>
    <w:p w14:paraId="2D7AF65B" w14:textId="77777777" w:rsidR="00F31E38" w:rsidRPr="00F31E38" w:rsidRDefault="00F31E38" w:rsidP="00F31E38">
      <w:pPr>
        <w:keepNext/>
        <w:keepLines/>
        <w:numPr>
          <w:ilvl w:val="0"/>
          <w:numId w:val="15"/>
        </w:numPr>
        <w:spacing w:before="240" w:after="240" w:line="23" w:lineRule="atLeast"/>
        <w:jc w:val="both"/>
        <w:outlineLvl w:val="0"/>
        <w:rPr>
          <w:rFonts w:ascii="Times New Roman" w:eastAsia="Times New Roman" w:hAnsi="Times New Roman" w:cs="Times New Roman"/>
          <w:b/>
          <w:sz w:val="24"/>
          <w:szCs w:val="24"/>
          <w:lang w:val="en-GB"/>
        </w:rPr>
      </w:pPr>
      <w:bookmarkStart w:id="9" w:name="_Toc476332803"/>
      <w:bookmarkStart w:id="10" w:name="_Toc476332669"/>
      <w:r w:rsidRPr="00F31E38">
        <w:rPr>
          <w:rFonts w:ascii="Times New Roman" w:eastAsia="Times New Roman" w:hAnsi="Times New Roman" w:cs="Times New Roman"/>
          <w:b/>
          <w:sz w:val="24"/>
          <w:szCs w:val="24"/>
          <w:lang w:val="en-GB"/>
        </w:rPr>
        <w:t>SCOPE OF WORK</w:t>
      </w:r>
      <w:bookmarkEnd w:id="9"/>
      <w:bookmarkEnd w:id="10"/>
    </w:p>
    <w:p w14:paraId="6149BD39" w14:textId="77777777" w:rsidR="00F31E38" w:rsidRPr="00F31E38" w:rsidRDefault="00F31E38" w:rsidP="00F31E38">
      <w:pPr>
        <w:shd w:val="clear" w:color="auto" w:fill="FFFFFF"/>
        <w:spacing w:after="120" w:line="23" w:lineRule="atLeast"/>
        <w:jc w:val="both"/>
        <w:rPr>
          <w:rFonts w:ascii="Times New Roman" w:eastAsia="Times New Roman" w:hAnsi="Times New Roman" w:cs="Times New Roman"/>
          <w:sz w:val="24"/>
          <w:szCs w:val="24"/>
          <w:lang w:val="en-GB"/>
        </w:rPr>
      </w:pPr>
      <w:r w:rsidRPr="00F31E38">
        <w:rPr>
          <w:rFonts w:ascii="Times New Roman" w:eastAsia="Times New Roman" w:hAnsi="Times New Roman" w:cs="Times New Roman"/>
          <w:sz w:val="24"/>
          <w:szCs w:val="24"/>
          <w:lang w:val="en-GB"/>
        </w:rPr>
        <w:t xml:space="preserve">The contract aims to improve the legal and technical capabilities of EMRA as a regulator in increasing the level of competition by implementing new mechanisms that will boost competition and transparency in the market. In this framework, supplier of last resort and market maker mechanisms were introduced by the amendments in the NGML, and the secondary legislation will be prepared by the EMRA taking the relevant EU legislation in force into account. </w:t>
      </w:r>
    </w:p>
    <w:p w14:paraId="64ED2E70" w14:textId="77777777" w:rsidR="00F31E38" w:rsidRPr="00F31E38" w:rsidRDefault="00F31E38" w:rsidP="00F31E38">
      <w:pPr>
        <w:shd w:val="clear" w:color="auto" w:fill="FFFFFF"/>
        <w:spacing w:after="120" w:line="23" w:lineRule="atLeast"/>
        <w:jc w:val="both"/>
        <w:rPr>
          <w:rFonts w:ascii="Times New Roman" w:eastAsia="Times New Roman" w:hAnsi="Times New Roman" w:cs="Times New Roman"/>
          <w:sz w:val="24"/>
          <w:szCs w:val="24"/>
          <w:lang w:val="en-GB"/>
        </w:rPr>
      </w:pPr>
      <w:r w:rsidRPr="00F31E38">
        <w:rPr>
          <w:rFonts w:ascii="Times New Roman" w:eastAsia="Times New Roman" w:hAnsi="Times New Roman" w:cs="Times New Roman"/>
          <w:sz w:val="24"/>
          <w:szCs w:val="24"/>
          <w:lang w:val="en-GB"/>
        </w:rPr>
        <w:t xml:space="preserve">Market maker mechanism is a common tool utilized in several energy markets in the EU including the exchanges in Germany, France, Italy, and the Netherlands as well as financial markets such as the New York Stock Exchange and the London Stock Exchange. The aim of the mechanism is to increase depth and liquidity in the spot and exchange-traded derivatives markets and enhance the level of price discovery in order to enhance transparency and competition. The market makers, which are responsible for placing bids and offers in the spot markets guarantee that there will be a counterparty in the market for those willing to trade in a </w:t>
      </w:r>
      <w:r w:rsidRPr="00F31E38">
        <w:rPr>
          <w:rFonts w:ascii="Times New Roman" w:eastAsia="Times New Roman" w:hAnsi="Times New Roman" w:cs="Times New Roman"/>
          <w:sz w:val="24"/>
          <w:szCs w:val="24"/>
          <w:lang w:val="en-GB"/>
        </w:rPr>
        <w:lastRenderedPageBreak/>
        <w:t xml:space="preserve">certain price range. The effects of the increase in the trading volume, market liquidity, and the number of transactions bestowed by the mechanism are considered to be substantially beneficial for the competition in the spot markets. The market maker mechanism also allows price discovery and transparency in the spot and exchange-traded derivatives, by allowing formation of the prices in a more market-based and transparent manner. In order to guarantee that the mechanism affects the transparency in the spot markets positively, the market maker shall act transparently according to predetermined principles known by all market players. Avoiding abuse of the roles and responsibilities of the market maker status is also crucial to provide the desired results. Thus, REMIT, EMIR and other relevant regulations shall be studied as a part of the contract in the context of implementation and utilization of the market maker mechanism. </w:t>
      </w:r>
    </w:p>
    <w:p w14:paraId="7A1B6CC1" w14:textId="77777777" w:rsidR="00F31E38" w:rsidRPr="00F31E38" w:rsidRDefault="00F31E38" w:rsidP="00F31E38">
      <w:pPr>
        <w:shd w:val="clear" w:color="auto" w:fill="FFFFFF"/>
        <w:spacing w:after="120" w:line="23" w:lineRule="atLeast"/>
        <w:jc w:val="both"/>
        <w:rPr>
          <w:rFonts w:ascii="Times New Roman" w:eastAsia="Times New Roman" w:hAnsi="Times New Roman" w:cs="Times New Roman"/>
          <w:sz w:val="24"/>
          <w:szCs w:val="24"/>
          <w:lang w:val="en-GB"/>
        </w:rPr>
      </w:pPr>
      <w:r w:rsidRPr="00F31E38">
        <w:rPr>
          <w:rFonts w:ascii="Times New Roman" w:eastAsia="Times New Roman" w:hAnsi="Times New Roman" w:cs="Times New Roman"/>
          <w:sz w:val="24"/>
          <w:szCs w:val="24"/>
          <w:lang w:val="en-GB"/>
        </w:rPr>
        <w:t>Supplier of last resort is a mechanism introduced by the Second Gas Directive (Directive 2003/55/</w:t>
      </w:r>
      <w:proofErr w:type="gramStart"/>
      <w:r w:rsidRPr="00F31E38">
        <w:rPr>
          <w:rFonts w:ascii="Times New Roman" w:eastAsia="Times New Roman" w:hAnsi="Times New Roman" w:cs="Times New Roman"/>
          <w:sz w:val="24"/>
          <w:szCs w:val="24"/>
          <w:lang w:val="en-GB"/>
        </w:rPr>
        <w:t>EC)  and</w:t>
      </w:r>
      <w:proofErr w:type="gramEnd"/>
      <w:r w:rsidRPr="00F31E38">
        <w:rPr>
          <w:rFonts w:ascii="Times New Roman" w:eastAsia="Times New Roman" w:hAnsi="Times New Roman" w:cs="Times New Roman"/>
          <w:sz w:val="24"/>
          <w:szCs w:val="24"/>
          <w:lang w:val="en-GB"/>
        </w:rPr>
        <w:t xml:space="preserve"> is mandatory for all EU member states. Although supplier of last resort is a mechanism established in order to ensure the continuity of supply for household customers in case of a supplier failure, it has several beneficial effects in increasing the level of competition and transparency in the market, such as increasing the price discovery, providing more market-based pricing of gas, and allowing competition for supplying gas to the customers affected by the supplier failure. The roles and responsibilities, allocation and pricing of supplier of last resort status should be defined clearly and the secondary legislation prepared should be in line with the legislation in force and the good practices in the EU in order to guarantee the efficiency of the mechanism. Adopting market-based methodologies for appointment and pricing of the supplier of last resort roles are also considered to be beneficial for the level of competition in the markets.  </w:t>
      </w:r>
    </w:p>
    <w:p w14:paraId="092821CD" w14:textId="77777777" w:rsidR="00F31E38" w:rsidRPr="00F31E38" w:rsidRDefault="00F31E38" w:rsidP="00F31E38">
      <w:pPr>
        <w:shd w:val="clear" w:color="auto" w:fill="FFFFFF"/>
        <w:spacing w:after="120" w:line="23" w:lineRule="atLeast"/>
        <w:jc w:val="both"/>
        <w:rPr>
          <w:rFonts w:ascii="Times New Roman" w:eastAsia="Times New Roman" w:hAnsi="Times New Roman" w:cs="Times New Roman"/>
          <w:sz w:val="24"/>
          <w:szCs w:val="24"/>
          <w:lang w:val="en-GB"/>
        </w:rPr>
      </w:pPr>
      <w:r w:rsidRPr="00F31E38">
        <w:rPr>
          <w:rFonts w:ascii="Times New Roman" w:eastAsia="Times New Roman" w:hAnsi="Times New Roman" w:cs="Times New Roman"/>
          <w:sz w:val="24"/>
          <w:szCs w:val="24"/>
          <w:lang w:val="en-GB"/>
        </w:rPr>
        <w:t xml:space="preserve">The contract will provide technical assistance to EMRA by means of training activities as well as preparation of inputs for the draft secondary legislation and regulations. The training activities shall be focused on good practices of regional implementation as well as the essentials of legislation on the market maker and supplier of last resort mechanisms, as well as implementation and utilization of the said mechanisms compliant to REMIT, EMIR and other relevant regulations. The inputs for draft legislation and regulation recommendations shall cover the articles that may be incorporated into the law, the articles that may be part of the by-laws that are in force and the parts that may be the basis of the secondary legislation that will be prepared by the EMRA. </w:t>
      </w:r>
    </w:p>
    <w:p w14:paraId="63A56859" w14:textId="77777777" w:rsidR="00F31E38" w:rsidRPr="00F31E38" w:rsidRDefault="00F31E38" w:rsidP="00F31E38">
      <w:pPr>
        <w:shd w:val="clear" w:color="auto" w:fill="FFFFFF"/>
        <w:spacing w:after="120" w:line="23" w:lineRule="atLeast"/>
        <w:jc w:val="both"/>
        <w:rPr>
          <w:rFonts w:ascii="Times New Roman" w:eastAsia="Times New Roman" w:hAnsi="Times New Roman" w:cs="Times New Roman"/>
          <w:sz w:val="24"/>
          <w:szCs w:val="24"/>
          <w:lang w:val="en-GB"/>
        </w:rPr>
      </w:pPr>
    </w:p>
    <w:p w14:paraId="5BA104FC" w14:textId="77777777" w:rsidR="00F31E38" w:rsidRPr="00F31E38" w:rsidRDefault="00F31E38" w:rsidP="00F31E38">
      <w:pPr>
        <w:keepNext/>
        <w:keepLines/>
        <w:numPr>
          <w:ilvl w:val="1"/>
          <w:numId w:val="17"/>
        </w:numPr>
        <w:spacing w:before="120" w:after="0" w:line="23" w:lineRule="atLeast"/>
        <w:ind w:left="0" w:firstLine="0"/>
        <w:jc w:val="both"/>
        <w:outlineLvl w:val="0"/>
        <w:rPr>
          <w:rFonts w:ascii="Times New Roman" w:eastAsia="Times New Roman" w:hAnsi="Times New Roman" w:cs="Times New Roman"/>
          <w:b/>
          <w:sz w:val="24"/>
          <w:szCs w:val="24"/>
          <w:lang w:val="en-GB"/>
        </w:rPr>
      </w:pPr>
      <w:r w:rsidRPr="00F31E38">
        <w:rPr>
          <w:rFonts w:ascii="Times New Roman" w:eastAsia="Times New Roman" w:hAnsi="Times New Roman" w:cs="Times New Roman"/>
          <w:b/>
          <w:sz w:val="24"/>
          <w:szCs w:val="24"/>
          <w:lang w:val="en-GB"/>
        </w:rPr>
        <w:t>Task 1: Training of EMRA staff on the legislation aiming to increase competition and transparency in natural gas markets and on Good Practices on Regional Implementation</w:t>
      </w:r>
    </w:p>
    <w:p w14:paraId="4B490B8B" w14:textId="77777777" w:rsidR="00F31E38" w:rsidRPr="00F31E38" w:rsidRDefault="00F31E38" w:rsidP="00F31E38">
      <w:pPr>
        <w:spacing w:after="0" w:line="23" w:lineRule="atLeast"/>
        <w:jc w:val="both"/>
        <w:rPr>
          <w:rFonts w:ascii="Times New Roman" w:eastAsia="Times New Roman" w:hAnsi="Times New Roman" w:cs="Times New Roman"/>
          <w:sz w:val="24"/>
          <w:szCs w:val="24"/>
          <w:lang w:val="en-GB"/>
        </w:rPr>
      </w:pPr>
    </w:p>
    <w:p w14:paraId="4C4C9EB9" w14:textId="77777777" w:rsidR="00F31E38" w:rsidRPr="00F31E38" w:rsidRDefault="00F31E38" w:rsidP="00F31E38">
      <w:pPr>
        <w:spacing w:after="0" w:line="23" w:lineRule="atLeast"/>
        <w:jc w:val="both"/>
        <w:rPr>
          <w:rFonts w:ascii="Times New Roman" w:eastAsia="Times New Roman" w:hAnsi="Times New Roman" w:cs="Times New Roman"/>
          <w:sz w:val="24"/>
          <w:szCs w:val="24"/>
          <w:lang w:val="en-GB"/>
        </w:rPr>
      </w:pPr>
      <w:r w:rsidRPr="00F31E38">
        <w:rPr>
          <w:rFonts w:ascii="Times New Roman" w:eastAsia="Times New Roman" w:hAnsi="Times New Roman" w:cs="Times New Roman"/>
          <w:sz w:val="24"/>
          <w:szCs w:val="24"/>
          <w:lang w:val="en-GB"/>
        </w:rPr>
        <w:t>Task 1 aims:</w:t>
      </w:r>
    </w:p>
    <w:p w14:paraId="32720722" w14:textId="77777777" w:rsidR="00F31E38" w:rsidRPr="00F31E38" w:rsidRDefault="00F31E38" w:rsidP="00F31E38">
      <w:pPr>
        <w:numPr>
          <w:ilvl w:val="0"/>
          <w:numId w:val="9"/>
        </w:numPr>
        <w:shd w:val="clear" w:color="auto" w:fill="FFFFFF"/>
        <w:spacing w:after="120" w:line="23" w:lineRule="atLeast"/>
        <w:jc w:val="both"/>
        <w:rPr>
          <w:rFonts w:ascii="Times New Roman" w:eastAsia="Times New Roman" w:hAnsi="Times New Roman" w:cs="Times New Roman"/>
          <w:sz w:val="24"/>
          <w:szCs w:val="24"/>
          <w:lang w:val="en-GB"/>
        </w:rPr>
      </w:pPr>
      <w:r w:rsidRPr="00F31E38">
        <w:rPr>
          <w:rFonts w:ascii="Times New Roman" w:eastAsia="Times New Roman" w:hAnsi="Times New Roman" w:cs="Times New Roman"/>
          <w:sz w:val="24"/>
          <w:szCs w:val="24"/>
          <w:lang w:val="en-GB"/>
        </w:rPr>
        <w:t>To increase the theoretical knowledge of EMRA staff on the essentials of mechanisms that will increase the competition transparency in the gas markets such as market making and supplier of last resort, and application of REMIT, EMIR and other relevant legislation on monitoring of the functioning of these mechanisms as well as monitoring the OTC markets, physical forward markets and non-standardized long-term trade;</w:t>
      </w:r>
    </w:p>
    <w:p w14:paraId="5B887AB7" w14:textId="77777777" w:rsidR="00F31E38" w:rsidRPr="00F31E38" w:rsidRDefault="00F31E38" w:rsidP="00F31E38">
      <w:pPr>
        <w:numPr>
          <w:ilvl w:val="0"/>
          <w:numId w:val="9"/>
        </w:numPr>
        <w:shd w:val="clear" w:color="auto" w:fill="FFFFFF"/>
        <w:spacing w:after="120" w:line="23" w:lineRule="atLeast"/>
        <w:jc w:val="both"/>
        <w:rPr>
          <w:rFonts w:ascii="Times New Roman" w:eastAsia="Times New Roman" w:hAnsi="Times New Roman" w:cs="Times New Roman"/>
          <w:sz w:val="24"/>
          <w:szCs w:val="24"/>
          <w:lang w:val="en-GB"/>
        </w:rPr>
      </w:pPr>
      <w:r w:rsidRPr="00F31E38">
        <w:rPr>
          <w:rFonts w:ascii="Times New Roman" w:eastAsia="Times New Roman" w:hAnsi="Times New Roman" w:cs="Times New Roman"/>
          <w:sz w:val="24"/>
          <w:szCs w:val="24"/>
          <w:lang w:val="en-GB"/>
        </w:rPr>
        <w:t xml:space="preserve">Examine the good practices on implementation of mechanism aiming to increase competition and transparency in the markets in order to provide a basis for the EMRA regulations on these subjects. </w:t>
      </w:r>
    </w:p>
    <w:p w14:paraId="1DD8B6BE" w14:textId="77777777" w:rsidR="00F31E38" w:rsidRPr="00F31E38" w:rsidRDefault="00F31E38" w:rsidP="00F31E38">
      <w:pPr>
        <w:shd w:val="clear" w:color="auto" w:fill="FFFFFF"/>
        <w:spacing w:after="120" w:line="23" w:lineRule="atLeast"/>
        <w:jc w:val="both"/>
        <w:rPr>
          <w:rFonts w:ascii="Times New Roman" w:eastAsia="Times New Roman" w:hAnsi="Times New Roman" w:cs="Times New Roman"/>
          <w:sz w:val="24"/>
          <w:szCs w:val="24"/>
          <w:lang w:val="en-GB"/>
        </w:rPr>
      </w:pPr>
      <w:r w:rsidRPr="00F31E38">
        <w:rPr>
          <w:rFonts w:ascii="Times New Roman" w:eastAsia="Times New Roman" w:hAnsi="Times New Roman" w:cs="Times New Roman"/>
          <w:sz w:val="24"/>
          <w:szCs w:val="24"/>
          <w:lang w:val="en-GB"/>
        </w:rPr>
        <w:t xml:space="preserve">In the first part of the task, the Consultant is expected to prepare training activities on the essentials of relevant legislation in EU and other well-developed gas markets, and regional good </w:t>
      </w:r>
      <w:r w:rsidRPr="00F31E38">
        <w:rPr>
          <w:rFonts w:ascii="Times New Roman" w:eastAsia="Times New Roman" w:hAnsi="Times New Roman" w:cs="Times New Roman"/>
          <w:sz w:val="24"/>
          <w:szCs w:val="24"/>
          <w:lang w:val="en-GB"/>
        </w:rPr>
        <w:lastRenderedPageBreak/>
        <w:t xml:space="preserve">practices on implementation in order to enhance the understanding of the EMRA staff on the subject. </w:t>
      </w:r>
    </w:p>
    <w:p w14:paraId="1DE75EF5" w14:textId="77777777" w:rsidR="00F31E38" w:rsidRPr="00F31E38" w:rsidRDefault="00F31E38" w:rsidP="00F31E38">
      <w:pPr>
        <w:spacing w:after="0" w:line="23" w:lineRule="atLeast"/>
        <w:rPr>
          <w:rFonts w:ascii="Times New Roman" w:eastAsia="Times New Roman" w:hAnsi="Times New Roman" w:cs="Times New Roman"/>
          <w:sz w:val="24"/>
          <w:szCs w:val="24"/>
          <w:lang w:val="en-GB"/>
        </w:rPr>
      </w:pPr>
    </w:p>
    <w:p w14:paraId="50329EDD" w14:textId="77777777" w:rsidR="00F31E38" w:rsidRPr="00F31E38" w:rsidRDefault="00F31E38" w:rsidP="00F31E38">
      <w:pPr>
        <w:keepNext/>
        <w:keepLines/>
        <w:numPr>
          <w:ilvl w:val="2"/>
          <w:numId w:val="17"/>
        </w:numPr>
        <w:spacing w:before="120" w:after="0" w:line="23" w:lineRule="atLeast"/>
        <w:jc w:val="both"/>
        <w:outlineLvl w:val="0"/>
        <w:rPr>
          <w:rFonts w:ascii="Times New Roman" w:eastAsia="Times New Roman" w:hAnsi="Times New Roman" w:cs="Times New Roman"/>
          <w:b/>
          <w:sz w:val="24"/>
          <w:szCs w:val="24"/>
          <w:lang w:val="en-GB"/>
        </w:rPr>
      </w:pPr>
      <w:r w:rsidRPr="00F31E38">
        <w:rPr>
          <w:rFonts w:ascii="Times New Roman" w:eastAsia="Times New Roman" w:hAnsi="Times New Roman" w:cs="Times New Roman"/>
          <w:b/>
          <w:sz w:val="24"/>
          <w:szCs w:val="24"/>
          <w:lang w:val="en-GB"/>
        </w:rPr>
        <w:t>Task1.A: Training and workshop activities on the legislation aiming to increase competition and transparency in natural gas markets</w:t>
      </w:r>
    </w:p>
    <w:p w14:paraId="41057786" w14:textId="77777777" w:rsidR="00F31E38" w:rsidRPr="00F31E38" w:rsidRDefault="00F31E38" w:rsidP="00F31E38">
      <w:pPr>
        <w:spacing w:after="0" w:line="240" w:lineRule="auto"/>
        <w:rPr>
          <w:rFonts w:ascii="Times New Roman" w:eastAsia="Times New Roman" w:hAnsi="Times New Roman" w:cs="Times New Roman"/>
          <w:sz w:val="24"/>
          <w:szCs w:val="24"/>
          <w:lang w:val="en-GB"/>
        </w:rPr>
      </w:pPr>
    </w:p>
    <w:p w14:paraId="09C73776" w14:textId="77777777" w:rsidR="00F31E38" w:rsidRPr="00F31E38" w:rsidRDefault="00F31E38" w:rsidP="00F31E38">
      <w:pPr>
        <w:shd w:val="clear" w:color="auto" w:fill="FFFFFF"/>
        <w:spacing w:after="120" w:line="23" w:lineRule="atLeast"/>
        <w:jc w:val="both"/>
        <w:rPr>
          <w:rFonts w:ascii="Times New Roman" w:eastAsia="Times New Roman" w:hAnsi="Times New Roman" w:cs="Times New Roman"/>
          <w:sz w:val="24"/>
          <w:szCs w:val="24"/>
          <w:lang w:val="en-GB"/>
        </w:rPr>
      </w:pPr>
      <w:r w:rsidRPr="00F31E38">
        <w:rPr>
          <w:rFonts w:ascii="Times New Roman" w:eastAsia="Times New Roman" w:hAnsi="Times New Roman" w:cs="Times New Roman"/>
          <w:sz w:val="24"/>
          <w:szCs w:val="24"/>
          <w:lang w:val="en-GB"/>
        </w:rPr>
        <w:t>In order to address the issues stated in Objective 1, the Consultant shall prepare two training and two workshop activities for EMRA staff aiming to increase the theoretical background of the staff on the subject.</w:t>
      </w:r>
    </w:p>
    <w:p w14:paraId="3AA74CEF" w14:textId="77777777" w:rsidR="00F31E38" w:rsidRPr="00F31E38" w:rsidRDefault="00F31E38" w:rsidP="00F31E38">
      <w:pPr>
        <w:spacing w:after="0" w:line="240" w:lineRule="auto"/>
        <w:jc w:val="both"/>
        <w:rPr>
          <w:rFonts w:ascii="Times New Roman" w:eastAsia="Times New Roman" w:hAnsi="Times New Roman" w:cs="Times New Roman"/>
          <w:sz w:val="24"/>
          <w:szCs w:val="24"/>
          <w:lang w:val="en-GB"/>
        </w:rPr>
      </w:pPr>
      <w:r w:rsidRPr="00F31E38">
        <w:rPr>
          <w:rFonts w:ascii="Times New Roman" w:eastAsia="Times New Roman" w:hAnsi="Times New Roman" w:cs="Times New Roman"/>
          <w:sz w:val="24"/>
          <w:szCs w:val="24"/>
          <w:lang w:val="en-GB"/>
        </w:rPr>
        <w:t>The training on Implementation of Market Maker Mechanism, that will not take less than 18 hours (3 workdays) and will be held at EMRA’s premises in Ankara with the participation of at least 30 people (excl. Consultant) will include;</w:t>
      </w:r>
    </w:p>
    <w:p w14:paraId="3F3F46F7" w14:textId="77777777" w:rsidR="00F31E38" w:rsidRPr="00F31E38" w:rsidRDefault="00F31E38" w:rsidP="00F31E38">
      <w:pPr>
        <w:spacing w:after="0" w:line="240" w:lineRule="auto"/>
        <w:jc w:val="both"/>
        <w:rPr>
          <w:rFonts w:ascii="Times New Roman" w:eastAsia="Times New Roman" w:hAnsi="Times New Roman" w:cs="Times New Roman"/>
          <w:sz w:val="24"/>
          <w:szCs w:val="24"/>
          <w:lang w:val="en-GB"/>
        </w:rPr>
      </w:pPr>
    </w:p>
    <w:p w14:paraId="799238E9" w14:textId="77777777" w:rsidR="00F31E38" w:rsidRPr="00F31E38" w:rsidRDefault="00F31E38" w:rsidP="00F31E38">
      <w:pPr>
        <w:numPr>
          <w:ilvl w:val="0"/>
          <w:numId w:val="9"/>
        </w:numPr>
        <w:shd w:val="clear" w:color="auto" w:fill="FFFFFF"/>
        <w:spacing w:after="120" w:line="23" w:lineRule="atLeast"/>
        <w:jc w:val="both"/>
        <w:rPr>
          <w:rFonts w:ascii="Times New Roman" w:eastAsia="Times New Roman" w:hAnsi="Times New Roman" w:cs="Times New Roman"/>
          <w:sz w:val="24"/>
          <w:szCs w:val="24"/>
          <w:lang w:val="en-GB"/>
        </w:rPr>
      </w:pPr>
      <w:r w:rsidRPr="00F31E38">
        <w:rPr>
          <w:rFonts w:ascii="Times New Roman" w:eastAsia="Times New Roman" w:hAnsi="Times New Roman" w:cs="Times New Roman"/>
          <w:sz w:val="24"/>
          <w:szCs w:val="24"/>
          <w:lang w:val="en-GB"/>
        </w:rPr>
        <w:t xml:space="preserve">Detailed analysis of the legislation on market maker mechanism in the EU and other well-developed spot and exchange-traded derivatives markets, including the role and responsibilities of the market maker, appointment and pricing of the service, and market maker agreements. </w:t>
      </w:r>
    </w:p>
    <w:p w14:paraId="799E31E9" w14:textId="77777777" w:rsidR="00F31E38" w:rsidRPr="00F31E38" w:rsidRDefault="00F31E38" w:rsidP="00F31E38">
      <w:pPr>
        <w:numPr>
          <w:ilvl w:val="0"/>
          <w:numId w:val="9"/>
        </w:numPr>
        <w:shd w:val="clear" w:color="auto" w:fill="FFFFFF"/>
        <w:spacing w:after="120" w:line="23" w:lineRule="atLeast"/>
        <w:ind w:left="714" w:hanging="357"/>
        <w:jc w:val="both"/>
        <w:rPr>
          <w:rFonts w:ascii="Times New Roman" w:eastAsia="Times New Roman" w:hAnsi="Times New Roman" w:cs="Times New Roman"/>
          <w:sz w:val="24"/>
          <w:szCs w:val="24"/>
          <w:lang w:val="en-GB"/>
        </w:rPr>
      </w:pPr>
      <w:r w:rsidRPr="00F31E38">
        <w:rPr>
          <w:rFonts w:ascii="Times New Roman" w:eastAsia="Times New Roman" w:hAnsi="Times New Roman" w:cs="Times New Roman"/>
          <w:sz w:val="24"/>
          <w:szCs w:val="24"/>
          <w:lang w:val="en-GB"/>
        </w:rPr>
        <w:t>Detailed analysis of REMIT, EMIR and other relevant legislation with respect to the implementation of the market maker mechanisms, on areas such as the responsibilities of the parties, as well as discovery and disclosure of information, preferably with the participation of the experts that have first-hand experience in the implementation and/or application of the said and regulations.</w:t>
      </w:r>
    </w:p>
    <w:p w14:paraId="44EDADCE" w14:textId="77777777" w:rsidR="00F31E38" w:rsidRPr="00F31E38" w:rsidRDefault="00F31E38" w:rsidP="00F31E38">
      <w:pPr>
        <w:shd w:val="clear" w:color="auto" w:fill="FFFFFF"/>
        <w:spacing w:after="120" w:line="23" w:lineRule="atLeast"/>
        <w:jc w:val="both"/>
        <w:rPr>
          <w:rFonts w:ascii="Times New Roman" w:eastAsia="Times New Roman" w:hAnsi="Times New Roman" w:cs="Times New Roman"/>
          <w:b/>
          <w:i/>
          <w:sz w:val="24"/>
          <w:szCs w:val="24"/>
          <w:lang w:val="en-GB"/>
        </w:rPr>
      </w:pPr>
      <w:r w:rsidRPr="00F31E38">
        <w:rPr>
          <w:rFonts w:ascii="Times New Roman" w:eastAsia="Times New Roman" w:hAnsi="Times New Roman" w:cs="Times New Roman"/>
          <w:b/>
          <w:i/>
          <w:sz w:val="24"/>
          <w:szCs w:val="24"/>
          <w:lang w:val="en-GB"/>
        </w:rPr>
        <w:t>The Consultant shall present the results of the training shall be presented in D-2 TRAINING-1 REPORT – IMPLEMENTATION OF MARKET MAKER MECHANISM</w:t>
      </w:r>
    </w:p>
    <w:p w14:paraId="6D31A2E8" w14:textId="77777777" w:rsidR="00F31E38" w:rsidRPr="00F31E38" w:rsidRDefault="00F31E38" w:rsidP="00F31E38">
      <w:pPr>
        <w:shd w:val="clear" w:color="auto" w:fill="FFFFFF"/>
        <w:spacing w:after="120" w:line="23" w:lineRule="atLeast"/>
        <w:jc w:val="both"/>
        <w:rPr>
          <w:rFonts w:ascii="Times New Roman" w:eastAsia="Times New Roman" w:hAnsi="Times New Roman" w:cs="Times New Roman"/>
          <w:sz w:val="24"/>
          <w:szCs w:val="24"/>
          <w:lang w:val="en-GB"/>
        </w:rPr>
      </w:pPr>
      <w:r w:rsidRPr="00F31E38">
        <w:rPr>
          <w:rFonts w:ascii="Times New Roman" w:eastAsia="Times New Roman" w:hAnsi="Times New Roman" w:cs="Times New Roman"/>
          <w:sz w:val="24"/>
          <w:szCs w:val="24"/>
          <w:lang w:val="en-GB"/>
        </w:rPr>
        <w:t>The training on Market Based Supplier of Last Resort Methodologies, that will not take less than 18 hours (3 workdays) and will be held at EMRA’s premises in Ankara with the participation of at least 30 people (excl. Consultant), will include;</w:t>
      </w:r>
    </w:p>
    <w:p w14:paraId="24438DC7" w14:textId="77777777" w:rsidR="00F31E38" w:rsidRPr="00F31E38" w:rsidRDefault="00F31E38" w:rsidP="00F31E38">
      <w:pPr>
        <w:numPr>
          <w:ilvl w:val="0"/>
          <w:numId w:val="9"/>
        </w:numPr>
        <w:shd w:val="clear" w:color="auto" w:fill="FFFFFF"/>
        <w:spacing w:after="120" w:line="23" w:lineRule="atLeast"/>
        <w:jc w:val="both"/>
        <w:rPr>
          <w:rFonts w:ascii="Times New Roman" w:eastAsia="Times New Roman" w:hAnsi="Times New Roman" w:cs="Times New Roman"/>
          <w:sz w:val="24"/>
          <w:szCs w:val="24"/>
          <w:lang w:val="en-GB"/>
        </w:rPr>
      </w:pPr>
      <w:r w:rsidRPr="00F31E38">
        <w:rPr>
          <w:rFonts w:ascii="Times New Roman" w:eastAsia="Times New Roman" w:hAnsi="Times New Roman" w:cs="Times New Roman"/>
          <w:sz w:val="24"/>
          <w:szCs w:val="24"/>
          <w:lang w:val="en-GB"/>
        </w:rPr>
        <w:t xml:space="preserve"> Detailed analysis of the legislation on supplier of last resort mechanism in the EU gas markets, including the role and responsibilities of the supplier of last resort, allocation and pricing of the service, and market-based methodologies for selection and pricing of supplier of last resort. </w:t>
      </w:r>
    </w:p>
    <w:p w14:paraId="4EA2C98F" w14:textId="77777777" w:rsidR="00F31E38" w:rsidRPr="00F31E38" w:rsidRDefault="00F31E38" w:rsidP="00F31E38">
      <w:pPr>
        <w:numPr>
          <w:ilvl w:val="0"/>
          <w:numId w:val="9"/>
        </w:numPr>
        <w:shd w:val="clear" w:color="auto" w:fill="FFFFFF"/>
        <w:spacing w:after="120" w:line="23" w:lineRule="atLeast"/>
        <w:ind w:left="714" w:hanging="357"/>
        <w:jc w:val="both"/>
        <w:rPr>
          <w:rFonts w:ascii="Times New Roman" w:eastAsia="Times New Roman" w:hAnsi="Times New Roman" w:cs="Times New Roman"/>
          <w:sz w:val="24"/>
          <w:szCs w:val="24"/>
          <w:lang w:val="en-GB"/>
        </w:rPr>
      </w:pPr>
      <w:r w:rsidRPr="00F31E38">
        <w:rPr>
          <w:rFonts w:ascii="Times New Roman" w:eastAsia="Times New Roman" w:hAnsi="Times New Roman" w:cs="Times New Roman"/>
          <w:sz w:val="24"/>
          <w:szCs w:val="24"/>
          <w:lang w:val="en-GB"/>
        </w:rPr>
        <w:t>Detailed analysis of REMIT, EMIR and other relevant legislation with respect to the implementation of the supplier of last resort mechanisms on areas such as the responsibilities of the parties as well as discovery and disclosure of information, preferably with the participation of the experts that have first-hand experience in the implementation and/or application of the said regulations.</w:t>
      </w:r>
    </w:p>
    <w:p w14:paraId="561B4A9D" w14:textId="77777777" w:rsidR="00F31E38" w:rsidRPr="00F31E38" w:rsidRDefault="00F31E38" w:rsidP="00F31E38">
      <w:pPr>
        <w:shd w:val="clear" w:color="auto" w:fill="FFFFFF"/>
        <w:spacing w:after="120" w:line="23" w:lineRule="atLeast"/>
        <w:jc w:val="both"/>
        <w:rPr>
          <w:rFonts w:ascii="Times New Roman" w:eastAsia="Times New Roman" w:hAnsi="Times New Roman" w:cs="Times New Roman"/>
          <w:sz w:val="24"/>
          <w:szCs w:val="24"/>
          <w:lang w:val="en-GB"/>
        </w:rPr>
      </w:pPr>
    </w:p>
    <w:p w14:paraId="700A56CD" w14:textId="77777777" w:rsidR="00F31E38" w:rsidRPr="00F31E38" w:rsidRDefault="00F31E38" w:rsidP="00F31E38">
      <w:pPr>
        <w:shd w:val="clear" w:color="auto" w:fill="FFFFFF"/>
        <w:spacing w:after="120" w:line="23" w:lineRule="atLeast"/>
        <w:jc w:val="both"/>
        <w:rPr>
          <w:rFonts w:ascii="Times New Roman" w:eastAsia="Times New Roman" w:hAnsi="Times New Roman" w:cs="Times New Roman"/>
          <w:b/>
          <w:i/>
          <w:sz w:val="24"/>
          <w:szCs w:val="24"/>
          <w:lang w:val="en-GB"/>
        </w:rPr>
      </w:pPr>
      <w:r w:rsidRPr="00F31E38">
        <w:rPr>
          <w:rFonts w:ascii="Times New Roman" w:eastAsia="Times New Roman" w:hAnsi="Times New Roman" w:cs="Times New Roman"/>
          <w:b/>
          <w:i/>
          <w:sz w:val="24"/>
          <w:szCs w:val="24"/>
          <w:lang w:val="en-GB"/>
        </w:rPr>
        <w:t>The Consultant shall present the results of the training by in D-3 TRAINING-2 REPORT - MARKET BASED SUPPLIER OF LAST RESORT METHODOLOGIES</w:t>
      </w:r>
    </w:p>
    <w:p w14:paraId="57B0FAA5" w14:textId="77777777" w:rsidR="00F31E38" w:rsidRPr="00F31E38" w:rsidRDefault="00F31E38" w:rsidP="00F31E38">
      <w:pPr>
        <w:spacing w:after="0" w:line="240" w:lineRule="auto"/>
        <w:rPr>
          <w:rFonts w:ascii="Times New Roman" w:eastAsia="Times New Roman" w:hAnsi="Times New Roman" w:cs="Times New Roman"/>
          <w:sz w:val="20"/>
          <w:szCs w:val="20"/>
          <w:lang w:val="en-GB"/>
        </w:rPr>
      </w:pPr>
    </w:p>
    <w:p w14:paraId="3B8C75AA" w14:textId="77777777" w:rsidR="00F31E38" w:rsidRPr="00F31E38" w:rsidRDefault="00F31E38" w:rsidP="00F31E38">
      <w:pPr>
        <w:spacing w:after="0" w:line="23" w:lineRule="atLeast"/>
        <w:ind w:left="360"/>
        <w:jc w:val="both"/>
        <w:rPr>
          <w:rFonts w:ascii="Times New Roman" w:eastAsia="Times New Roman" w:hAnsi="Times New Roman" w:cs="Times New Roman"/>
          <w:i/>
          <w:sz w:val="24"/>
          <w:szCs w:val="24"/>
          <w:lang w:val="en-GB"/>
        </w:rPr>
      </w:pPr>
    </w:p>
    <w:p w14:paraId="168ADFEA" w14:textId="77777777" w:rsidR="00F31E38" w:rsidRPr="00F31E38" w:rsidRDefault="00F31E38" w:rsidP="00F31E38">
      <w:pPr>
        <w:keepNext/>
        <w:keepLines/>
        <w:numPr>
          <w:ilvl w:val="2"/>
          <w:numId w:val="17"/>
        </w:numPr>
        <w:spacing w:before="120" w:after="0" w:line="23" w:lineRule="atLeast"/>
        <w:jc w:val="both"/>
        <w:outlineLvl w:val="0"/>
        <w:rPr>
          <w:rFonts w:ascii="Times New Roman" w:eastAsia="Times New Roman" w:hAnsi="Times New Roman" w:cs="Times New Roman"/>
          <w:b/>
          <w:sz w:val="24"/>
          <w:szCs w:val="24"/>
          <w:lang w:val="en-GB"/>
        </w:rPr>
      </w:pPr>
      <w:r w:rsidRPr="00F31E38">
        <w:rPr>
          <w:rFonts w:ascii="Times New Roman" w:eastAsia="Times New Roman" w:hAnsi="Times New Roman" w:cs="Times New Roman"/>
          <w:b/>
          <w:sz w:val="24"/>
          <w:szCs w:val="24"/>
          <w:lang w:val="en-GB"/>
        </w:rPr>
        <w:t>Task 1B: Study Visits to Relevant Institutions</w:t>
      </w:r>
    </w:p>
    <w:p w14:paraId="68BCCFB9" w14:textId="77777777" w:rsidR="00F31E38" w:rsidRPr="00F31E38" w:rsidRDefault="00F31E38" w:rsidP="00F31E38">
      <w:pPr>
        <w:spacing w:after="0" w:line="23" w:lineRule="atLeast"/>
        <w:rPr>
          <w:rFonts w:ascii="Times New Roman" w:eastAsia="Times New Roman" w:hAnsi="Times New Roman" w:cs="Times New Roman"/>
          <w:sz w:val="24"/>
          <w:szCs w:val="24"/>
          <w:lang w:val="en-GB"/>
        </w:rPr>
      </w:pPr>
    </w:p>
    <w:p w14:paraId="2E79E37F" w14:textId="77777777" w:rsidR="00F31E38" w:rsidRPr="00F31E38" w:rsidRDefault="00F31E38" w:rsidP="00F31E38">
      <w:pPr>
        <w:shd w:val="clear" w:color="auto" w:fill="FFFFFF"/>
        <w:spacing w:after="120" w:line="23" w:lineRule="atLeast"/>
        <w:jc w:val="both"/>
        <w:rPr>
          <w:rFonts w:ascii="Times New Roman" w:eastAsia="Times New Roman" w:hAnsi="Times New Roman" w:cs="Times New Roman"/>
          <w:sz w:val="24"/>
          <w:szCs w:val="24"/>
          <w:lang w:val="en-GB"/>
        </w:rPr>
      </w:pPr>
      <w:r w:rsidRPr="00F31E38">
        <w:rPr>
          <w:rFonts w:ascii="Times New Roman" w:eastAsia="Times New Roman" w:hAnsi="Times New Roman" w:cs="Times New Roman"/>
          <w:sz w:val="24"/>
          <w:szCs w:val="24"/>
          <w:lang w:val="en-GB"/>
        </w:rPr>
        <w:t xml:space="preserve">In order to enhance the understanding of the EMRA staff on implementation of the legislation aiming to increase competition and transparency in natural gas markets by studying the </w:t>
      </w:r>
      <w:r w:rsidRPr="00F31E38">
        <w:rPr>
          <w:rFonts w:ascii="Times New Roman" w:eastAsia="Times New Roman" w:hAnsi="Times New Roman" w:cs="Times New Roman"/>
          <w:sz w:val="24"/>
          <w:szCs w:val="24"/>
          <w:lang w:val="en-GB"/>
        </w:rPr>
        <w:lastRenderedPageBreak/>
        <w:t>practices of the relevant institutions, the Consultant will organize a 5-day (excluding travel) study visit to the European Union Agency for the Cooperation of Energy Regulators (ACER) Gas Department in Ljubljana, Slovenia (3 days) and The European Network of Transmission System Operators for Gas (ENTSO-G) in Brussels, Belgium (2 days) for a total of 10 staff from EMRA and 2 staff from MENR for observing best EU practices and the relevant legislation aiming to increase competition and transparency in natural gas markets. The Consultant will undertake necessary arrangements for sharing knowledge between those institutions and EMRA (such as arranging a presentation regarding the activities of the visited institute) related to surveillance and monitoring)</w:t>
      </w:r>
    </w:p>
    <w:p w14:paraId="15193936" w14:textId="77777777" w:rsidR="00F31E38" w:rsidRPr="00F31E38" w:rsidRDefault="00F31E38" w:rsidP="00F31E38">
      <w:pPr>
        <w:shd w:val="clear" w:color="auto" w:fill="FFFFFF"/>
        <w:spacing w:after="120" w:line="23" w:lineRule="atLeast"/>
        <w:jc w:val="both"/>
        <w:rPr>
          <w:rFonts w:ascii="Times New Roman" w:eastAsia="Times New Roman" w:hAnsi="Times New Roman" w:cs="Times New Roman"/>
          <w:b/>
          <w:i/>
          <w:sz w:val="24"/>
          <w:szCs w:val="24"/>
          <w:lang w:val="en-GB"/>
        </w:rPr>
      </w:pPr>
    </w:p>
    <w:p w14:paraId="03B47755" w14:textId="77777777" w:rsidR="00F31E38" w:rsidRPr="00F31E38" w:rsidRDefault="00F31E38" w:rsidP="00F31E38">
      <w:pPr>
        <w:shd w:val="clear" w:color="auto" w:fill="FFFFFF"/>
        <w:spacing w:after="120" w:line="23" w:lineRule="atLeast"/>
        <w:jc w:val="both"/>
        <w:rPr>
          <w:rFonts w:ascii="Times New Roman" w:eastAsia="Times New Roman" w:hAnsi="Times New Roman" w:cs="Times New Roman"/>
          <w:sz w:val="24"/>
          <w:szCs w:val="24"/>
          <w:lang w:val="en-GB"/>
        </w:rPr>
      </w:pPr>
      <w:r w:rsidRPr="00F31E38">
        <w:rPr>
          <w:rFonts w:ascii="Times New Roman" w:eastAsia="Times New Roman" w:hAnsi="Times New Roman" w:cs="Times New Roman"/>
          <w:b/>
          <w:i/>
          <w:sz w:val="24"/>
          <w:szCs w:val="24"/>
          <w:lang w:val="en-GB"/>
        </w:rPr>
        <w:t>The Consultant shall present the results of the study visit in the D-4 STUDY VISIT-1 REPORT.</w:t>
      </w:r>
    </w:p>
    <w:p w14:paraId="3D529986" w14:textId="77777777" w:rsidR="00F31E38" w:rsidRPr="00F31E38" w:rsidRDefault="00F31E38" w:rsidP="00F31E38">
      <w:pPr>
        <w:shd w:val="clear" w:color="auto" w:fill="FFFFFF"/>
        <w:spacing w:after="120" w:line="23" w:lineRule="atLeast"/>
        <w:jc w:val="both"/>
        <w:rPr>
          <w:rFonts w:ascii="Times New Roman" w:eastAsia="Times New Roman" w:hAnsi="Times New Roman" w:cs="Times New Roman"/>
          <w:sz w:val="24"/>
          <w:szCs w:val="24"/>
          <w:lang w:val="en-GB"/>
        </w:rPr>
      </w:pPr>
    </w:p>
    <w:p w14:paraId="24D87283" w14:textId="77777777" w:rsidR="00F31E38" w:rsidRPr="00F31E38" w:rsidRDefault="00F31E38" w:rsidP="00F31E38">
      <w:pPr>
        <w:shd w:val="clear" w:color="auto" w:fill="FFFFFF"/>
        <w:spacing w:after="120" w:line="23" w:lineRule="atLeast"/>
        <w:jc w:val="both"/>
        <w:rPr>
          <w:rFonts w:ascii="Times New Roman" w:eastAsia="Times New Roman" w:hAnsi="Times New Roman" w:cs="Times New Roman"/>
          <w:sz w:val="24"/>
          <w:szCs w:val="24"/>
          <w:lang w:val="en-GB"/>
        </w:rPr>
      </w:pPr>
      <w:r w:rsidRPr="00F31E38">
        <w:rPr>
          <w:rFonts w:ascii="Times New Roman" w:eastAsia="Times New Roman" w:hAnsi="Times New Roman" w:cs="Times New Roman"/>
          <w:sz w:val="24"/>
          <w:szCs w:val="24"/>
          <w:lang w:val="en-GB"/>
        </w:rPr>
        <w:t>In addition, in order to observe and to examine regional good practices on implementation of monitoring and surveillance regulations, the Consultant will organize another 5-day (excluding travel) study visit to Intercontinental Exchange (ICE) and Office of Gas and Electricity Markets (OFGEM) in the UK (3 days) and Title Transfer Facility (TTF) in the Netherlands (2 days) for a total of 10 staff from EMRA and 2 staff from MENR for observing the best practices in EU countries and other countries with well-developed gas markets on increasing the level of competition in organized markets as well as application of EMIR and other relevant legislation on monitoring in these markets. The Consultant will undertake necessary arrangements for sharing knowledge between those institutions and EMRA (such as arranging a presentation regarding the activities of the visited institute related to market establishment and operation and/or surveillance and monitoring).</w:t>
      </w:r>
    </w:p>
    <w:p w14:paraId="1EADD459" w14:textId="77777777" w:rsidR="00F31E38" w:rsidRPr="00F31E38" w:rsidRDefault="00F31E38" w:rsidP="00F31E38">
      <w:pPr>
        <w:shd w:val="clear" w:color="auto" w:fill="FFFFFF"/>
        <w:spacing w:after="120" w:line="23" w:lineRule="atLeast"/>
        <w:jc w:val="both"/>
        <w:rPr>
          <w:rFonts w:ascii="Times New Roman" w:eastAsia="Times New Roman" w:hAnsi="Times New Roman" w:cs="Times New Roman"/>
          <w:sz w:val="24"/>
          <w:szCs w:val="24"/>
          <w:lang w:val="en-GB"/>
        </w:rPr>
      </w:pPr>
    </w:p>
    <w:p w14:paraId="0DB81C1F" w14:textId="77777777" w:rsidR="00F31E38" w:rsidRPr="00F31E38" w:rsidRDefault="00F31E38" w:rsidP="00F31E38">
      <w:pPr>
        <w:shd w:val="clear" w:color="auto" w:fill="FFFFFF"/>
        <w:spacing w:after="120" w:line="23" w:lineRule="atLeast"/>
        <w:jc w:val="both"/>
        <w:rPr>
          <w:rFonts w:ascii="Times New Roman" w:eastAsia="Times New Roman" w:hAnsi="Times New Roman" w:cs="Times New Roman"/>
          <w:sz w:val="24"/>
          <w:szCs w:val="24"/>
          <w:lang w:val="en-GB"/>
        </w:rPr>
      </w:pPr>
      <w:r w:rsidRPr="00F31E38">
        <w:rPr>
          <w:rFonts w:ascii="Times New Roman" w:eastAsia="Times New Roman" w:hAnsi="Times New Roman" w:cs="Times New Roman"/>
          <w:b/>
          <w:i/>
          <w:sz w:val="24"/>
          <w:szCs w:val="24"/>
          <w:lang w:val="en-GB"/>
        </w:rPr>
        <w:t>The Consultant shall present the results of the study visit shall be presented in the D-5 STUDY VISIT-2 REPORT</w:t>
      </w:r>
    </w:p>
    <w:p w14:paraId="6B1B972B" w14:textId="77777777" w:rsidR="00F31E38" w:rsidRPr="00F31E38" w:rsidRDefault="00F31E38" w:rsidP="00F31E38">
      <w:pPr>
        <w:keepNext/>
        <w:keepLines/>
        <w:numPr>
          <w:ilvl w:val="1"/>
          <w:numId w:val="17"/>
        </w:numPr>
        <w:spacing w:before="120" w:after="0" w:line="23" w:lineRule="atLeast"/>
        <w:ind w:left="284"/>
        <w:jc w:val="both"/>
        <w:outlineLvl w:val="0"/>
        <w:rPr>
          <w:rFonts w:ascii="Times New Roman" w:eastAsia="Times New Roman" w:hAnsi="Times New Roman" w:cs="Times New Roman"/>
          <w:b/>
          <w:sz w:val="24"/>
          <w:szCs w:val="24"/>
          <w:lang w:val="en-GB"/>
        </w:rPr>
      </w:pPr>
      <w:r w:rsidRPr="00F31E38">
        <w:rPr>
          <w:rFonts w:ascii="Times New Roman" w:eastAsia="Times New Roman" w:hAnsi="Times New Roman" w:cs="Times New Roman"/>
          <w:b/>
          <w:sz w:val="24"/>
          <w:szCs w:val="24"/>
          <w:lang w:val="en-GB"/>
        </w:rPr>
        <w:t>Task 2: Support on drafting of legislation aiming to increase competition and transparency in natural gas markets</w:t>
      </w:r>
    </w:p>
    <w:p w14:paraId="1C833885" w14:textId="77777777" w:rsidR="00F31E38" w:rsidRPr="00F31E38" w:rsidRDefault="00F31E38" w:rsidP="00F31E38">
      <w:pPr>
        <w:spacing w:after="0" w:line="240" w:lineRule="auto"/>
        <w:rPr>
          <w:rFonts w:ascii="Times New Roman" w:eastAsia="Times New Roman" w:hAnsi="Times New Roman" w:cs="Times New Roman"/>
          <w:sz w:val="24"/>
          <w:szCs w:val="24"/>
          <w:lang w:val="en-GB"/>
        </w:rPr>
      </w:pPr>
    </w:p>
    <w:p w14:paraId="711C0F5E" w14:textId="77777777" w:rsidR="00F31E38" w:rsidRPr="00F31E38" w:rsidRDefault="00F31E38" w:rsidP="00F31E38">
      <w:pPr>
        <w:shd w:val="clear" w:color="auto" w:fill="FFFFFF"/>
        <w:spacing w:after="120" w:line="23" w:lineRule="atLeast"/>
        <w:jc w:val="both"/>
        <w:rPr>
          <w:rFonts w:ascii="Times New Roman" w:eastAsia="Times New Roman" w:hAnsi="Times New Roman" w:cs="Times New Roman"/>
          <w:sz w:val="24"/>
          <w:szCs w:val="24"/>
          <w:lang w:val="en-GB"/>
        </w:rPr>
      </w:pPr>
      <w:r w:rsidRPr="00F31E38">
        <w:rPr>
          <w:rFonts w:ascii="Times New Roman" w:eastAsia="Calibri" w:hAnsi="Times New Roman" w:cs="Times New Roman"/>
          <w:sz w:val="24"/>
          <w:szCs w:val="24"/>
          <w:lang w:val="en-GB"/>
        </w:rPr>
        <w:t>For this task, the Consultant is expected to deliver a report on drafting of legislation aiming to increase competition and transparency in natural gas markets including the amendments of the legislation in force in order to implement mechanisms that shall be implemented such as market making and supplier of last resort, as well as laying the foundations of a well-functioning monitoring and surveillance system for OTC markets, physical forward and non-standardized long-term trade. As well as proposing changes to improve existing legislation</w:t>
      </w:r>
      <w:r w:rsidRPr="00F31E38">
        <w:rPr>
          <w:rFonts w:ascii="Times New Roman" w:eastAsia="Times New Roman" w:hAnsi="Times New Roman" w:cs="Times New Roman"/>
          <w:sz w:val="24"/>
          <w:szCs w:val="24"/>
          <w:lang w:val="en-GB"/>
        </w:rPr>
        <w:t xml:space="preserve">, the Consultant will also draft articles that may be incorporated into the secondary legislation that will finally be drafted and approved by EMRA. While proposing these mechanisms and developing articles in line with these mechanisms, the Consultant shall take into account the impact of proposed mechanisms on the natural gas market, as well. </w:t>
      </w:r>
    </w:p>
    <w:p w14:paraId="5C868D2C" w14:textId="77777777" w:rsidR="00F31E38" w:rsidRPr="00F31E38" w:rsidRDefault="00F31E38" w:rsidP="00F31E38">
      <w:pPr>
        <w:shd w:val="clear" w:color="auto" w:fill="FFFFFF"/>
        <w:spacing w:after="120" w:line="23" w:lineRule="atLeast"/>
        <w:jc w:val="both"/>
        <w:rPr>
          <w:rFonts w:ascii="Times New Roman" w:eastAsia="Times New Roman" w:hAnsi="Times New Roman" w:cs="Times New Roman"/>
          <w:sz w:val="24"/>
          <w:szCs w:val="24"/>
          <w:lang w:val="en-GB"/>
        </w:rPr>
      </w:pPr>
      <w:r w:rsidRPr="00F31E38">
        <w:rPr>
          <w:rFonts w:ascii="Times New Roman" w:eastAsia="Times New Roman" w:hAnsi="Times New Roman" w:cs="Times New Roman"/>
          <w:sz w:val="24"/>
          <w:szCs w:val="24"/>
          <w:lang w:val="en-GB"/>
        </w:rPr>
        <w:t>The first drafts of the reports to be prepared in this task will be presented in two one-day workshops (</w:t>
      </w:r>
      <w:proofErr w:type="gramStart"/>
      <w:r w:rsidRPr="00F31E38">
        <w:rPr>
          <w:rFonts w:ascii="Times New Roman" w:eastAsia="Times New Roman" w:hAnsi="Times New Roman" w:cs="Times New Roman"/>
          <w:sz w:val="24"/>
          <w:szCs w:val="24"/>
          <w:lang w:val="en-GB"/>
        </w:rPr>
        <w:t>i.e.</w:t>
      </w:r>
      <w:proofErr w:type="gramEnd"/>
      <w:r w:rsidRPr="00F31E38">
        <w:rPr>
          <w:rFonts w:ascii="Times New Roman" w:eastAsia="Times New Roman" w:hAnsi="Times New Roman" w:cs="Times New Roman"/>
          <w:sz w:val="24"/>
          <w:szCs w:val="24"/>
          <w:lang w:val="en-GB"/>
        </w:rPr>
        <w:t xml:space="preserve"> Workshop for Consultation of Proposed Market Maker Mechanism and Workshop for Consultation of Proposed Supplier of Last Report Mechanisms). The workshops will be held at EMRA’s premises in Ankara with the participation of at least 50 people for each workshop. To this end, the Consultant will make necessary arrangements to ensure participation of relevant stakeholders to the workshops, present the proposed mechanisms and initiate discussions to receive feedback of the participants. The workshops will focus on good practices </w:t>
      </w:r>
      <w:r w:rsidRPr="00F31E38">
        <w:rPr>
          <w:rFonts w:ascii="Times New Roman" w:eastAsia="Times New Roman" w:hAnsi="Times New Roman" w:cs="Times New Roman"/>
          <w:sz w:val="24"/>
          <w:szCs w:val="24"/>
          <w:lang w:val="en-GB"/>
        </w:rPr>
        <w:lastRenderedPageBreak/>
        <w:t>of adaptation of market maker and supplier of last resort mechanisms in Europe and/or the USA, preferably with the participation of the experts that have first-hand experience in the implementation and/or application of the said mechanisms. Presentations and consequent discussions will include comparisons of different models adopted for appointment and pricing of market makers and suppliers of last resort, with respect to their impact on the natural gas markets. The feedback received in during the workshops shall be considered in finalizing the reports to be prepared under this Task.</w:t>
      </w:r>
    </w:p>
    <w:p w14:paraId="30E2ACEC" w14:textId="77777777" w:rsidR="00F31E38" w:rsidRPr="00F31E38" w:rsidRDefault="00F31E38" w:rsidP="00F31E38">
      <w:pPr>
        <w:shd w:val="clear" w:color="auto" w:fill="FFFFFF"/>
        <w:spacing w:after="120" w:line="23" w:lineRule="atLeast"/>
        <w:jc w:val="both"/>
        <w:rPr>
          <w:rFonts w:ascii="Times New Roman" w:eastAsia="Times New Roman" w:hAnsi="Times New Roman" w:cs="Times New Roman"/>
          <w:sz w:val="24"/>
          <w:szCs w:val="24"/>
          <w:lang w:val="en-GB"/>
        </w:rPr>
      </w:pPr>
    </w:p>
    <w:p w14:paraId="0310AEB5" w14:textId="77777777" w:rsidR="00F31E38" w:rsidRPr="00F31E38" w:rsidRDefault="00F31E38" w:rsidP="00F31E38">
      <w:pPr>
        <w:shd w:val="clear" w:color="auto" w:fill="FFFFFF"/>
        <w:spacing w:after="120" w:line="23" w:lineRule="atLeast"/>
        <w:jc w:val="both"/>
        <w:rPr>
          <w:rFonts w:ascii="Times New Roman" w:eastAsia="Times New Roman" w:hAnsi="Times New Roman" w:cs="Times New Roman"/>
          <w:sz w:val="24"/>
          <w:szCs w:val="24"/>
          <w:lang w:val="en-GB"/>
        </w:rPr>
      </w:pPr>
      <w:r w:rsidRPr="00F31E38">
        <w:rPr>
          <w:rFonts w:ascii="Times New Roman" w:eastAsia="Times New Roman" w:hAnsi="Times New Roman" w:cs="Times New Roman"/>
          <w:sz w:val="24"/>
          <w:szCs w:val="24"/>
          <w:lang w:val="en-GB"/>
        </w:rPr>
        <w:t xml:space="preserve">The Consultant shall submit the results of the workshops by </w:t>
      </w:r>
      <w:r w:rsidRPr="00F31E38">
        <w:rPr>
          <w:rFonts w:ascii="Times New Roman" w:eastAsia="Times New Roman" w:hAnsi="Times New Roman" w:cs="Times New Roman"/>
          <w:b/>
          <w:bCs/>
          <w:i/>
          <w:iCs/>
          <w:sz w:val="24"/>
          <w:szCs w:val="24"/>
          <w:lang w:val="en-GB"/>
        </w:rPr>
        <w:t>D-6</w:t>
      </w:r>
      <w:r w:rsidRPr="00F31E38">
        <w:rPr>
          <w:rFonts w:ascii="Times New Roman" w:eastAsia="Times New Roman" w:hAnsi="Times New Roman" w:cs="Times New Roman"/>
          <w:sz w:val="24"/>
          <w:szCs w:val="24"/>
          <w:lang w:val="en-GB"/>
        </w:rPr>
        <w:t xml:space="preserve"> </w:t>
      </w:r>
      <w:r w:rsidRPr="00F31E38">
        <w:rPr>
          <w:rFonts w:ascii="Times New Roman" w:eastAsia="Times New Roman" w:hAnsi="Times New Roman" w:cs="Times New Roman"/>
          <w:b/>
          <w:i/>
          <w:sz w:val="24"/>
          <w:szCs w:val="24"/>
          <w:lang w:val="en-GB"/>
        </w:rPr>
        <w:t>WORKSHOP-1 REPORT: CONSULTATION OF PROPOSED MARKET MAKER MECHANISM and D-7 WORKSHOP-2 REPORT: CONSULTATION OF PROPOSED SUPPLIER OF LAST REPORT MECHANISM.</w:t>
      </w:r>
    </w:p>
    <w:p w14:paraId="320B087B" w14:textId="77777777" w:rsidR="00F31E38" w:rsidRPr="00F31E38" w:rsidRDefault="00F31E38" w:rsidP="00F31E38">
      <w:pPr>
        <w:shd w:val="clear" w:color="auto" w:fill="FFFFFF"/>
        <w:spacing w:after="120" w:line="23" w:lineRule="atLeast"/>
        <w:jc w:val="both"/>
        <w:rPr>
          <w:rFonts w:ascii="Times New Roman" w:eastAsia="Calibri" w:hAnsi="Times New Roman" w:cs="Times New Roman"/>
          <w:sz w:val="24"/>
          <w:szCs w:val="24"/>
          <w:lang w:val="en-GB"/>
        </w:rPr>
      </w:pPr>
      <w:r w:rsidRPr="00F31E38">
        <w:rPr>
          <w:rFonts w:ascii="Times New Roman" w:eastAsia="Times New Roman" w:hAnsi="Times New Roman" w:cs="Times New Roman"/>
          <w:sz w:val="24"/>
          <w:szCs w:val="24"/>
          <w:lang w:val="en-GB"/>
        </w:rPr>
        <w:t>Reports on drafting</w:t>
      </w:r>
      <w:r w:rsidRPr="00F31E38">
        <w:rPr>
          <w:rFonts w:ascii="Times New Roman" w:eastAsia="Calibri" w:hAnsi="Times New Roman" w:cs="Times New Roman"/>
          <w:sz w:val="24"/>
          <w:szCs w:val="24"/>
          <w:lang w:val="en-GB"/>
        </w:rPr>
        <w:t xml:space="preserve"> of </w:t>
      </w:r>
      <w:r w:rsidRPr="00F31E38">
        <w:rPr>
          <w:rFonts w:ascii="Times New Roman" w:eastAsia="Times New Roman" w:hAnsi="Times New Roman" w:cs="Times New Roman"/>
          <w:sz w:val="24"/>
          <w:szCs w:val="24"/>
          <w:lang w:val="en-GB"/>
        </w:rPr>
        <w:t>legislation aiming to increase competition and transparency in natural gas markets</w:t>
      </w:r>
      <w:r w:rsidRPr="00F31E38">
        <w:rPr>
          <w:rFonts w:ascii="Times New Roman" w:eastAsia="Calibri" w:hAnsi="Times New Roman" w:cs="Times New Roman"/>
          <w:sz w:val="24"/>
          <w:szCs w:val="24"/>
          <w:lang w:val="en-GB"/>
        </w:rPr>
        <w:t xml:space="preserve"> will include;</w:t>
      </w:r>
    </w:p>
    <w:p w14:paraId="6C512F66" w14:textId="77777777" w:rsidR="00F31E38" w:rsidRPr="00F31E38" w:rsidRDefault="00F31E38" w:rsidP="00F31E38">
      <w:pPr>
        <w:numPr>
          <w:ilvl w:val="0"/>
          <w:numId w:val="9"/>
        </w:numPr>
        <w:shd w:val="clear" w:color="auto" w:fill="FFFFFF"/>
        <w:spacing w:after="120" w:line="23" w:lineRule="atLeast"/>
        <w:jc w:val="both"/>
        <w:rPr>
          <w:rFonts w:ascii="Times New Roman" w:eastAsia="Times New Roman" w:hAnsi="Times New Roman" w:cs="Times New Roman"/>
          <w:sz w:val="24"/>
          <w:szCs w:val="24"/>
          <w:lang w:val="en-GB"/>
        </w:rPr>
      </w:pPr>
      <w:r w:rsidRPr="00F31E38">
        <w:rPr>
          <w:rFonts w:ascii="Times New Roman" w:eastAsia="Times New Roman" w:hAnsi="Times New Roman" w:cs="Times New Roman"/>
          <w:sz w:val="24"/>
          <w:szCs w:val="24"/>
          <w:lang w:val="en-GB"/>
        </w:rPr>
        <w:t>Impact assessment of analysing (and quantifying as much as possible) the effects of the proposed mechanisms on the natural gas market</w:t>
      </w:r>
    </w:p>
    <w:p w14:paraId="01944F4C" w14:textId="77777777" w:rsidR="00F31E38" w:rsidRPr="00F31E38" w:rsidRDefault="00F31E38" w:rsidP="00F31E38">
      <w:pPr>
        <w:numPr>
          <w:ilvl w:val="0"/>
          <w:numId w:val="9"/>
        </w:numPr>
        <w:shd w:val="clear" w:color="auto" w:fill="FFFFFF"/>
        <w:spacing w:after="120" w:line="23" w:lineRule="atLeast"/>
        <w:jc w:val="both"/>
        <w:rPr>
          <w:rFonts w:ascii="Times New Roman" w:eastAsia="Times New Roman" w:hAnsi="Times New Roman" w:cs="Times New Roman"/>
          <w:sz w:val="24"/>
          <w:szCs w:val="24"/>
          <w:lang w:val="en-GB"/>
        </w:rPr>
      </w:pPr>
      <w:r w:rsidRPr="00F31E38">
        <w:rPr>
          <w:rFonts w:ascii="Times New Roman" w:eastAsia="Times New Roman" w:hAnsi="Times New Roman" w:cs="Times New Roman"/>
          <w:sz w:val="24"/>
          <w:szCs w:val="24"/>
          <w:lang w:val="en-GB"/>
        </w:rPr>
        <w:t>The areas that shall be elaborated in the NGML in order to define the roles and responsibilities of marker maker and supplier of last resort in order to provide a better ground for the secondary legislation.</w:t>
      </w:r>
    </w:p>
    <w:p w14:paraId="31B2D82C" w14:textId="77777777" w:rsidR="00F31E38" w:rsidRPr="00F31E38" w:rsidRDefault="00F31E38" w:rsidP="00F31E38">
      <w:pPr>
        <w:numPr>
          <w:ilvl w:val="0"/>
          <w:numId w:val="9"/>
        </w:numPr>
        <w:shd w:val="clear" w:color="auto" w:fill="FFFFFF"/>
        <w:spacing w:after="120" w:line="23" w:lineRule="atLeast"/>
        <w:jc w:val="both"/>
        <w:rPr>
          <w:rFonts w:ascii="Times New Roman" w:eastAsia="Times New Roman" w:hAnsi="Times New Roman" w:cs="Times New Roman"/>
          <w:sz w:val="24"/>
          <w:szCs w:val="24"/>
          <w:lang w:val="en-GB"/>
        </w:rPr>
      </w:pPr>
      <w:r w:rsidRPr="00F31E38">
        <w:rPr>
          <w:rFonts w:ascii="Times New Roman" w:eastAsia="Times New Roman" w:hAnsi="Times New Roman" w:cs="Times New Roman"/>
          <w:sz w:val="24"/>
          <w:szCs w:val="24"/>
          <w:lang w:val="en-GB"/>
        </w:rPr>
        <w:t>The areas that shall be enhanced in the legislation in force to ensure full compliance with REMIT, EMIR and other relevant legislation with respect to implementation of the aforementioned mechanisms as well as the OTC markets, physical forward markets and non-standardized long-term trade.</w:t>
      </w:r>
    </w:p>
    <w:p w14:paraId="351BE75A" w14:textId="77777777" w:rsidR="00F31E38" w:rsidRPr="00F31E38" w:rsidRDefault="00F31E38" w:rsidP="00F31E38">
      <w:pPr>
        <w:numPr>
          <w:ilvl w:val="0"/>
          <w:numId w:val="9"/>
        </w:numPr>
        <w:shd w:val="clear" w:color="auto" w:fill="FFFFFF"/>
        <w:spacing w:after="120" w:line="23" w:lineRule="atLeast"/>
        <w:jc w:val="both"/>
        <w:rPr>
          <w:rFonts w:ascii="Times New Roman" w:eastAsia="Times New Roman" w:hAnsi="Times New Roman" w:cs="Times New Roman"/>
          <w:sz w:val="24"/>
          <w:szCs w:val="24"/>
          <w:lang w:val="en-GB"/>
        </w:rPr>
      </w:pPr>
      <w:r w:rsidRPr="00F31E38">
        <w:rPr>
          <w:rFonts w:ascii="Times New Roman" w:eastAsia="Times New Roman" w:hAnsi="Times New Roman" w:cs="Times New Roman"/>
          <w:sz w:val="24"/>
          <w:szCs w:val="24"/>
          <w:lang w:val="en-GB"/>
        </w:rPr>
        <w:t xml:space="preserve">The articles that shall be incorporated into the by-laws and regulations in force such as By-law on Transmission, the Network Code and the Market Operation Code. A detailed roadmap on the preparation of the legislation on the aforementioned subjects that will be put into force as separate by-laws or regulations in accordance with the legislation in force </w:t>
      </w:r>
    </w:p>
    <w:p w14:paraId="0A874519" w14:textId="77777777" w:rsidR="00F31E38" w:rsidRPr="00F31E38" w:rsidRDefault="00F31E38" w:rsidP="00F31E38">
      <w:pPr>
        <w:spacing w:after="0" w:line="23" w:lineRule="atLeast"/>
        <w:jc w:val="both"/>
        <w:rPr>
          <w:rFonts w:ascii="Times New Roman" w:eastAsia="Times New Roman" w:hAnsi="Times New Roman" w:cs="Times New Roman"/>
          <w:sz w:val="24"/>
          <w:szCs w:val="24"/>
          <w:lang w:val="en-GB"/>
        </w:rPr>
      </w:pPr>
    </w:p>
    <w:p w14:paraId="0272804D" w14:textId="77777777" w:rsidR="00F31E38" w:rsidRPr="00F31E38" w:rsidRDefault="00F31E38" w:rsidP="00F31E38">
      <w:pPr>
        <w:shd w:val="clear" w:color="auto" w:fill="FFFFFF"/>
        <w:spacing w:after="120" w:line="23" w:lineRule="atLeast"/>
        <w:jc w:val="both"/>
        <w:rPr>
          <w:rFonts w:ascii="Times New Roman" w:eastAsia="Times New Roman" w:hAnsi="Times New Roman" w:cs="Times New Roman"/>
          <w:sz w:val="24"/>
          <w:szCs w:val="24"/>
          <w:lang w:val="en-GB"/>
        </w:rPr>
      </w:pPr>
      <w:r w:rsidRPr="00F31E38">
        <w:rPr>
          <w:rFonts w:ascii="Times New Roman" w:eastAsia="Times New Roman" w:hAnsi="Times New Roman" w:cs="Times New Roman"/>
          <w:i/>
          <w:sz w:val="24"/>
          <w:szCs w:val="24"/>
          <w:lang w:val="en-GB"/>
        </w:rPr>
        <w:t xml:space="preserve">The results of the studies shall be presented in the </w:t>
      </w:r>
      <w:r w:rsidRPr="00F31E38">
        <w:rPr>
          <w:rFonts w:ascii="Times New Roman" w:eastAsia="Times New Roman" w:hAnsi="Times New Roman" w:cs="Times New Roman"/>
          <w:b/>
          <w:bCs/>
          <w:i/>
          <w:sz w:val="24"/>
          <w:szCs w:val="24"/>
          <w:lang w:val="en-GB"/>
        </w:rPr>
        <w:t>D-8</w:t>
      </w:r>
      <w:r w:rsidRPr="00F31E38">
        <w:rPr>
          <w:rFonts w:ascii="Times New Roman" w:eastAsia="Times New Roman" w:hAnsi="Times New Roman" w:cs="Times New Roman"/>
          <w:i/>
          <w:sz w:val="24"/>
          <w:szCs w:val="24"/>
          <w:lang w:val="en-GB"/>
        </w:rPr>
        <w:t xml:space="preserve"> </w:t>
      </w:r>
      <w:r w:rsidRPr="00F31E38">
        <w:rPr>
          <w:rFonts w:ascii="Times New Roman" w:eastAsia="Times New Roman" w:hAnsi="Times New Roman" w:cs="Times New Roman"/>
          <w:b/>
          <w:i/>
          <w:sz w:val="24"/>
          <w:szCs w:val="24"/>
          <w:lang w:val="en-GB"/>
        </w:rPr>
        <w:t xml:space="preserve">REPORT ON DRAFTING OF LEGISLATION ON MARKET MAKER MECHANISM and D-9 REPORT ON DRAFTING OF LEGISLATION SUPPLIER OF LAST RESORT MECHANISM. </w:t>
      </w:r>
    </w:p>
    <w:p w14:paraId="7DB0CC3E" w14:textId="77777777" w:rsidR="00F31E38" w:rsidRPr="00F31E38" w:rsidRDefault="00F31E38" w:rsidP="00F31E38">
      <w:pPr>
        <w:spacing w:after="0" w:line="23" w:lineRule="atLeast"/>
        <w:jc w:val="both"/>
        <w:rPr>
          <w:rFonts w:ascii="Times New Roman" w:eastAsia="Times New Roman" w:hAnsi="Times New Roman" w:cs="Times New Roman"/>
          <w:b/>
          <w:i/>
          <w:sz w:val="24"/>
          <w:szCs w:val="24"/>
          <w:lang w:val="en-GB"/>
        </w:rPr>
      </w:pPr>
    </w:p>
    <w:p w14:paraId="02986CEA" w14:textId="77777777" w:rsidR="00F31E38" w:rsidRPr="00F31E38" w:rsidRDefault="00F31E38" w:rsidP="00F31E38">
      <w:pPr>
        <w:keepNext/>
        <w:keepLines/>
        <w:numPr>
          <w:ilvl w:val="0"/>
          <w:numId w:val="15"/>
        </w:numPr>
        <w:spacing w:before="240" w:after="240" w:line="23" w:lineRule="atLeast"/>
        <w:jc w:val="both"/>
        <w:outlineLvl w:val="0"/>
        <w:rPr>
          <w:rFonts w:ascii="Times New Roman" w:eastAsia="Times New Roman" w:hAnsi="Times New Roman" w:cs="Times New Roman"/>
          <w:b/>
          <w:sz w:val="24"/>
          <w:szCs w:val="24"/>
          <w:lang w:val="en-GB"/>
        </w:rPr>
      </w:pPr>
      <w:bookmarkStart w:id="11" w:name="_Toc476332819"/>
      <w:bookmarkStart w:id="12" w:name="_Toc476332685"/>
      <w:r w:rsidRPr="00F31E38">
        <w:rPr>
          <w:rFonts w:ascii="Times New Roman" w:eastAsia="Times New Roman" w:hAnsi="Times New Roman" w:cs="Times New Roman"/>
          <w:b/>
          <w:sz w:val="24"/>
          <w:szCs w:val="24"/>
          <w:lang w:val="en-GB"/>
        </w:rPr>
        <w:t>DELIVERABLES</w:t>
      </w:r>
      <w:bookmarkEnd w:id="11"/>
      <w:bookmarkEnd w:id="12"/>
    </w:p>
    <w:p w14:paraId="2C96FBB1" w14:textId="77777777" w:rsidR="00F31E38" w:rsidRPr="00F31E38" w:rsidRDefault="00F31E38" w:rsidP="00F31E38">
      <w:pPr>
        <w:tabs>
          <w:tab w:val="num" w:pos="500"/>
        </w:tabs>
        <w:spacing w:before="120" w:after="120" w:line="240" w:lineRule="auto"/>
        <w:jc w:val="both"/>
        <w:rPr>
          <w:rFonts w:ascii="Times New Roman" w:eastAsia="Times New Roman" w:hAnsi="Times New Roman" w:cs="Times New Roman"/>
          <w:b/>
          <w:bCs/>
          <w:sz w:val="24"/>
          <w:szCs w:val="24"/>
          <w:lang w:val="en-GB"/>
        </w:rPr>
      </w:pPr>
      <w:bookmarkStart w:id="13" w:name="_Toc503879890"/>
      <w:bookmarkStart w:id="14" w:name="_Ref20656720"/>
      <w:bookmarkStart w:id="15" w:name="_Ref20555417"/>
      <w:r w:rsidRPr="00F31E38">
        <w:rPr>
          <w:rFonts w:ascii="Times New Roman" w:eastAsia="Times New Roman" w:hAnsi="Times New Roman" w:cs="Times New Roman"/>
          <w:b/>
          <w:bCs/>
          <w:sz w:val="24"/>
          <w:szCs w:val="24"/>
          <w:lang w:val="en-GB"/>
        </w:rPr>
        <w:t>5.1. Reporting requirements</w:t>
      </w:r>
      <w:bookmarkEnd w:id="13"/>
      <w:bookmarkEnd w:id="14"/>
      <w:bookmarkEnd w:id="15"/>
      <w:r w:rsidRPr="00F31E38">
        <w:rPr>
          <w:rFonts w:ascii="Times New Roman" w:eastAsia="Times New Roman" w:hAnsi="Times New Roman" w:cs="Times New Roman"/>
          <w:b/>
          <w:bCs/>
          <w:sz w:val="24"/>
          <w:szCs w:val="24"/>
          <w:lang w:val="en-GB"/>
        </w:rPr>
        <w:t xml:space="preserve"> and Timing</w:t>
      </w:r>
    </w:p>
    <w:p w14:paraId="37426F00" w14:textId="77777777" w:rsidR="00F31E38" w:rsidRPr="00F31E38" w:rsidRDefault="00F31E38" w:rsidP="00F31E38">
      <w:pPr>
        <w:spacing w:before="120" w:after="120" w:line="240" w:lineRule="auto"/>
        <w:jc w:val="both"/>
        <w:rPr>
          <w:rFonts w:ascii="Times New Roman" w:eastAsia="Times New Roman" w:hAnsi="Times New Roman" w:cs="Times New Roman"/>
          <w:sz w:val="24"/>
          <w:szCs w:val="24"/>
          <w:lang w:val="en-GB"/>
        </w:rPr>
      </w:pPr>
      <w:r w:rsidRPr="00F31E38">
        <w:rPr>
          <w:rFonts w:ascii="Times New Roman" w:eastAsia="Times New Roman" w:hAnsi="Times New Roman" w:cs="Times New Roman"/>
          <w:sz w:val="24"/>
          <w:szCs w:val="24"/>
          <w:lang w:val="en-GB"/>
        </w:rPr>
        <w:t>The Consultant will submit the following reports in English and Turkish in the format described below:</w:t>
      </w:r>
    </w:p>
    <w:p w14:paraId="0AA9183D" w14:textId="77777777" w:rsidR="00F31E38" w:rsidRPr="00F31E38" w:rsidRDefault="00F31E38" w:rsidP="00F31E38">
      <w:pPr>
        <w:spacing w:before="120" w:after="120" w:line="240" w:lineRule="auto"/>
        <w:jc w:val="both"/>
        <w:rPr>
          <w:rFonts w:ascii="Times New Roman" w:eastAsia="Times New Roman" w:hAnsi="Times New Roman" w:cs="Times New Roman"/>
          <w:sz w:val="24"/>
          <w:szCs w:val="24"/>
          <w:lang w:val="en-GB"/>
        </w:rPr>
      </w:pPr>
      <w:r w:rsidRPr="00F31E38">
        <w:rPr>
          <w:rFonts w:ascii="Times New Roman" w:eastAsia="Times New Roman" w:hAnsi="Times New Roman" w:cs="Times New Roman"/>
          <w:b/>
          <w:bCs/>
          <w:sz w:val="24"/>
          <w:szCs w:val="24"/>
          <w:lang w:val="en-GB"/>
        </w:rPr>
        <w:t>D-1 Inception Report</w:t>
      </w:r>
      <w:r w:rsidRPr="00F31E38">
        <w:rPr>
          <w:rFonts w:ascii="Times New Roman" w:eastAsia="Times New Roman" w:hAnsi="Times New Roman" w:cs="Times New Roman"/>
          <w:sz w:val="24"/>
          <w:szCs w:val="24"/>
          <w:lang w:val="en-GB"/>
        </w:rPr>
        <w:t xml:space="preserve"> to be produced after one month from the start of implementation. In the report the Consultant shall describe </w:t>
      </w:r>
      <w:proofErr w:type="gramStart"/>
      <w:r w:rsidRPr="00F31E38">
        <w:rPr>
          <w:rFonts w:ascii="Times New Roman" w:eastAsia="Times New Roman" w:hAnsi="Times New Roman" w:cs="Times New Roman"/>
          <w:sz w:val="24"/>
          <w:szCs w:val="24"/>
          <w:lang w:val="en-GB"/>
        </w:rPr>
        <w:t>e.g.</w:t>
      </w:r>
      <w:proofErr w:type="gramEnd"/>
      <w:r w:rsidRPr="00F31E38">
        <w:rPr>
          <w:rFonts w:ascii="Times New Roman" w:eastAsia="Times New Roman" w:hAnsi="Times New Roman" w:cs="Times New Roman"/>
          <w:sz w:val="24"/>
          <w:szCs w:val="24"/>
          <w:lang w:val="en-GB"/>
        </w:rPr>
        <w:t xml:space="preserve"> initial findings, progress in collecting data, any difficulties encountered or expected in addition to the work programme and staff travel. The Consultant should proceed with their work unless the MENR and EMRA send comments on the inception report. </w:t>
      </w:r>
    </w:p>
    <w:p w14:paraId="14138958" w14:textId="77777777" w:rsidR="00F31E38" w:rsidRPr="00F31E38" w:rsidRDefault="00F31E38" w:rsidP="00F31E38">
      <w:pPr>
        <w:spacing w:before="120" w:after="120" w:line="240" w:lineRule="auto"/>
        <w:jc w:val="both"/>
        <w:rPr>
          <w:rFonts w:ascii="Times New Roman" w:eastAsia="Times New Roman" w:hAnsi="Times New Roman" w:cs="Times New Roman"/>
          <w:sz w:val="24"/>
          <w:szCs w:val="24"/>
          <w:lang w:val="en-GB"/>
        </w:rPr>
      </w:pPr>
      <w:r w:rsidRPr="00F31E38">
        <w:rPr>
          <w:rFonts w:ascii="Times New Roman" w:eastAsia="Times New Roman" w:hAnsi="Times New Roman" w:cs="Times New Roman"/>
          <w:b/>
          <w:bCs/>
          <w:sz w:val="24"/>
          <w:szCs w:val="24"/>
          <w:lang w:val="en-GB"/>
        </w:rPr>
        <w:lastRenderedPageBreak/>
        <w:t xml:space="preserve">Interim Progress Reports </w:t>
      </w:r>
      <w:r w:rsidRPr="00F31E38">
        <w:rPr>
          <w:rFonts w:ascii="Times New Roman" w:eastAsia="Times New Roman" w:hAnsi="Times New Roman" w:cs="Times New Roman"/>
          <w:sz w:val="24"/>
          <w:szCs w:val="24"/>
          <w:lang w:val="en-GB"/>
        </w:rPr>
        <w:t>to be delivered quarterly</w:t>
      </w:r>
      <w:r w:rsidRPr="00F31E38">
        <w:rPr>
          <w:rFonts w:ascii="Times New Roman" w:eastAsia="Times New Roman" w:hAnsi="Times New Roman" w:cs="Times New Roman"/>
          <w:b/>
          <w:bCs/>
          <w:sz w:val="24"/>
          <w:szCs w:val="24"/>
          <w:lang w:val="en-GB"/>
        </w:rPr>
        <w:t xml:space="preserve"> </w:t>
      </w:r>
      <w:r w:rsidRPr="00F31E38">
        <w:rPr>
          <w:rFonts w:ascii="Times New Roman" w:eastAsia="Times New Roman" w:hAnsi="Times New Roman" w:cs="Times New Roman"/>
          <w:sz w:val="24"/>
          <w:szCs w:val="24"/>
          <w:lang w:val="en-GB"/>
        </w:rPr>
        <w:t>describing progress of the work, difficulties encountered, observed factors influencing the assumptions, and documentation that specific results and objectives have been reached.</w:t>
      </w:r>
    </w:p>
    <w:p w14:paraId="4C88BCC0" w14:textId="77777777" w:rsidR="00F31E38" w:rsidRPr="00F31E38" w:rsidRDefault="00F31E38" w:rsidP="00F31E38">
      <w:pPr>
        <w:spacing w:before="120" w:after="120" w:line="240" w:lineRule="auto"/>
        <w:jc w:val="both"/>
        <w:rPr>
          <w:rFonts w:ascii="Times New Roman" w:eastAsia="Times New Roman" w:hAnsi="Times New Roman" w:cs="Times New Roman"/>
          <w:b/>
          <w:bCs/>
          <w:sz w:val="24"/>
          <w:szCs w:val="24"/>
          <w:lang w:val="en-GB"/>
        </w:rPr>
      </w:pPr>
    </w:p>
    <w:p w14:paraId="34BDEC0A" w14:textId="77777777" w:rsidR="00F31E38" w:rsidRPr="00F31E38" w:rsidRDefault="00F31E38" w:rsidP="00F31E38">
      <w:pPr>
        <w:spacing w:before="120" w:after="120" w:line="240" w:lineRule="auto"/>
        <w:jc w:val="both"/>
        <w:rPr>
          <w:rFonts w:ascii="Times New Roman" w:eastAsia="Times New Roman" w:hAnsi="Times New Roman" w:cs="Times New Roman"/>
          <w:sz w:val="24"/>
          <w:szCs w:val="24"/>
          <w:lang w:val="en-GB"/>
        </w:rPr>
      </w:pPr>
      <w:r w:rsidRPr="00F31E38">
        <w:rPr>
          <w:rFonts w:ascii="Times New Roman" w:eastAsia="Times New Roman" w:hAnsi="Times New Roman" w:cs="Times New Roman"/>
          <w:b/>
          <w:bCs/>
          <w:sz w:val="24"/>
          <w:szCs w:val="24"/>
          <w:lang w:val="en-GB"/>
        </w:rPr>
        <w:t xml:space="preserve">D-10 Draft final report </w:t>
      </w:r>
      <w:r w:rsidRPr="00F31E38">
        <w:rPr>
          <w:rFonts w:ascii="Times New Roman" w:eastAsia="Times New Roman" w:hAnsi="Times New Roman" w:cs="Times New Roman"/>
          <w:sz w:val="24"/>
          <w:szCs w:val="24"/>
          <w:lang w:val="en-GB"/>
        </w:rPr>
        <w:t>shall be submitted no later than one month before the end of the period of implementation of tasks.</w:t>
      </w:r>
      <w:r w:rsidRPr="00F31E38">
        <w:rPr>
          <w:rFonts w:ascii="Times New Roman" w:eastAsia="Times New Roman" w:hAnsi="Times New Roman" w:cs="Times New Roman"/>
          <w:b/>
          <w:bCs/>
          <w:sz w:val="24"/>
          <w:szCs w:val="24"/>
          <w:lang w:val="en-GB"/>
        </w:rPr>
        <w:t xml:space="preserve"> Final report </w:t>
      </w:r>
      <w:r w:rsidRPr="00F31E38">
        <w:rPr>
          <w:rFonts w:ascii="Times New Roman" w:eastAsia="Times New Roman" w:hAnsi="Times New Roman" w:cs="Times New Roman"/>
          <w:sz w:val="24"/>
          <w:szCs w:val="24"/>
          <w:lang w:val="en-GB"/>
        </w:rPr>
        <w:t xml:space="preserve">shall incorporate any comments received from the parties on the draft report. The deadline for sending the final report is 10 days after receipt of comments on the draft final report. The report shall contain a sufficiently detailed description of the different options to support an informed decision on implementation of the market maker and supplier of last resort mechanisms. The detailed analyses underpinning the recommendations will be presented in annexes to the main report. The final report must be provided along with the corresponding invoice. </w:t>
      </w:r>
    </w:p>
    <w:p w14:paraId="751510C0" w14:textId="77777777" w:rsidR="00F31E38" w:rsidRPr="00F31E38" w:rsidRDefault="00F31E38" w:rsidP="00F31E38">
      <w:pPr>
        <w:spacing w:before="120" w:after="120" w:line="240" w:lineRule="auto"/>
        <w:jc w:val="both"/>
        <w:rPr>
          <w:rFonts w:ascii="Times New Roman" w:eastAsia="Times New Roman" w:hAnsi="Times New Roman" w:cs="Times New Roman"/>
          <w:b/>
          <w:sz w:val="24"/>
          <w:szCs w:val="24"/>
          <w:lang w:val="en-GB"/>
        </w:rPr>
      </w:pPr>
    </w:p>
    <w:p w14:paraId="44307CC7" w14:textId="77777777" w:rsidR="00F31E38" w:rsidRPr="00F31E38" w:rsidRDefault="00F31E38" w:rsidP="00F31E38">
      <w:pPr>
        <w:spacing w:before="120" w:after="120" w:line="240" w:lineRule="auto"/>
        <w:jc w:val="both"/>
        <w:rPr>
          <w:rFonts w:ascii="Times New Roman" w:eastAsia="Times New Roman" w:hAnsi="Times New Roman" w:cs="Times New Roman"/>
          <w:b/>
          <w:sz w:val="24"/>
          <w:szCs w:val="24"/>
          <w:lang w:val="en-GB"/>
        </w:rPr>
      </w:pPr>
      <w:r w:rsidRPr="00F31E38">
        <w:rPr>
          <w:rFonts w:ascii="Times New Roman" w:eastAsia="Times New Roman" w:hAnsi="Times New Roman" w:cs="Times New Roman"/>
          <w:b/>
          <w:sz w:val="24"/>
          <w:szCs w:val="24"/>
          <w:lang w:val="en-GB"/>
        </w:rPr>
        <w:t xml:space="preserve">The total duration of consulting services will be 14 months. </w:t>
      </w:r>
      <w:r w:rsidRPr="00F31E38">
        <w:rPr>
          <w:rFonts w:ascii="Times New Roman" w:eastAsia="Times New Roman" w:hAnsi="Times New Roman" w:cs="Times New Roman"/>
          <w:bCs/>
          <w:sz w:val="24"/>
          <w:szCs w:val="24"/>
          <w:lang w:val="en-GB"/>
        </w:rPr>
        <w:t>The submission/implementation dates for activities and deliverables are as below:</w:t>
      </w:r>
      <w:r w:rsidRPr="00F31E38">
        <w:rPr>
          <w:rFonts w:ascii="Times New Roman" w:eastAsia="Times New Roman" w:hAnsi="Times New Roman" w:cs="Times New Roman"/>
          <w:b/>
          <w:sz w:val="24"/>
          <w:szCs w:val="24"/>
          <w:lang w:val="en-GB"/>
        </w:rPr>
        <w:t xml:space="preserve"> </w:t>
      </w:r>
    </w:p>
    <w:tbl>
      <w:tblPr>
        <w:tblW w:w="734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60"/>
        <w:gridCol w:w="4284"/>
      </w:tblGrid>
      <w:tr w:rsidR="00F31E38" w:rsidRPr="00F31E38" w14:paraId="427FEF21" w14:textId="77777777" w:rsidTr="007A403D">
        <w:trPr>
          <w:trHeight w:val="283"/>
        </w:trPr>
        <w:tc>
          <w:tcPr>
            <w:tcW w:w="3060" w:type="dxa"/>
            <w:shd w:val="clear" w:color="auto" w:fill="D9D9D9"/>
            <w:vAlign w:val="center"/>
            <w:hideMark/>
          </w:tcPr>
          <w:p w14:paraId="132FAED8" w14:textId="77777777" w:rsidR="00F31E38" w:rsidRPr="00F31E38" w:rsidRDefault="00F31E38" w:rsidP="00F31E38">
            <w:pPr>
              <w:widowControl w:val="0"/>
              <w:tabs>
                <w:tab w:val="left" w:pos="284"/>
              </w:tabs>
              <w:autoSpaceDE w:val="0"/>
              <w:spacing w:before="60" w:after="60" w:line="23" w:lineRule="atLeast"/>
              <w:jc w:val="both"/>
              <w:rPr>
                <w:rFonts w:ascii="Times New Roman" w:eastAsia="Times New Roman" w:hAnsi="Times New Roman" w:cs="Times New Roman"/>
                <w:b/>
                <w:sz w:val="24"/>
                <w:szCs w:val="24"/>
                <w:lang w:val="en-GB" w:eastAsia="tr-TR"/>
              </w:rPr>
            </w:pPr>
            <w:r w:rsidRPr="00F31E38">
              <w:rPr>
                <w:rFonts w:ascii="Times New Roman" w:eastAsia="Times New Roman" w:hAnsi="Times New Roman" w:cs="Times New Roman"/>
                <w:b/>
                <w:sz w:val="24"/>
                <w:szCs w:val="24"/>
                <w:lang w:val="en-GB" w:eastAsia="tr-TR"/>
              </w:rPr>
              <w:t>Output</w:t>
            </w:r>
          </w:p>
        </w:tc>
        <w:tc>
          <w:tcPr>
            <w:tcW w:w="4284" w:type="dxa"/>
            <w:shd w:val="clear" w:color="auto" w:fill="D9D9D9"/>
            <w:vAlign w:val="center"/>
            <w:hideMark/>
          </w:tcPr>
          <w:p w14:paraId="27535210" w14:textId="77777777" w:rsidR="00F31E38" w:rsidRPr="00F31E38" w:rsidRDefault="00F31E38" w:rsidP="00F31E38">
            <w:pPr>
              <w:widowControl w:val="0"/>
              <w:tabs>
                <w:tab w:val="left" w:pos="284"/>
              </w:tabs>
              <w:autoSpaceDE w:val="0"/>
              <w:spacing w:before="60" w:after="60" w:line="23" w:lineRule="atLeast"/>
              <w:jc w:val="both"/>
              <w:rPr>
                <w:rFonts w:ascii="Times New Roman" w:eastAsia="Times New Roman" w:hAnsi="Times New Roman" w:cs="Times New Roman"/>
                <w:b/>
                <w:sz w:val="24"/>
                <w:szCs w:val="24"/>
                <w:lang w:val="en-GB" w:eastAsia="tr-TR"/>
              </w:rPr>
            </w:pPr>
            <w:r w:rsidRPr="00F31E38">
              <w:rPr>
                <w:rFonts w:ascii="Times New Roman" w:eastAsia="Times New Roman" w:hAnsi="Times New Roman" w:cs="Times New Roman"/>
                <w:b/>
                <w:sz w:val="24"/>
                <w:szCs w:val="24"/>
                <w:lang w:val="en-GB" w:eastAsia="tr-TR"/>
              </w:rPr>
              <w:t>Frequency</w:t>
            </w:r>
          </w:p>
        </w:tc>
      </w:tr>
      <w:tr w:rsidR="00F31E38" w:rsidRPr="00F31E38" w14:paraId="6355FC15" w14:textId="77777777" w:rsidTr="007A403D">
        <w:trPr>
          <w:trHeight w:val="460"/>
        </w:trPr>
        <w:tc>
          <w:tcPr>
            <w:tcW w:w="3060" w:type="dxa"/>
            <w:hideMark/>
          </w:tcPr>
          <w:p w14:paraId="41058B1F" w14:textId="77777777" w:rsidR="00F31E38" w:rsidRPr="00F31E38" w:rsidRDefault="00F31E38" w:rsidP="00F31E38">
            <w:pPr>
              <w:widowControl w:val="0"/>
              <w:tabs>
                <w:tab w:val="left" w:pos="284"/>
              </w:tabs>
              <w:autoSpaceDE w:val="0"/>
              <w:spacing w:before="40" w:after="40" w:line="23" w:lineRule="atLeast"/>
              <w:jc w:val="both"/>
              <w:rPr>
                <w:rFonts w:ascii="Times New Roman" w:eastAsia="Times New Roman" w:hAnsi="Times New Roman" w:cs="Times New Roman"/>
                <w:sz w:val="24"/>
                <w:szCs w:val="24"/>
                <w:lang w:val="en-GB" w:eastAsia="tr-TR"/>
              </w:rPr>
            </w:pPr>
            <w:r w:rsidRPr="00F31E38">
              <w:rPr>
                <w:rFonts w:ascii="Times New Roman" w:eastAsia="Times New Roman" w:hAnsi="Times New Roman" w:cs="Times New Roman"/>
                <w:sz w:val="24"/>
                <w:szCs w:val="24"/>
                <w:lang w:val="en-GB" w:eastAsia="tr-TR"/>
              </w:rPr>
              <w:t>Inception Report (D-1)</w:t>
            </w:r>
          </w:p>
        </w:tc>
        <w:tc>
          <w:tcPr>
            <w:tcW w:w="4284" w:type="dxa"/>
            <w:hideMark/>
          </w:tcPr>
          <w:p w14:paraId="0CB6FEB4" w14:textId="77777777" w:rsidR="00F31E38" w:rsidRPr="00F31E38" w:rsidRDefault="00F31E38" w:rsidP="00F31E38">
            <w:pPr>
              <w:widowControl w:val="0"/>
              <w:tabs>
                <w:tab w:val="left" w:pos="284"/>
              </w:tabs>
              <w:autoSpaceDE w:val="0"/>
              <w:spacing w:before="40" w:after="40" w:line="23" w:lineRule="atLeast"/>
              <w:jc w:val="both"/>
              <w:rPr>
                <w:rFonts w:ascii="Times New Roman" w:eastAsia="Times New Roman" w:hAnsi="Times New Roman" w:cs="Times New Roman"/>
                <w:sz w:val="24"/>
                <w:szCs w:val="24"/>
                <w:lang w:val="en-GB" w:eastAsia="tr-TR"/>
              </w:rPr>
            </w:pPr>
            <w:r w:rsidRPr="00F31E38">
              <w:rPr>
                <w:rFonts w:ascii="Times New Roman" w:eastAsia="Times New Roman" w:hAnsi="Times New Roman" w:cs="Times New Roman"/>
                <w:sz w:val="24"/>
                <w:szCs w:val="24"/>
                <w:lang w:val="en-GB" w:eastAsia="tr-TR"/>
              </w:rPr>
              <w:t xml:space="preserve">Within 4 weeks </w:t>
            </w:r>
            <w:r w:rsidRPr="00F31E38">
              <w:rPr>
                <w:rFonts w:ascii="Times New Roman" w:eastAsia="Times New Roman" w:hAnsi="Times New Roman" w:cs="Times New Roman"/>
                <w:sz w:val="24"/>
                <w:szCs w:val="24"/>
                <w:lang w:val="en-GB"/>
              </w:rPr>
              <w:t>following the start of the implementation of the contract</w:t>
            </w:r>
          </w:p>
        </w:tc>
      </w:tr>
      <w:tr w:rsidR="00F31E38" w:rsidRPr="00F31E38" w14:paraId="173CF2E1" w14:textId="77777777" w:rsidTr="007A403D">
        <w:trPr>
          <w:trHeight w:val="460"/>
        </w:trPr>
        <w:tc>
          <w:tcPr>
            <w:tcW w:w="3060" w:type="dxa"/>
            <w:hideMark/>
          </w:tcPr>
          <w:p w14:paraId="74B49069" w14:textId="77777777" w:rsidR="00F31E38" w:rsidRPr="00F31E38" w:rsidRDefault="00F31E38" w:rsidP="00F31E38">
            <w:pPr>
              <w:widowControl w:val="0"/>
              <w:tabs>
                <w:tab w:val="left" w:pos="284"/>
              </w:tabs>
              <w:autoSpaceDE w:val="0"/>
              <w:spacing w:before="40" w:after="40" w:line="23" w:lineRule="atLeast"/>
              <w:jc w:val="both"/>
              <w:rPr>
                <w:rFonts w:ascii="Times New Roman" w:eastAsia="Times New Roman" w:hAnsi="Times New Roman" w:cs="Times New Roman"/>
                <w:sz w:val="24"/>
                <w:szCs w:val="24"/>
                <w:lang w:val="en-GB" w:eastAsia="tr-TR"/>
              </w:rPr>
            </w:pPr>
            <w:r w:rsidRPr="00F31E38">
              <w:rPr>
                <w:rFonts w:ascii="Times New Roman" w:eastAsia="Times New Roman" w:hAnsi="Times New Roman" w:cs="Times New Roman"/>
                <w:sz w:val="24"/>
                <w:szCs w:val="24"/>
                <w:lang w:val="en-GB" w:eastAsia="tr-TR"/>
              </w:rPr>
              <w:t>Interim Progress Reports</w:t>
            </w:r>
          </w:p>
        </w:tc>
        <w:tc>
          <w:tcPr>
            <w:tcW w:w="4284" w:type="dxa"/>
            <w:hideMark/>
          </w:tcPr>
          <w:p w14:paraId="4E1503BB" w14:textId="77777777" w:rsidR="00F31E38" w:rsidRPr="00F31E38" w:rsidRDefault="00F31E38" w:rsidP="00F31E38">
            <w:pPr>
              <w:widowControl w:val="0"/>
              <w:tabs>
                <w:tab w:val="left" w:pos="284"/>
              </w:tabs>
              <w:autoSpaceDE w:val="0"/>
              <w:spacing w:before="40" w:after="40" w:line="23" w:lineRule="atLeast"/>
              <w:jc w:val="both"/>
              <w:rPr>
                <w:rFonts w:ascii="Times New Roman" w:eastAsia="Times New Roman" w:hAnsi="Times New Roman" w:cs="Times New Roman"/>
                <w:sz w:val="24"/>
                <w:szCs w:val="24"/>
                <w:lang w:val="en-GB" w:eastAsia="tr-TR"/>
              </w:rPr>
            </w:pPr>
            <w:r w:rsidRPr="00F31E38">
              <w:rPr>
                <w:rFonts w:ascii="Times New Roman" w:eastAsia="Times New Roman" w:hAnsi="Times New Roman" w:cs="Times New Roman"/>
                <w:sz w:val="24"/>
                <w:szCs w:val="24"/>
                <w:lang w:val="en-GB"/>
              </w:rPr>
              <w:t>Every three months from the start of the project till the end of the projects</w:t>
            </w:r>
          </w:p>
        </w:tc>
      </w:tr>
      <w:tr w:rsidR="00F31E38" w:rsidRPr="00F31E38" w14:paraId="6CDA72EC" w14:textId="77777777" w:rsidTr="007A403D">
        <w:trPr>
          <w:trHeight w:val="460"/>
        </w:trPr>
        <w:tc>
          <w:tcPr>
            <w:tcW w:w="3060" w:type="dxa"/>
            <w:hideMark/>
          </w:tcPr>
          <w:p w14:paraId="183E6254" w14:textId="77777777" w:rsidR="00F31E38" w:rsidRPr="00F31E38" w:rsidRDefault="00F31E38" w:rsidP="00F31E38">
            <w:pPr>
              <w:widowControl w:val="0"/>
              <w:tabs>
                <w:tab w:val="left" w:pos="284"/>
              </w:tabs>
              <w:autoSpaceDE w:val="0"/>
              <w:spacing w:before="40" w:after="40" w:line="23" w:lineRule="atLeast"/>
              <w:jc w:val="both"/>
              <w:rPr>
                <w:rFonts w:ascii="Times New Roman" w:eastAsia="Times New Roman" w:hAnsi="Times New Roman" w:cs="Times New Roman"/>
                <w:sz w:val="24"/>
                <w:szCs w:val="24"/>
                <w:lang w:val="en-GB" w:eastAsia="tr-TR"/>
              </w:rPr>
            </w:pPr>
            <w:r w:rsidRPr="00F31E38">
              <w:rPr>
                <w:rFonts w:ascii="Times New Roman" w:eastAsia="Times New Roman" w:hAnsi="Times New Roman" w:cs="Times New Roman"/>
                <w:sz w:val="24"/>
                <w:szCs w:val="24"/>
                <w:lang w:val="en-GB" w:eastAsia="tr-TR"/>
              </w:rPr>
              <w:t xml:space="preserve">Draft Final Report </w:t>
            </w:r>
          </w:p>
        </w:tc>
        <w:tc>
          <w:tcPr>
            <w:tcW w:w="4284" w:type="dxa"/>
            <w:hideMark/>
          </w:tcPr>
          <w:p w14:paraId="2C4EFA06" w14:textId="77777777" w:rsidR="00F31E38" w:rsidRPr="00F31E38" w:rsidRDefault="00F31E38" w:rsidP="00F31E38">
            <w:pPr>
              <w:widowControl w:val="0"/>
              <w:tabs>
                <w:tab w:val="left" w:pos="284"/>
              </w:tabs>
              <w:autoSpaceDE w:val="0"/>
              <w:spacing w:before="40" w:after="40" w:line="23" w:lineRule="atLeast"/>
              <w:jc w:val="both"/>
              <w:rPr>
                <w:rFonts w:ascii="Times New Roman" w:eastAsia="Times New Roman" w:hAnsi="Times New Roman" w:cs="Times New Roman"/>
                <w:sz w:val="24"/>
                <w:szCs w:val="24"/>
                <w:lang w:val="en-GB"/>
              </w:rPr>
            </w:pPr>
            <w:r w:rsidRPr="00F31E38">
              <w:rPr>
                <w:rFonts w:ascii="Times New Roman" w:eastAsia="Times New Roman" w:hAnsi="Times New Roman" w:cs="Times New Roman"/>
                <w:sz w:val="24"/>
                <w:szCs w:val="24"/>
                <w:lang w:val="en-GB"/>
              </w:rPr>
              <w:t>13</w:t>
            </w:r>
            <w:r w:rsidRPr="00F31E38">
              <w:rPr>
                <w:rFonts w:ascii="Times New Roman" w:eastAsia="Times New Roman" w:hAnsi="Times New Roman" w:cs="Times New Roman"/>
                <w:sz w:val="24"/>
                <w:szCs w:val="24"/>
                <w:vertAlign w:val="superscript"/>
                <w:lang w:val="en-GB"/>
              </w:rPr>
              <w:t>th</w:t>
            </w:r>
            <w:r w:rsidRPr="00F31E38">
              <w:rPr>
                <w:rFonts w:ascii="Times New Roman" w:eastAsia="Times New Roman" w:hAnsi="Times New Roman" w:cs="Times New Roman"/>
                <w:sz w:val="24"/>
                <w:szCs w:val="24"/>
                <w:lang w:val="en-GB"/>
              </w:rPr>
              <w:t xml:space="preserve"> month</w:t>
            </w:r>
          </w:p>
        </w:tc>
      </w:tr>
      <w:tr w:rsidR="00F31E38" w:rsidRPr="00F31E38" w14:paraId="75F1D96B" w14:textId="77777777" w:rsidTr="007A403D">
        <w:trPr>
          <w:trHeight w:val="460"/>
        </w:trPr>
        <w:tc>
          <w:tcPr>
            <w:tcW w:w="3060" w:type="dxa"/>
            <w:hideMark/>
          </w:tcPr>
          <w:p w14:paraId="1377B129" w14:textId="77777777" w:rsidR="00F31E38" w:rsidRPr="00F31E38" w:rsidRDefault="00F31E38" w:rsidP="00F31E38">
            <w:pPr>
              <w:widowControl w:val="0"/>
              <w:tabs>
                <w:tab w:val="left" w:pos="284"/>
              </w:tabs>
              <w:autoSpaceDE w:val="0"/>
              <w:spacing w:before="40" w:after="40" w:line="23" w:lineRule="atLeast"/>
              <w:jc w:val="both"/>
              <w:rPr>
                <w:rFonts w:ascii="Times New Roman" w:eastAsia="Times New Roman" w:hAnsi="Times New Roman" w:cs="Times New Roman"/>
                <w:sz w:val="24"/>
                <w:szCs w:val="24"/>
                <w:lang w:val="en-GB" w:eastAsia="tr-TR"/>
              </w:rPr>
            </w:pPr>
            <w:r w:rsidRPr="00F31E38">
              <w:rPr>
                <w:rFonts w:ascii="Times New Roman" w:eastAsia="Times New Roman" w:hAnsi="Times New Roman" w:cs="Times New Roman"/>
                <w:sz w:val="24"/>
                <w:szCs w:val="24"/>
                <w:lang w:val="en-GB" w:eastAsia="tr-TR"/>
              </w:rPr>
              <w:t>Final Report (D-10)</w:t>
            </w:r>
          </w:p>
        </w:tc>
        <w:tc>
          <w:tcPr>
            <w:tcW w:w="4284" w:type="dxa"/>
            <w:hideMark/>
          </w:tcPr>
          <w:p w14:paraId="71D43B3F" w14:textId="77777777" w:rsidR="00F31E38" w:rsidRPr="00F31E38" w:rsidRDefault="00F31E38" w:rsidP="00F31E38">
            <w:pPr>
              <w:widowControl w:val="0"/>
              <w:tabs>
                <w:tab w:val="left" w:pos="284"/>
              </w:tabs>
              <w:autoSpaceDE w:val="0"/>
              <w:spacing w:before="40" w:after="40" w:line="23" w:lineRule="atLeast"/>
              <w:jc w:val="both"/>
              <w:rPr>
                <w:rFonts w:ascii="Times New Roman" w:eastAsia="Times New Roman" w:hAnsi="Times New Roman" w:cs="Times New Roman"/>
                <w:sz w:val="24"/>
                <w:szCs w:val="24"/>
                <w:lang w:val="en-GB"/>
              </w:rPr>
            </w:pPr>
            <w:r w:rsidRPr="00F31E38">
              <w:rPr>
                <w:rFonts w:ascii="Times New Roman" w:eastAsia="Times New Roman" w:hAnsi="Times New Roman" w:cs="Times New Roman"/>
                <w:sz w:val="24"/>
                <w:szCs w:val="24"/>
                <w:lang w:val="en-GB"/>
              </w:rPr>
              <w:t>14t</w:t>
            </w:r>
            <w:r w:rsidRPr="00F31E38">
              <w:rPr>
                <w:rFonts w:ascii="Times New Roman" w:eastAsia="Times New Roman" w:hAnsi="Times New Roman" w:cs="Times New Roman"/>
                <w:sz w:val="24"/>
                <w:szCs w:val="24"/>
                <w:vertAlign w:val="superscript"/>
                <w:lang w:val="en-GB"/>
              </w:rPr>
              <w:t>h</w:t>
            </w:r>
            <w:r w:rsidRPr="00F31E38">
              <w:rPr>
                <w:rFonts w:ascii="Times New Roman" w:eastAsia="Times New Roman" w:hAnsi="Times New Roman" w:cs="Times New Roman"/>
                <w:sz w:val="24"/>
                <w:szCs w:val="24"/>
                <w:lang w:val="en-GB"/>
              </w:rPr>
              <w:t xml:space="preserve"> month</w:t>
            </w:r>
          </w:p>
        </w:tc>
      </w:tr>
    </w:tbl>
    <w:p w14:paraId="5A2ECFB0" w14:textId="77777777" w:rsidR="00F31E38" w:rsidRPr="00F31E38" w:rsidRDefault="00F31E38" w:rsidP="00F31E38">
      <w:pPr>
        <w:spacing w:before="120" w:after="120" w:line="240" w:lineRule="auto"/>
        <w:jc w:val="both"/>
        <w:rPr>
          <w:rFonts w:ascii="Times New Roman" w:eastAsia="Times New Roman" w:hAnsi="Times New Roman" w:cs="Times New Roman"/>
          <w:b/>
          <w:sz w:val="24"/>
          <w:szCs w:val="24"/>
          <w:lang w:val="en-GB"/>
        </w:rPr>
      </w:pPr>
    </w:p>
    <w:p w14:paraId="50E2697B" w14:textId="77777777" w:rsidR="00F31E38" w:rsidRPr="00F31E38" w:rsidRDefault="00F31E38" w:rsidP="00F31E38">
      <w:pPr>
        <w:spacing w:after="0" w:line="23" w:lineRule="atLeast"/>
        <w:jc w:val="both"/>
        <w:rPr>
          <w:rFonts w:ascii="Times New Roman" w:eastAsia="Times New Roman" w:hAnsi="Times New Roman" w:cs="Times New Roman"/>
          <w:b/>
          <w:sz w:val="24"/>
          <w:szCs w:val="24"/>
          <w:lang w:val="en-GB"/>
        </w:rPr>
      </w:pPr>
      <w:r w:rsidRPr="00F31E38">
        <w:rPr>
          <w:rFonts w:ascii="Times New Roman" w:eastAsia="Times New Roman" w:hAnsi="Times New Roman" w:cs="Times New Roman"/>
          <w:b/>
          <w:sz w:val="24"/>
          <w:szCs w:val="24"/>
          <w:lang w:val="en-GB"/>
        </w:rPr>
        <w:t>TASK 1A</w:t>
      </w:r>
    </w:p>
    <w:p w14:paraId="18F565A8" w14:textId="77777777" w:rsidR="00F31E38" w:rsidRPr="00F31E38" w:rsidRDefault="00F31E38" w:rsidP="00F31E38">
      <w:pPr>
        <w:spacing w:after="0" w:line="23" w:lineRule="atLeast"/>
        <w:ind w:left="218"/>
        <w:jc w:val="both"/>
        <w:rPr>
          <w:rFonts w:ascii="Times New Roman" w:eastAsia="Times New Roman" w:hAnsi="Times New Roman" w:cs="Times New Roman"/>
          <w:sz w:val="24"/>
          <w:szCs w:val="24"/>
          <w:lang w:val="en-GB"/>
        </w:rPr>
      </w:pPr>
    </w:p>
    <w:tbl>
      <w:tblPr>
        <w:tblW w:w="734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60"/>
        <w:gridCol w:w="4284"/>
      </w:tblGrid>
      <w:tr w:rsidR="00F31E38" w:rsidRPr="00F31E38" w14:paraId="43AE29ED" w14:textId="77777777" w:rsidTr="007A403D">
        <w:trPr>
          <w:trHeight w:val="283"/>
        </w:trPr>
        <w:tc>
          <w:tcPr>
            <w:tcW w:w="3060" w:type="dxa"/>
            <w:shd w:val="clear" w:color="auto" w:fill="D9D9D9"/>
            <w:vAlign w:val="center"/>
            <w:hideMark/>
          </w:tcPr>
          <w:p w14:paraId="1949ACEF" w14:textId="77777777" w:rsidR="00F31E38" w:rsidRPr="00F31E38" w:rsidRDefault="00F31E38" w:rsidP="00F31E38">
            <w:pPr>
              <w:widowControl w:val="0"/>
              <w:tabs>
                <w:tab w:val="left" w:pos="284"/>
              </w:tabs>
              <w:autoSpaceDE w:val="0"/>
              <w:spacing w:before="60" w:after="60" w:line="23" w:lineRule="atLeast"/>
              <w:jc w:val="both"/>
              <w:rPr>
                <w:rFonts w:ascii="Times New Roman" w:eastAsia="Times New Roman" w:hAnsi="Times New Roman" w:cs="Times New Roman"/>
                <w:b/>
                <w:sz w:val="24"/>
                <w:szCs w:val="24"/>
                <w:lang w:val="en-GB" w:eastAsia="tr-TR"/>
              </w:rPr>
            </w:pPr>
            <w:r w:rsidRPr="00F31E38">
              <w:rPr>
                <w:rFonts w:ascii="Times New Roman" w:eastAsia="Times New Roman" w:hAnsi="Times New Roman" w:cs="Times New Roman"/>
                <w:b/>
                <w:sz w:val="24"/>
                <w:szCs w:val="24"/>
                <w:lang w:val="en-GB" w:eastAsia="tr-TR"/>
              </w:rPr>
              <w:t>Output</w:t>
            </w:r>
          </w:p>
        </w:tc>
        <w:tc>
          <w:tcPr>
            <w:tcW w:w="4284" w:type="dxa"/>
            <w:shd w:val="clear" w:color="auto" w:fill="D9D9D9"/>
            <w:vAlign w:val="center"/>
            <w:hideMark/>
          </w:tcPr>
          <w:p w14:paraId="3A7C0A91" w14:textId="77777777" w:rsidR="00F31E38" w:rsidRPr="00F31E38" w:rsidRDefault="00F31E38" w:rsidP="00F31E38">
            <w:pPr>
              <w:widowControl w:val="0"/>
              <w:tabs>
                <w:tab w:val="left" w:pos="284"/>
              </w:tabs>
              <w:autoSpaceDE w:val="0"/>
              <w:spacing w:before="60" w:after="60" w:line="23" w:lineRule="atLeast"/>
              <w:jc w:val="both"/>
              <w:rPr>
                <w:rFonts w:ascii="Times New Roman" w:eastAsia="Times New Roman" w:hAnsi="Times New Roman" w:cs="Times New Roman"/>
                <w:b/>
                <w:sz w:val="24"/>
                <w:szCs w:val="24"/>
                <w:lang w:val="en-GB" w:eastAsia="tr-TR"/>
              </w:rPr>
            </w:pPr>
            <w:r w:rsidRPr="00F31E38">
              <w:rPr>
                <w:rFonts w:ascii="Times New Roman" w:eastAsia="Times New Roman" w:hAnsi="Times New Roman" w:cs="Times New Roman"/>
                <w:b/>
                <w:sz w:val="24"/>
                <w:szCs w:val="24"/>
                <w:lang w:val="en-GB" w:eastAsia="tr-TR"/>
              </w:rPr>
              <w:t>Frequency</w:t>
            </w:r>
          </w:p>
        </w:tc>
      </w:tr>
      <w:tr w:rsidR="00F31E38" w:rsidRPr="00F31E38" w14:paraId="044974EE" w14:textId="77777777" w:rsidTr="007A403D">
        <w:trPr>
          <w:trHeight w:val="841"/>
        </w:trPr>
        <w:tc>
          <w:tcPr>
            <w:tcW w:w="3060" w:type="dxa"/>
            <w:hideMark/>
          </w:tcPr>
          <w:p w14:paraId="0B8B4D5B" w14:textId="77777777" w:rsidR="00F31E38" w:rsidRPr="00F31E38" w:rsidRDefault="00F31E38" w:rsidP="00F31E38">
            <w:pPr>
              <w:shd w:val="clear" w:color="auto" w:fill="FFFFFF"/>
              <w:spacing w:after="120" w:line="23" w:lineRule="atLeast"/>
              <w:jc w:val="both"/>
              <w:rPr>
                <w:rFonts w:ascii="Times New Roman" w:eastAsia="Times New Roman" w:hAnsi="Times New Roman" w:cs="Times New Roman"/>
                <w:sz w:val="24"/>
                <w:szCs w:val="24"/>
                <w:lang w:val="en-GB"/>
              </w:rPr>
            </w:pPr>
            <w:r w:rsidRPr="00F31E38">
              <w:rPr>
                <w:rFonts w:ascii="Times New Roman" w:eastAsia="Times New Roman" w:hAnsi="Times New Roman" w:cs="Times New Roman"/>
                <w:sz w:val="24"/>
                <w:szCs w:val="24"/>
                <w:lang w:val="en-GB"/>
              </w:rPr>
              <w:t>Training-1: Implementation of Market Maker Mechanism</w:t>
            </w:r>
          </w:p>
          <w:p w14:paraId="7A2350E1" w14:textId="77777777" w:rsidR="00F31E38" w:rsidRPr="00F31E38" w:rsidRDefault="00F31E38" w:rsidP="00F31E38">
            <w:pPr>
              <w:shd w:val="clear" w:color="auto" w:fill="FFFFFF"/>
              <w:spacing w:after="120" w:line="23" w:lineRule="atLeast"/>
              <w:jc w:val="both"/>
              <w:rPr>
                <w:rFonts w:ascii="Times New Roman" w:eastAsia="Times New Roman" w:hAnsi="Times New Roman" w:cs="Times New Roman"/>
                <w:sz w:val="24"/>
                <w:szCs w:val="24"/>
                <w:lang w:val="en-GB" w:eastAsia="tr-TR"/>
              </w:rPr>
            </w:pPr>
            <w:r w:rsidRPr="00F31E38">
              <w:rPr>
                <w:rFonts w:ascii="Times New Roman" w:eastAsia="Times New Roman" w:hAnsi="Times New Roman" w:cs="Times New Roman"/>
                <w:sz w:val="24"/>
                <w:szCs w:val="24"/>
                <w:lang w:val="en-GB"/>
              </w:rPr>
              <w:t>Training 1 Report (D-2)</w:t>
            </w:r>
          </w:p>
        </w:tc>
        <w:tc>
          <w:tcPr>
            <w:tcW w:w="4284" w:type="dxa"/>
            <w:hideMark/>
          </w:tcPr>
          <w:p w14:paraId="37E2CA1D" w14:textId="77777777" w:rsidR="00F31E38" w:rsidRPr="00F31E38" w:rsidRDefault="00F31E38" w:rsidP="00F31E38">
            <w:pPr>
              <w:widowControl w:val="0"/>
              <w:tabs>
                <w:tab w:val="left" w:pos="284"/>
              </w:tabs>
              <w:autoSpaceDE w:val="0"/>
              <w:spacing w:before="40" w:after="40" w:line="23" w:lineRule="atLeast"/>
              <w:jc w:val="both"/>
              <w:rPr>
                <w:rFonts w:ascii="Times New Roman" w:eastAsia="Times New Roman" w:hAnsi="Times New Roman" w:cs="Times New Roman"/>
                <w:sz w:val="24"/>
                <w:szCs w:val="24"/>
                <w:lang w:val="en-GB" w:eastAsia="tr-TR"/>
              </w:rPr>
            </w:pPr>
            <w:r w:rsidRPr="00F31E38">
              <w:rPr>
                <w:rFonts w:ascii="Times New Roman" w:eastAsia="Times New Roman" w:hAnsi="Times New Roman" w:cs="Times New Roman"/>
                <w:sz w:val="24"/>
                <w:szCs w:val="24"/>
                <w:lang w:val="en-GB" w:eastAsia="tr-TR"/>
              </w:rPr>
              <w:t>Throughout the implementation of Task 1A</w:t>
            </w:r>
          </w:p>
          <w:p w14:paraId="1270967A" w14:textId="77777777" w:rsidR="00F31E38" w:rsidRPr="00F31E38" w:rsidRDefault="00F31E38" w:rsidP="00F31E38">
            <w:pPr>
              <w:widowControl w:val="0"/>
              <w:tabs>
                <w:tab w:val="left" w:pos="284"/>
              </w:tabs>
              <w:autoSpaceDE w:val="0"/>
              <w:spacing w:before="40" w:after="40" w:line="23" w:lineRule="atLeast"/>
              <w:jc w:val="both"/>
              <w:rPr>
                <w:rFonts w:ascii="Times New Roman" w:eastAsia="Times New Roman" w:hAnsi="Times New Roman" w:cs="Times New Roman"/>
                <w:sz w:val="24"/>
                <w:szCs w:val="24"/>
                <w:lang w:val="en-GB" w:eastAsia="tr-TR"/>
              </w:rPr>
            </w:pPr>
            <w:r w:rsidRPr="00F31E38">
              <w:rPr>
                <w:rFonts w:ascii="Times New Roman" w:eastAsia="Times New Roman" w:hAnsi="Times New Roman" w:cs="Times New Roman"/>
                <w:sz w:val="24"/>
                <w:szCs w:val="24"/>
                <w:lang w:val="en-GB" w:eastAsia="tr-TR"/>
              </w:rPr>
              <w:t>Within 2 weeks after completion of Training-1</w:t>
            </w:r>
          </w:p>
        </w:tc>
      </w:tr>
      <w:tr w:rsidR="00F31E38" w:rsidRPr="00F31E38" w14:paraId="7D848A17" w14:textId="77777777" w:rsidTr="007A403D">
        <w:trPr>
          <w:trHeight w:val="460"/>
        </w:trPr>
        <w:tc>
          <w:tcPr>
            <w:tcW w:w="3060" w:type="dxa"/>
            <w:hideMark/>
          </w:tcPr>
          <w:p w14:paraId="11178131" w14:textId="77777777" w:rsidR="00F31E38" w:rsidRPr="00F31E38" w:rsidRDefault="00F31E38" w:rsidP="00F31E38">
            <w:pPr>
              <w:widowControl w:val="0"/>
              <w:tabs>
                <w:tab w:val="left" w:pos="284"/>
              </w:tabs>
              <w:autoSpaceDE w:val="0"/>
              <w:spacing w:before="40" w:after="40" w:line="23" w:lineRule="atLeast"/>
              <w:jc w:val="both"/>
              <w:rPr>
                <w:rFonts w:ascii="Times New Roman" w:eastAsia="Times New Roman" w:hAnsi="Times New Roman" w:cs="Times New Roman"/>
                <w:sz w:val="24"/>
                <w:szCs w:val="24"/>
                <w:lang w:val="en-GB"/>
              </w:rPr>
            </w:pPr>
            <w:r w:rsidRPr="00F31E38">
              <w:rPr>
                <w:rFonts w:ascii="Times New Roman" w:eastAsia="Times New Roman" w:hAnsi="Times New Roman" w:cs="Times New Roman"/>
                <w:sz w:val="24"/>
                <w:szCs w:val="24"/>
                <w:lang w:val="en-GB"/>
              </w:rPr>
              <w:t>Training-2: Market Based Supplier of Last Resort Methodologies</w:t>
            </w:r>
          </w:p>
          <w:p w14:paraId="4DC3E727" w14:textId="77777777" w:rsidR="00F31E38" w:rsidRPr="00F31E38" w:rsidRDefault="00F31E38" w:rsidP="00F31E38">
            <w:pPr>
              <w:widowControl w:val="0"/>
              <w:tabs>
                <w:tab w:val="left" w:pos="284"/>
              </w:tabs>
              <w:autoSpaceDE w:val="0"/>
              <w:spacing w:before="40" w:after="40" w:line="23" w:lineRule="atLeast"/>
              <w:jc w:val="both"/>
              <w:rPr>
                <w:rFonts w:ascii="Times New Roman" w:eastAsia="Times New Roman" w:hAnsi="Times New Roman" w:cs="Times New Roman"/>
                <w:sz w:val="24"/>
                <w:szCs w:val="24"/>
                <w:lang w:val="en-GB" w:eastAsia="tr-TR"/>
              </w:rPr>
            </w:pPr>
            <w:r w:rsidRPr="00F31E38">
              <w:rPr>
                <w:rFonts w:ascii="Times New Roman" w:eastAsia="Times New Roman" w:hAnsi="Times New Roman" w:cs="Times New Roman"/>
                <w:sz w:val="24"/>
                <w:szCs w:val="24"/>
                <w:lang w:val="en-GB"/>
              </w:rPr>
              <w:t>Training 2 Report (D-3)</w:t>
            </w:r>
          </w:p>
        </w:tc>
        <w:tc>
          <w:tcPr>
            <w:tcW w:w="4284" w:type="dxa"/>
            <w:hideMark/>
          </w:tcPr>
          <w:p w14:paraId="6F879F67" w14:textId="77777777" w:rsidR="00F31E38" w:rsidRPr="00F31E38" w:rsidRDefault="00F31E38" w:rsidP="00F31E38">
            <w:pPr>
              <w:widowControl w:val="0"/>
              <w:tabs>
                <w:tab w:val="left" w:pos="284"/>
              </w:tabs>
              <w:autoSpaceDE w:val="0"/>
              <w:spacing w:before="40" w:after="40" w:line="23" w:lineRule="atLeast"/>
              <w:jc w:val="both"/>
              <w:rPr>
                <w:rFonts w:ascii="Times New Roman" w:eastAsia="Times New Roman" w:hAnsi="Times New Roman" w:cs="Times New Roman"/>
                <w:sz w:val="24"/>
                <w:szCs w:val="24"/>
                <w:lang w:val="en-GB" w:eastAsia="tr-TR"/>
              </w:rPr>
            </w:pPr>
            <w:r w:rsidRPr="00F31E38">
              <w:rPr>
                <w:rFonts w:ascii="Times New Roman" w:eastAsia="Times New Roman" w:hAnsi="Times New Roman" w:cs="Times New Roman"/>
                <w:sz w:val="24"/>
                <w:szCs w:val="24"/>
                <w:lang w:val="en-GB" w:eastAsia="tr-TR"/>
              </w:rPr>
              <w:t>Throughout the implementation of Task 1A</w:t>
            </w:r>
          </w:p>
          <w:p w14:paraId="40FB2343" w14:textId="77777777" w:rsidR="00F31E38" w:rsidRPr="00F31E38" w:rsidRDefault="00F31E38" w:rsidP="00F31E38">
            <w:pPr>
              <w:widowControl w:val="0"/>
              <w:tabs>
                <w:tab w:val="left" w:pos="284"/>
              </w:tabs>
              <w:autoSpaceDE w:val="0"/>
              <w:spacing w:before="40" w:after="40" w:line="23" w:lineRule="atLeast"/>
              <w:jc w:val="both"/>
              <w:rPr>
                <w:rFonts w:ascii="Times New Roman" w:eastAsia="Times New Roman" w:hAnsi="Times New Roman" w:cs="Times New Roman"/>
                <w:sz w:val="24"/>
                <w:szCs w:val="24"/>
                <w:lang w:val="en-GB" w:eastAsia="tr-TR"/>
              </w:rPr>
            </w:pPr>
            <w:r w:rsidRPr="00F31E38">
              <w:rPr>
                <w:rFonts w:ascii="Times New Roman" w:eastAsia="Times New Roman" w:hAnsi="Times New Roman" w:cs="Times New Roman"/>
                <w:sz w:val="24"/>
                <w:szCs w:val="24"/>
                <w:lang w:val="en-GB" w:eastAsia="tr-TR"/>
              </w:rPr>
              <w:t>Within 2 weeks after completion of Training-2</w:t>
            </w:r>
          </w:p>
        </w:tc>
      </w:tr>
    </w:tbl>
    <w:p w14:paraId="60B2A2DE" w14:textId="77777777" w:rsidR="00F31E38" w:rsidRPr="00F31E38" w:rsidRDefault="00F31E38" w:rsidP="00F31E38">
      <w:pPr>
        <w:spacing w:after="0" w:line="23" w:lineRule="atLeast"/>
        <w:jc w:val="both"/>
        <w:rPr>
          <w:rFonts w:ascii="Times New Roman" w:eastAsia="Times New Roman" w:hAnsi="Times New Roman" w:cs="Times New Roman"/>
          <w:sz w:val="24"/>
          <w:szCs w:val="24"/>
          <w:lang w:val="en-GB"/>
        </w:rPr>
      </w:pPr>
    </w:p>
    <w:p w14:paraId="401F0B12" w14:textId="77777777" w:rsidR="00F31E38" w:rsidRPr="00F31E38" w:rsidRDefault="00F31E38" w:rsidP="00F31E38">
      <w:pPr>
        <w:spacing w:after="0" w:line="23" w:lineRule="atLeast"/>
        <w:jc w:val="both"/>
        <w:rPr>
          <w:rFonts w:ascii="Times New Roman" w:eastAsia="Times New Roman" w:hAnsi="Times New Roman" w:cs="Times New Roman"/>
          <w:b/>
          <w:bCs/>
          <w:sz w:val="24"/>
          <w:szCs w:val="24"/>
          <w:lang w:val="en-GB"/>
        </w:rPr>
      </w:pPr>
      <w:r w:rsidRPr="00F31E38">
        <w:rPr>
          <w:rFonts w:ascii="Times New Roman" w:eastAsia="Times New Roman" w:hAnsi="Times New Roman" w:cs="Times New Roman"/>
          <w:b/>
          <w:bCs/>
          <w:sz w:val="24"/>
          <w:szCs w:val="24"/>
          <w:lang w:val="en-GB"/>
        </w:rPr>
        <w:t>TASK 1B</w:t>
      </w:r>
    </w:p>
    <w:p w14:paraId="01F88503" w14:textId="77777777" w:rsidR="00F31E38" w:rsidRPr="00F31E38" w:rsidRDefault="00F31E38" w:rsidP="00F31E38">
      <w:pPr>
        <w:spacing w:after="0" w:line="23" w:lineRule="atLeast"/>
        <w:jc w:val="both"/>
        <w:rPr>
          <w:rFonts w:ascii="Times New Roman" w:eastAsia="Times New Roman" w:hAnsi="Times New Roman" w:cs="Times New Roman"/>
          <w:b/>
          <w:sz w:val="24"/>
          <w:szCs w:val="24"/>
          <w:lang w:val="en-GB"/>
        </w:rPr>
      </w:pPr>
    </w:p>
    <w:tbl>
      <w:tblPr>
        <w:tblW w:w="734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60"/>
        <w:gridCol w:w="4284"/>
      </w:tblGrid>
      <w:tr w:rsidR="00F31E38" w:rsidRPr="00F31E38" w14:paraId="61883243" w14:textId="77777777" w:rsidTr="007A403D">
        <w:trPr>
          <w:trHeight w:val="283"/>
        </w:trPr>
        <w:tc>
          <w:tcPr>
            <w:tcW w:w="3060" w:type="dxa"/>
            <w:shd w:val="clear" w:color="auto" w:fill="D9D9D9"/>
            <w:vAlign w:val="center"/>
            <w:hideMark/>
          </w:tcPr>
          <w:p w14:paraId="361384E7" w14:textId="77777777" w:rsidR="00F31E38" w:rsidRPr="00F31E38" w:rsidRDefault="00F31E38" w:rsidP="00F31E38">
            <w:pPr>
              <w:widowControl w:val="0"/>
              <w:tabs>
                <w:tab w:val="left" w:pos="284"/>
              </w:tabs>
              <w:autoSpaceDE w:val="0"/>
              <w:spacing w:before="60" w:after="60" w:line="23" w:lineRule="atLeast"/>
              <w:jc w:val="both"/>
              <w:rPr>
                <w:rFonts w:ascii="Times New Roman" w:eastAsia="Times New Roman" w:hAnsi="Times New Roman" w:cs="Times New Roman"/>
                <w:b/>
                <w:sz w:val="24"/>
                <w:szCs w:val="24"/>
                <w:lang w:val="en-GB" w:eastAsia="tr-TR"/>
              </w:rPr>
            </w:pPr>
            <w:r w:rsidRPr="00F31E38">
              <w:rPr>
                <w:rFonts w:ascii="Times New Roman" w:eastAsia="Times New Roman" w:hAnsi="Times New Roman" w:cs="Times New Roman"/>
                <w:b/>
                <w:sz w:val="24"/>
                <w:szCs w:val="24"/>
                <w:lang w:val="en-GB" w:eastAsia="tr-TR"/>
              </w:rPr>
              <w:t>Output</w:t>
            </w:r>
          </w:p>
        </w:tc>
        <w:tc>
          <w:tcPr>
            <w:tcW w:w="4284" w:type="dxa"/>
            <w:shd w:val="clear" w:color="auto" w:fill="D9D9D9"/>
            <w:vAlign w:val="center"/>
            <w:hideMark/>
          </w:tcPr>
          <w:p w14:paraId="25DE7055" w14:textId="77777777" w:rsidR="00F31E38" w:rsidRPr="00F31E38" w:rsidRDefault="00F31E38" w:rsidP="00F31E38">
            <w:pPr>
              <w:widowControl w:val="0"/>
              <w:tabs>
                <w:tab w:val="left" w:pos="284"/>
              </w:tabs>
              <w:autoSpaceDE w:val="0"/>
              <w:spacing w:before="60" w:after="60" w:line="23" w:lineRule="atLeast"/>
              <w:jc w:val="both"/>
              <w:rPr>
                <w:rFonts w:ascii="Times New Roman" w:eastAsia="Times New Roman" w:hAnsi="Times New Roman" w:cs="Times New Roman"/>
                <w:b/>
                <w:sz w:val="24"/>
                <w:szCs w:val="24"/>
                <w:lang w:val="en-GB" w:eastAsia="tr-TR"/>
              </w:rPr>
            </w:pPr>
            <w:r w:rsidRPr="00F31E38">
              <w:rPr>
                <w:rFonts w:ascii="Times New Roman" w:eastAsia="Times New Roman" w:hAnsi="Times New Roman" w:cs="Times New Roman"/>
                <w:b/>
                <w:sz w:val="24"/>
                <w:szCs w:val="24"/>
                <w:lang w:val="en-GB" w:eastAsia="tr-TR"/>
              </w:rPr>
              <w:t>Frequency</w:t>
            </w:r>
          </w:p>
        </w:tc>
      </w:tr>
      <w:tr w:rsidR="00F31E38" w:rsidRPr="00F31E38" w14:paraId="507733E4" w14:textId="77777777" w:rsidTr="007A403D">
        <w:trPr>
          <w:trHeight w:val="460"/>
        </w:trPr>
        <w:tc>
          <w:tcPr>
            <w:tcW w:w="3060" w:type="dxa"/>
            <w:hideMark/>
          </w:tcPr>
          <w:p w14:paraId="40FD15D2" w14:textId="77777777" w:rsidR="00F31E38" w:rsidRPr="00F31E38" w:rsidRDefault="00F31E38" w:rsidP="00F31E38">
            <w:pPr>
              <w:tabs>
                <w:tab w:val="left" w:pos="426"/>
              </w:tabs>
              <w:spacing w:after="0" w:line="23" w:lineRule="atLeast"/>
              <w:jc w:val="both"/>
              <w:rPr>
                <w:rFonts w:ascii="Times New Roman" w:eastAsia="Times New Roman" w:hAnsi="Times New Roman" w:cs="Times New Roman"/>
                <w:sz w:val="24"/>
                <w:szCs w:val="24"/>
                <w:lang w:val="en-GB"/>
              </w:rPr>
            </w:pPr>
            <w:r w:rsidRPr="00F31E38">
              <w:rPr>
                <w:rFonts w:ascii="Times New Roman" w:eastAsia="Times New Roman" w:hAnsi="Times New Roman" w:cs="Times New Roman"/>
                <w:sz w:val="24"/>
                <w:szCs w:val="24"/>
                <w:lang w:val="en-GB"/>
              </w:rPr>
              <w:t>Study visit-1</w:t>
            </w:r>
          </w:p>
          <w:p w14:paraId="483AFF31" w14:textId="77777777" w:rsidR="00F31E38" w:rsidRPr="00F31E38" w:rsidRDefault="00F31E38" w:rsidP="00F31E38">
            <w:pPr>
              <w:tabs>
                <w:tab w:val="left" w:pos="426"/>
              </w:tabs>
              <w:spacing w:after="0" w:line="23" w:lineRule="atLeast"/>
              <w:jc w:val="both"/>
              <w:rPr>
                <w:rFonts w:ascii="Times New Roman" w:eastAsia="Times New Roman" w:hAnsi="Times New Roman" w:cs="Times New Roman"/>
                <w:sz w:val="24"/>
                <w:szCs w:val="24"/>
                <w:lang w:val="en-GB" w:eastAsia="tr-TR"/>
              </w:rPr>
            </w:pPr>
            <w:r w:rsidRPr="00F31E38">
              <w:rPr>
                <w:rFonts w:ascii="Times New Roman" w:eastAsia="Times New Roman" w:hAnsi="Times New Roman" w:cs="Times New Roman"/>
                <w:sz w:val="24"/>
                <w:szCs w:val="24"/>
                <w:lang w:val="en-GB"/>
              </w:rPr>
              <w:t>Study visit-1 Report (D-4)</w:t>
            </w:r>
          </w:p>
        </w:tc>
        <w:tc>
          <w:tcPr>
            <w:tcW w:w="4284" w:type="dxa"/>
            <w:hideMark/>
          </w:tcPr>
          <w:p w14:paraId="1A5CD5D7" w14:textId="77777777" w:rsidR="00F31E38" w:rsidRPr="00F31E38" w:rsidRDefault="00F31E38" w:rsidP="00F31E38">
            <w:pPr>
              <w:widowControl w:val="0"/>
              <w:tabs>
                <w:tab w:val="left" w:pos="284"/>
              </w:tabs>
              <w:autoSpaceDE w:val="0"/>
              <w:spacing w:before="40" w:after="40" w:line="23" w:lineRule="atLeast"/>
              <w:jc w:val="both"/>
              <w:rPr>
                <w:rFonts w:ascii="Times New Roman" w:eastAsia="Times New Roman" w:hAnsi="Times New Roman" w:cs="Times New Roman"/>
                <w:sz w:val="24"/>
                <w:szCs w:val="24"/>
                <w:lang w:val="en-GB" w:eastAsia="tr-TR"/>
              </w:rPr>
            </w:pPr>
            <w:r w:rsidRPr="00F31E38">
              <w:rPr>
                <w:rFonts w:ascii="Times New Roman" w:eastAsia="Times New Roman" w:hAnsi="Times New Roman" w:cs="Times New Roman"/>
                <w:sz w:val="24"/>
                <w:szCs w:val="24"/>
                <w:lang w:val="en-GB" w:eastAsia="tr-TR"/>
              </w:rPr>
              <w:t>Throughout the implementation of Task 1B</w:t>
            </w:r>
          </w:p>
          <w:p w14:paraId="7684672E" w14:textId="77777777" w:rsidR="00F31E38" w:rsidRPr="00F31E38" w:rsidRDefault="00F31E38" w:rsidP="00F31E38">
            <w:pPr>
              <w:widowControl w:val="0"/>
              <w:tabs>
                <w:tab w:val="left" w:pos="284"/>
              </w:tabs>
              <w:autoSpaceDE w:val="0"/>
              <w:spacing w:before="40" w:after="40" w:line="23" w:lineRule="atLeast"/>
              <w:jc w:val="both"/>
              <w:rPr>
                <w:rFonts w:ascii="Times New Roman" w:eastAsia="Times New Roman" w:hAnsi="Times New Roman" w:cs="Times New Roman"/>
                <w:sz w:val="24"/>
                <w:szCs w:val="24"/>
                <w:lang w:val="en-GB" w:eastAsia="tr-TR"/>
              </w:rPr>
            </w:pPr>
            <w:r w:rsidRPr="00F31E38">
              <w:rPr>
                <w:rFonts w:ascii="Times New Roman" w:eastAsia="Times New Roman" w:hAnsi="Times New Roman" w:cs="Times New Roman"/>
                <w:sz w:val="24"/>
                <w:szCs w:val="24"/>
                <w:lang w:val="en-GB" w:eastAsia="tr-TR"/>
              </w:rPr>
              <w:t>Within 1 week following Study visit-1</w:t>
            </w:r>
          </w:p>
        </w:tc>
      </w:tr>
      <w:tr w:rsidR="00F31E38" w:rsidRPr="00F31E38" w14:paraId="76C7E0FF" w14:textId="77777777" w:rsidTr="007A403D">
        <w:trPr>
          <w:trHeight w:val="460"/>
        </w:trPr>
        <w:tc>
          <w:tcPr>
            <w:tcW w:w="3060" w:type="dxa"/>
            <w:hideMark/>
          </w:tcPr>
          <w:p w14:paraId="080E8620" w14:textId="77777777" w:rsidR="00F31E38" w:rsidRPr="00F31E38" w:rsidRDefault="00F31E38" w:rsidP="00F31E38">
            <w:pPr>
              <w:tabs>
                <w:tab w:val="left" w:pos="426"/>
              </w:tabs>
              <w:spacing w:after="0" w:line="23" w:lineRule="atLeast"/>
              <w:jc w:val="both"/>
              <w:rPr>
                <w:rFonts w:ascii="Times New Roman" w:eastAsia="Times New Roman" w:hAnsi="Times New Roman" w:cs="Times New Roman"/>
                <w:sz w:val="24"/>
                <w:szCs w:val="24"/>
                <w:lang w:val="en-GB"/>
              </w:rPr>
            </w:pPr>
            <w:r w:rsidRPr="00F31E38">
              <w:rPr>
                <w:rFonts w:ascii="Times New Roman" w:eastAsia="Times New Roman" w:hAnsi="Times New Roman" w:cs="Times New Roman"/>
                <w:sz w:val="24"/>
                <w:szCs w:val="24"/>
                <w:lang w:val="en-GB"/>
              </w:rPr>
              <w:t xml:space="preserve">Study visit-2: </w:t>
            </w:r>
          </w:p>
          <w:p w14:paraId="303C3A5D" w14:textId="77777777" w:rsidR="00F31E38" w:rsidRPr="00F31E38" w:rsidRDefault="00F31E38" w:rsidP="00F31E38">
            <w:pPr>
              <w:tabs>
                <w:tab w:val="left" w:pos="426"/>
              </w:tabs>
              <w:spacing w:after="0" w:line="23" w:lineRule="atLeast"/>
              <w:jc w:val="both"/>
              <w:rPr>
                <w:rFonts w:ascii="Times New Roman" w:eastAsia="Times New Roman" w:hAnsi="Times New Roman" w:cs="Times New Roman"/>
                <w:sz w:val="24"/>
                <w:szCs w:val="24"/>
                <w:lang w:val="en-GB"/>
              </w:rPr>
            </w:pPr>
            <w:r w:rsidRPr="00F31E38">
              <w:rPr>
                <w:rFonts w:ascii="Times New Roman" w:eastAsia="Times New Roman" w:hAnsi="Times New Roman" w:cs="Times New Roman"/>
                <w:sz w:val="24"/>
                <w:szCs w:val="24"/>
                <w:lang w:val="en-GB"/>
              </w:rPr>
              <w:lastRenderedPageBreak/>
              <w:t>Study visit-2 Report (D-5)</w:t>
            </w:r>
          </w:p>
        </w:tc>
        <w:tc>
          <w:tcPr>
            <w:tcW w:w="4284" w:type="dxa"/>
            <w:hideMark/>
          </w:tcPr>
          <w:p w14:paraId="1197D93B" w14:textId="77777777" w:rsidR="00F31E38" w:rsidRPr="00F31E38" w:rsidRDefault="00F31E38" w:rsidP="00F31E38">
            <w:pPr>
              <w:widowControl w:val="0"/>
              <w:tabs>
                <w:tab w:val="left" w:pos="284"/>
              </w:tabs>
              <w:autoSpaceDE w:val="0"/>
              <w:spacing w:before="40" w:after="40" w:line="23" w:lineRule="atLeast"/>
              <w:jc w:val="both"/>
              <w:rPr>
                <w:rFonts w:ascii="Times New Roman" w:eastAsia="Times New Roman" w:hAnsi="Times New Roman" w:cs="Times New Roman"/>
                <w:sz w:val="24"/>
                <w:szCs w:val="24"/>
                <w:lang w:val="en-GB" w:eastAsia="tr-TR"/>
              </w:rPr>
            </w:pPr>
            <w:r w:rsidRPr="00F31E38">
              <w:rPr>
                <w:rFonts w:ascii="Times New Roman" w:eastAsia="Times New Roman" w:hAnsi="Times New Roman" w:cs="Times New Roman"/>
                <w:sz w:val="24"/>
                <w:szCs w:val="24"/>
                <w:lang w:val="en-GB" w:eastAsia="tr-TR"/>
              </w:rPr>
              <w:lastRenderedPageBreak/>
              <w:t xml:space="preserve">Throughout the implementation of Task </w:t>
            </w:r>
            <w:r w:rsidRPr="00F31E38">
              <w:rPr>
                <w:rFonts w:ascii="Times New Roman" w:eastAsia="Times New Roman" w:hAnsi="Times New Roman" w:cs="Times New Roman"/>
                <w:sz w:val="24"/>
                <w:szCs w:val="24"/>
                <w:lang w:val="en-GB" w:eastAsia="tr-TR"/>
              </w:rPr>
              <w:lastRenderedPageBreak/>
              <w:t>1B</w:t>
            </w:r>
          </w:p>
          <w:p w14:paraId="09755EF0" w14:textId="77777777" w:rsidR="00F31E38" w:rsidRPr="00F31E38" w:rsidRDefault="00F31E38" w:rsidP="00F31E38">
            <w:pPr>
              <w:widowControl w:val="0"/>
              <w:tabs>
                <w:tab w:val="left" w:pos="284"/>
              </w:tabs>
              <w:autoSpaceDE w:val="0"/>
              <w:spacing w:before="40" w:after="40" w:line="23" w:lineRule="atLeast"/>
              <w:jc w:val="both"/>
              <w:rPr>
                <w:rFonts w:ascii="Times New Roman" w:eastAsia="Times New Roman" w:hAnsi="Times New Roman" w:cs="Times New Roman"/>
                <w:sz w:val="24"/>
                <w:szCs w:val="24"/>
                <w:lang w:val="en-GB" w:eastAsia="tr-TR"/>
              </w:rPr>
            </w:pPr>
            <w:r w:rsidRPr="00F31E38">
              <w:rPr>
                <w:rFonts w:ascii="Times New Roman" w:eastAsia="Times New Roman" w:hAnsi="Times New Roman" w:cs="Times New Roman"/>
                <w:sz w:val="24"/>
                <w:szCs w:val="24"/>
                <w:lang w:val="en-GB" w:eastAsia="tr-TR"/>
              </w:rPr>
              <w:t>Within 1 week following Study visit-2</w:t>
            </w:r>
          </w:p>
        </w:tc>
      </w:tr>
    </w:tbl>
    <w:p w14:paraId="6D0F7F3C" w14:textId="77777777" w:rsidR="00F31E38" w:rsidRPr="00F31E38" w:rsidRDefault="00F31E38" w:rsidP="00F31E38">
      <w:pPr>
        <w:spacing w:after="0" w:line="23" w:lineRule="atLeast"/>
        <w:jc w:val="both"/>
        <w:rPr>
          <w:rFonts w:ascii="Times New Roman" w:eastAsia="Times New Roman" w:hAnsi="Times New Roman" w:cs="Times New Roman"/>
          <w:sz w:val="24"/>
          <w:szCs w:val="24"/>
          <w:lang w:val="en-GB"/>
        </w:rPr>
      </w:pPr>
    </w:p>
    <w:p w14:paraId="06911085" w14:textId="77777777" w:rsidR="00F31E38" w:rsidRPr="00F31E38" w:rsidRDefault="00F31E38" w:rsidP="00F31E38">
      <w:pPr>
        <w:spacing w:after="0" w:line="23" w:lineRule="atLeast"/>
        <w:jc w:val="both"/>
        <w:rPr>
          <w:rFonts w:ascii="Times New Roman" w:eastAsia="Times New Roman" w:hAnsi="Times New Roman" w:cs="Times New Roman"/>
          <w:sz w:val="24"/>
          <w:szCs w:val="24"/>
          <w:lang w:val="en-GB"/>
        </w:rPr>
      </w:pPr>
      <w:r w:rsidRPr="00F31E38">
        <w:rPr>
          <w:rFonts w:ascii="Times New Roman" w:eastAsia="Times New Roman" w:hAnsi="Times New Roman" w:cs="Times New Roman"/>
          <w:b/>
          <w:sz w:val="24"/>
          <w:szCs w:val="24"/>
          <w:lang w:val="en-GB"/>
        </w:rPr>
        <w:t>TASK 2</w:t>
      </w:r>
    </w:p>
    <w:p w14:paraId="06336B34" w14:textId="77777777" w:rsidR="00F31E38" w:rsidRPr="00F31E38" w:rsidRDefault="00F31E38" w:rsidP="00F31E38">
      <w:pPr>
        <w:spacing w:after="0" w:line="23" w:lineRule="atLeast"/>
        <w:jc w:val="both"/>
        <w:rPr>
          <w:rFonts w:ascii="Times New Roman" w:eastAsia="Times New Roman" w:hAnsi="Times New Roman" w:cs="Times New Roman"/>
          <w:sz w:val="24"/>
          <w:szCs w:val="24"/>
          <w:lang w:val="en-GB"/>
        </w:rPr>
      </w:pPr>
    </w:p>
    <w:tbl>
      <w:tblPr>
        <w:tblW w:w="734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60"/>
        <w:gridCol w:w="4284"/>
      </w:tblGrid>
      <w:tr w:rsidR="00F31E38" w:rsidRPr="00F31E38" w14:paraId="522A7ACC" w14:textId="77777777" w:rsidTr="007A403D">
        <w:trPr>
          <w:trHeight w:val="283"/>
        </w:trPr>
        <w:tc>
          <w:tcPr>
            <w:tcW w:w="3060" w:type="dxa"/>
            <w:shd w:val="clear" w:color="auto" w:fill="D9D9D9"/>
            <w:vAlign w:val="center"/>
            <w:hideMark/>
          </w:tcPr>
          <w:p w14:paraId="7DA455CC" w14:textId="77777777" w:rsidR="00F31E38" w:rsidRPr="00F31E38" w:rsidRDefault="00F31E38" w:rsidP="00F31E38">
            <w:pPr>
              <w:widowControl w:val="0"/>
              <w:tabs>
                <w:tab w:val="left" w:pos="284"/>
              </w:tabs>
              <w:autoSpaceDE w:val="0"/>
              <w:spacing w:before="60" w:after="60" w:line="23" w:lineRule="atLeast"/>
              <w:jc w:val="both"/>
              <w:rPr>
                <w:rFonts w:ascii="Times New Roman" w:eastAsia="Times New Roman" w:hAnsi="Times New Roman" w:cs="Times New Roman"/>
                <w:b/>
                <w:sz w:val="24"/>
                <w:szCs w:val="24"/>
                <w:lang w:val="en-GB" w:eastAsia="tr-TR"/>
              </w:rPr>
            </w:pPr>
            <w:r w:rsidRPr="00F31E38">
              <w:rPr>
                <w:rFonts w:ascii="Times New Roman" w:eastAsia="Times New Roman" w:hAnsi="Times New Roman" w:cs="Times New Roman"/>
                <w:b/>
                <w:sz w:val="24"/>
                <w:szCs w:val="24"/>
                <w:lang w:val="en-GB" w:eastAsia="tr-TR"/>
              </w:rPr>
              <w:t>Report</w:t>
            </w:r>
          </w:p>
        </w:tc>
        <w:tc>
          <w:tcPr>
            <w:tcW w:w="4284" w:type="dxa"/>
            <w:shd w:val="clear" w:color="auto" w:fill="D9D9D9"/>
            <w:vAlign w:val="center"/>
            <w:hideMark/>
          </w:tcPr>
          <w:p w14:paraId="247C5DE2" w14:textId="77777777" w:rsidR="00F31E38" w:rsidRPr="00F31E38" w:rsidRDefault="00F31E38" w:rsidP="00F31E38">
            <w:pPr>
              <w:widowControl w:val="0"/>
              <w:tabs>
                <w:tab w:val="left" w:pos="284"/>
              </w:tabs>
              <w:autoSpaceDE w:val="0"/>
              <w:spacing w:before="60" w:after="60" w:line="23" w:lineRule="atLeast"/>
              <w:jc w:val="both"/>
              <w:rPr>
                <w:rFonts w:ascii="Times New Roman" w:eastAsia="Times New Roman" w:hAnsi="Times New Roman" w:cs="Times New Roman"/>
                <w:b/>
                <w:sz w:val="24"/>
                <w:szCs w:val="24"/>
                <w:lang w:val="en-GB" w:eastAsia="tr-TR"/>
              </w:rPr>
            </w:pPr>
            <w:r w:rsidRPr="00F31E38">
              <w:rPr>
                <w:rFonts w:ascii="Times New Roman" w:eastAsia="Times New Roman" w:hAnsi="Times New Roman" w:cs="Times New Roman"/>
                <w:b/>
                <w:sz w:val="24"/>
                <w:szCs w:val="24"/>
                <w:lang w:val="en-GB" w:eastAsia="tr-TR"/>
              </w:rPr>
              <w:t>Frequency</w:t>
            </w:r>
          </w:p>
        </w:tc>
      </w:tr>
      <w:tr w:rsidR="00F31E38" w:rsidRPr="00F31E38" w14:paraId="4972E1CA" w14:textId="77777777" w:rsidTr="007A403D">
        <w:trPr>
          <w:trHeight w:val="460"/>
        </w:trPr>
        <w:tc>
          <w:tcPr>
            <w:tcW w:w="3060" w:type="dxa"/>
            <w:hideMark/>
          </w:tcPr>
          <w:p w14:paraId="42B5B9D4" w14:textId="77777777" w:rsidR="00F31E38" w:rsidRPr="00F31E38" w:rsidRDefault="00F31E38" w:rsidP="00F31E38">
            <w:pPr>
              <w:widowControl w:val="0"/>
              <w:tabs>
                <w:tab w:val="left" w:pos="284"/>
              </w:tabs>
              <w:autoSpaceDE w:val="0"/>
              <w:spacing w:before="40" w:after="40" w:line="23" w:lineRule="atLeast"/>
              <w:jc w:val="both"/>
              <w:rPr>
                <w:rFonts w:ascii="Times New Roman" w:eastAsia="Times New Roman" w:hAnsi="Times New Roman" w:cs="Times New Roman"/>
                <w:sz w:val="24"/>
                <w:szCs w:val="24"/>
                <w:lang w:val="en-GB" w:eastAsia="tr-TR"/>
              </w:rPr>
            </w:pPr>
            <w:r w:rsidRPr="00F31E38">
              <w:rPr>
                <w:rFonts w:ascii="Times New Roman" w:eastAsia="Times New Roman" w:hAnsi="Times New Roman" w:cs="Times New Roman"/>
                <w:sz w:val="24"/>
                <w:szCs w:val="24"/>
                <w:lang w:val="en-GB" w:eastAsia="tr-TR"/>
              </w:rPr>
              <w:t>Workshop-1: Consultation of Proposed Market Maker Mechanism</w:t>
            </w:r>
          </w:p>
          <w:p w14:paraId="50A6CC10" w14:textId="77777777" w:rsidR="00F31E38" w:rsidRPr="00F31E38" w:rsidRDefault="00F31E38" w:rsidP="00F31E38">
            <w:pPr>
              <w:widowControl w:val="0"/>
              <w:tabs>
                <w:tab w:val="left" w:pos="284"/>
              </w:tabs>
              <w:autoSpaceDE w:val="0"/>
              <w:spacing w:before="40" w:after="40" w:line="23" w:lineRule="atLeast"/>
              <w:jc w:val="both"/>
              <w:rPr>
                <w:rFonts w:ascii="Times New Roman" w:eastAsia="Times New Roman" w:hAnsi="Times New Roman" w:cs="Times New Roman"/>
                <w:sz w:val="24"/>
                <w:szCs w:val="24"/>
                <w:lang w:val="en-GB" w:eastAsia="tr-TR"/>
              </w:rPr>
            </w:pPr>
            <w:r w:rsidRPr="00F31E38">
              <w:rPr>
                <w:rFonts w:ascii="Times New Roman" w:eastAsia="Times New Roman" w:hAnsi="Times New Roman" w:cs="Times New Roman"/>
                <w:sz w:val="24"/>
                <w:szCs w:val="24"/>
                <w:lang w:val="en-GB" w:eastAsia="tr-TR"/>
              </w:rPr>
              <w:t>Workshop-1 Report (D-6)</w:t>
            </w:r>
          </w:p>
        </w:tc>
        <w:tc>
          <w:tcPr>
            <w:tcW w:w="4284" w:type="dxa"/>
            <w:hideMark/>
          </w:tcPr>
          <w:p w14:paraId="29EF57AF" w14:textId="77777777" w:rsidR="00F31E38" w:rsidRPr="00F31E38" w:rsidRDefault="00F31E38" w:rsidP="00F31E38">
            <w:pPr>
              <w:widowControl w:val="0"/>
              <w:tabs>
                <w:tab w:val="left" w:pos="284"/>
              </w:tabs>
              <w:autoSpaceDE w:val="0"/>
              <w:spacing w:before="40" w:after="40" w:line="23" w:lineRule="atLeast"/>
              <w:jc w:val="both"/>
              <w:rPr>
                <w:rFonts w:ascii="Times New Roman" w:eastAsia="Times New Roman" w:hAnsi="Times New Roman" w:cs="Times New Roman"/>
                <w:sz w:val="24"/>
                <w:szCs w:val="24"/>
                <w:lang w:val="en-GB" w:eastAsia="tr-TR"/>
              </w:rPr>
            </w:pPr>
            <w:r w:rsidRPr="00F31E38">
              <w:rPr>
                <w:rFonts w:ascii="Times New Roman" w:eastAsia="Times New Roman" w:hAnsi="Times New Roman" w:cs="Times New Roman"/>
                <w:sz w:val="24"/>
                <w:szCs w:val="24"/>
                <w:lang w:val="en-GB" w:eastAsia="tr-TR"/>
              </w:rPr>
              <w:t>Within 3 months from</w:t>
            </w:r>
            <w:r w:rsidRPr="00F31E38">
              <w:rPr>
                <w:rFonts w:ascii="Times New Roman" w:eastAsia="Times New Roman" w:hAnsi="Times New Roman" w:cs="Times New Roman"/>
                <w:sz w:val="24"/>
                <w:szCs w:val="24"/>
                <w:lang w:val="en-GB"/>
              </w:rPr>
              <w:t xml:space="preserve"> the submission of the Inception Report</w:t>
            </w:r>
          </w:p>
          <w:p w14:paraId="5E038E31" w14:textId="77777777" w:rsidR="00F31E38" w:rsidRPr="00F31E38" w:rsidRDefault="00F31E38" w:rsidP="00F31E38">
            <w:pPr>
              <w:widowControl w:val="0"/>
              <w:tabs>
                <w:tab w:val="left" w:pos="284"/>
              </w:tabs>
              <w:autoSpaceDE w:val="0"/>
              <w:spacing w:before="40" w:after="40" w:line="23" w:lineRule="atLeast"/>
              <w:jc w:val="both"/>
              <w:rPr>
                <w:rFonts w:ascii="Times New Roman" w:eastAsia="Times New Roman" w:hAnsi="Times New Roman" w:cs="Times New Roman"/>
                <w:sz w:val="24"/>
                <w:szCs w:val="24"/>
                <w:lang w:val="en-GB" w:eastAsia="tr-TR"/>
              </w:rPr>
            </w:pPr>
            <w:r w:rsidRPr="00F31E38">
              <w:rPr>
                <w:rFonts w:ascii="Times New Roman" w:eastAsia="Times New Roman" w:hAnsi="Times New Roman" w:cs="Times New Roman"/>
                <w:sz w:val="24"/>
                <w:szCs w:val="24"/>
                <w:lang w:val="en-GB" w:eastAsia="tr-TR"/>
              </w:rPr>
              <w:t xml:space="preserve">Within 2 weeks following Workshop-1 </w:t>
            </w:r>
          </w:p>
        </w:tc>
      </w:tr>
      <w:tr w:rsidR="00F31E38" w:rsidRPr="00F31E38" w14:paraId="4DBBBD3E" w14:textId="77777777" w:rsidTr="007A403D">
        <w:trPr>
          <w:trHeight w:val="460"/>
        </w:trPr>
        <w:tc>
          <w:tcPr>
            <w:tcW w:w="3060" w:type="dxa"/>
            <w:hideMark/>
          </w:tcPr>
          <w:p w14:paraId="574CE31D" w14:textId="77777777" w:rsidR="00F31E38" w:rsidRPr="00F31E38" w:rsidRDefault="00F31E38" w:rsidP="00F31E38">
            <w:pPr>
              <w:widowControl w:val="0"/>
              <w:tabs>
                <w:tab w:val="left" w:pos="284"/>
              </w:tabs>
              <w:autoSpaceDE w:val="0"/>
              <w:spacing w:before="40" w:after="40" w:line="23" w:lineRule="atLeast"/>
              <w:jc w:val="both"/>
              <w:rPr>
                <w:rFonts w:ascii="Times New Roman" w:eastAsia="Times New Roman" w:hAnsi="Times New Roman" w:cs="Times New Roman"/>
                <w:sz w:val="24"/>
                <w:szCs w:val="24"/>
                <w:lang w:val="en-GB" w:eastAsia="tr-TR"/>
              </w:rPr>
            </w:pPr>
            <w:r w:rsidRPr="00F31E38">
              <w:rPr>
                <w:rFonts w:ascii="Times New Roman" w:eastAsia="Times New Roman" w:hAnsi="Times New Roman" w:cs="Times New Roman"/>
                <w:sz w:val="24"/>
                <w:szCs w:val="24"/>
                <w:lang w:val="en-GB" w:eastAsia="tr-TR"/>
              </w:rPr>
              <w:t>Workshop-2: Consultation of Proposed Supplier of Last Resort Mechanism</w:t>
            </w:r>
          </w:p>
          <w:p w14:paraId="3BB1BC7B" w14:textId="77777777" w:rsidR="00F31E38" w:rsidRPr="00F31E38" w:rsidRDefault="00F31E38" w:rsidP="00F31E38">
            <w:pPr>
              <w:widowControl w:val="0"/>
              <w:tabs>
                <w:tab w:val="left" w:pos="284"/>
              </w:tabs>
              <w:autoSpaceDE w:val="0"/>
              <w:spacing w:before="40" w:after="40" w:line="23" w:lineRule="atLeast"/>
              <w:jc w:val="both"/>
              <w:rPr>
                <w:rFonts w:ascii="Times New Roman" w:eastAsia="Times New Roman" w:hAnsi="Times New Roman" w:cs="Times New Roman"/>
                <w:sz w:val="24"/>
                <w:szCs w:val="24"/>
                <w:lang w:val="en-GB" w:eastAsia="tr-TR"/>
              </w:rPr>
            </w:pPr>
            <w:r w:rsidRPr="00F31E38">
              <w:rPr>
                <w:rFonts w:ascii="Times New Roman" w:eastAsia="Times New Roman" w:hAnsi="Times New Roman" w:cs="Times New Roman"/>
                <w:sz w:val="24"/>
                <w:szCs w:val="24"/>
                <w:lang w:val="en-GB" w:eastAsia="tr-TR"/>
              </w:rPr>
              <w:t>Workshop-2 Report (D-7)</w:t>
            </w:r>
          </w:p>
        </w:tc>
        <w:tc>
          <w:tcPr>
            <w:tcW w:w="4284" w:type="dxa"/>
          </w:tcPr>
          <w:p w14:paraId="2C989892" w14:textId="77777777" w:rsidR="00F31E38" w:rsidRPr="00F31E38" w:rsidRDefault="00F31E38" w:rsidP="00F31E38">
            <w:pPr>
              <w:widowControl w:val="0"/>
              <w:tabs>
                <w:tab w:val="left" w:pos="284"/>
              </w:tabs>
              <w:autoSpaceDE w:val="0"/>
              <w:spacing w:before="40" w:after="40" w:line="23" w:lineRule="atLeast"/>
              <w:jc w:val="both"/>
              <w:rPr>
                <w:rFonts w:ascii="Times New Roman" w:eastAsia="Times New Roman" w:hAnsi="Times New Roman" w:cs="Times New Roman"/>
                <w:sz w:val="24"/>
                <w:szCs w:val="24"/>
                <w:lang w:val="en-GB"/>
              </w:rPr>
            </w:pPr>
            <w:r w:rsidRPr="00F31E38">
              <w:rPr>
                <w:rFonts w:ascii="Times New Roman" w:eastAsia="Times New Roman" w:hAnsi="Times New Roman" w:cs="Times New Roman"/>
                <w:sz w:val="24"/>
                <w:szCs w:val="24"/>
                <w:lang w:val="en-GB" w:eastAsia="tr-TR"/>
              </w:rPr>
              <w:t>Within 3 months from</w:t>
            </w:r>
            <w:r w:rsidRPr="00F31E38">
              <w:rPr>
                <w:rFonts w:ascii="Times New Roman" w:eastAsia="Times New Roman" w:hAnsi="Times New Roman" w:cs="Times New Roman"/>
                <w:sz w:val="24"/>
                <w:szCs w:val="24"/>
                <w:lang w:val="en-GB"/>
              </w:rPr>
              <w:t xml:space="preserve"> the submission of Inception Report</w:t>
            </w:r>
          </w:p>
          <w:p w14:paraId="7521E35D" w14:textId="77777777" w:rsidR="00F31E38" w:rsidRPr="00F31E38" w:rsidRDefault="00F31E38" w:rsidP="00F31E38">
            <w:pPr>
              <w:widowControl w:val="0"/>
              <w:tabs>
                <w:tab w:val="left" w:pos="284"/>
              </w:tabs>
              <w:autoSpaceDE w:val="0"/>
              <w:spacing w:before="40" w:after="40" w:line="23" w:lineRule="atLeast"/>
              <w:jc w:val="both"/>
              <w:rPr>
                <w:rFonts w:ascii="Times New Roman" w:eastAsia="Times New Roman" w:hAnsi="Times New Roman" w:cs="Times New Roman"/>
                <w:sz w:val="24"/>
                <w:szCs w:val="24"/>
                <w:lang w:val="en-GB" w:eastAsia="tr-TR"/>
              </w:rPr>
            </w:pPr>
          </w:p>
          <w:p w14:paraId="301C6E2F" w14:textId="77777777" w:rsidR="00F31E38" w:rsidRPr="00F31E38" w:rsidRDefault="00F31E38" w:rsidP="00F31E38">
            <w:pPr>
              <w:widowControl w:val="0"/>
              <w:tabs>
                <w:tab w:val="left" w:pos="284"/>
              </w:tabs>
              <w:autoSpaceDE w:val="0"/>
              <w:spacing w:before="40" w:after="40" w:line="23" w:lineRule="atLeast"/>
              <w:jc w:val="both"/>
              <w:rPr>
                <w:rFonts w:ascii="Times New Roman" w:eastAsia="Times New Roman" w:hAnsi="Times New Roman" w:cs="Times New Roman"/>
                <w:sz w:val="24"/>
                <w:szCs w:val="24"/>
                <w:lang w:val="en-GB" w:eastAsia="tr-TR"/>
              </w:rPr>
            </w:pPr>
            <w:r w:rsidRPr="00F31E38">
              <w:rPr>
                <w:rFonts w:ascii="Times New Roman" w:eastAsia="Times New Roman" w:hAnsi="Times New Roman" w:cs="Times New Roman"/>
                <w:sz w:val="24"/>
                <w:szCs w:val="24"/>
                <w:lang w:val="en-GB" w:eastAsia="tr-TR"/>
              </w:rPr>
              <w:t>Within 2 weeks following Workshop-1</w:t>
            </w:r>
          </w:p>
        </w:tc>
      </w:tr>
      <w:tr w:rsidR="00F31E38" w:rsidRPr="00F31E38" w14:paraId="6AB141DF" w14:textId="77777777" w:rsidTr="007A403D">
        <w:trPr>
          <w:trHeight w:val="460"/>
        </w:trPr>
        <w:tc>
          <w:tcPr>
            <w:tcW w:w="3060" w:type="dxa"/>
            <w:hideMark/>
          </w:tcPr>
          <w:p w14:paraId="3657C7E5" w14:textId="77777777" w:rsidR="00F31E38" w:rsidRPr="00F31E38" w:rsidRDefault="00F31E38" w:rsidP="00F31E38">
            <w:pPr>
              <w:widowControl w:val="0"/>
              <w:tabs>
                <w:tab w:val="left" w:pos="284"/>
              </w:tabs>
              <w:autoSpaceDE w:val="0"/>
              <w:spacing w:before="40" w:after="40" w:line="23" w:lineRule="atLeast"/>
              <w:jc w:val="both"/>
              <w:rPr>
                <w:rFonts w:ascii="Times New Roman" w:eastAsia="Times New Roman" w:hAnsi="Times New Roman" w:cs="Times New Roman"/>
                <w:sz w:val="24"/>
                <w:szCs w:val="24"/>
                <w:lang w:val="en-GB" w:eastAsia="tr-TR"/>
              </w:rPr>
            </w:pPr>
            <w:r w:rsidRPr="00F31E38">
              <w:rPr>
                <w:rFonts w:ascii="Times New Roman" w:eastAsia="Times New Roman" w:hAnsi="Times New Roman" w:cs="Times New Roman"/>
                <w:sz w:val="24"/>
                <w:szCs w:val="24"/>
                <w:lang w:val="en-GB" w:eastAsia="tr-TR"/>
              </w:rPr>
              <w:t>Report on Drafting of Market Maker Legislation (D-8)</w:t>
            </w:r>
          </w:p>
        </w:tc>
        <w:tc>
          <w:tcPr>
            <w:tcW w:w="4284" w:type="dxa"/>
            <w:hideMark/>
          </w:tcPr>
          <w:p w14:paraId="609C63E5" w14:textId="77777777" w:rsidR="00F31E38" w:rsidRPr="00F31E38" w:rsidRDefault="00F31E38" w:rsidP="00F31E38">
            <w:pPr>
              <w:widowControl w:val="0"/>
              <w:tabs>
                <w:tab w:val="left" w:pos="284"/>
              </w:tabs>
              <w:autoSpaceDE w:val="0"/>
              <w:spacing w:before="40" w:after="40" w:line="23" w:lineRule="atLeast"/>
              <w:jc w:val="both"/>
              <w:rPr>
                <w:rFonts w:ascii="Times New Roman" w:eastAsia="Times New Roman" w:hAnsi="Times New Roman" w:cs="Times New Roman"/>
                <w:sz w:val="24"/>
                <w:szCs w:val="24"/>
                <w:lang w:val="en-GB" w:eastAsia="tr-TR"/>
              </w:rPr>
            </w:pPr>
            <w:r w:rsidRPr="00F31E38">
              <w:rPr>
                <w:rFonts w:ascii="Times New Roman" w:eastAsia="Times New Roman" w:hAnsi="Times New Roman" w:cs="Times New Roman"/>
                <w:sz w:val="24"/>
                <w:szCs w:val="24"/>
                <w:lang w:val="en-GB" w:eastAsia="tr-TR"/>
              </w:rPr>
              <w:t xml:space="preserve">Within two months </w:t>
            </w:r>
            <w:r w:rsidRPr="00F31E38">
              <w:rPr>
                <w:rFonts w:ascii="Times New Roman" w:eastAsia="Times New Roman" w:hAnsi="Times New Roman" w:cs="Times New Roman"/>
                <w:sz w:val="24"/>
                <w:szCs w:val="24"/>
                <w:lang w:val="en-GB"/>
              </w:rPr>
              <w:t>from the submission of Workshop-1 Report</w:t>
            </w:r>
          </w:p>
        </w:tc>
      </w:tr>
      <w:tr w:rsidR="00F31E38" w:rsidRPr="00F31E38" w14:paraId="34824BEF" w14:textId="77777777" w:rsidTr="007A403D">
        <w:trPr>
          <w:trHeight w:val="460"/>
        </w:trPr>
        <w:tc>
          <w:tcPr>
            <w:tcW w:w="3060" w:type="dxa"/>
            <w:hideMark/>
          </w:tcPr>
          <w:p w14:paraId="2D39079E" w14:textId="77777777" w:rsidR="00F31E38" w:rsidRPr="00F31E38" w:rsidRDefault="00F31E38" w:rsidP="00F31E38">
            <w:pPr>
              <w:widowControl w:val="0"/>
              <w:tabs>
                <w:tab w:val="left" w:pos="284"/>
              </w:tabs>
              <w:autoSpaceDE w:val="0"/>
              <w:spacing w:before="40" w:after="40" w:line="23" w:lineRule="atLeast"/>
              <w:jc w:val="both"/>
              <w:rPr>
                <w:rFonts w:ascii="Times New Roman" w:eastAsia="Times New Roman" w:hAnsi="Times New Roman" w:cs="Times New Roman"/>
                <w:sz w:val="24"/>
                <w:szCs w:val="24"/>
                <w:lang w:val="en-GB" w:eastAsia="tr-TR"/>
              </w:rPr>
            </w:pPr>
            <w:r w:rsidRPr="00F31E38">
              <w:rPr>
                <w:rFonts w:ascii="Times New Roman" w:eastAsia="Times New Roman" w:hAnsi="Times New Roman" w:cs="Times New Roman"/>
                <w:sz w:val="24"/>
                <w:szCs w:val="24"/>
                <w:lang w:val="en-GB" w:eastAsia="tr-TR"/>
              </w:rPr>
              <w:t>Report on Drafting of Supplier of Last Resort Legislation (D-9)</w:t>
            </w:r>
          </w:p>
        </w:tc>
        <w:tc>
          <w:tcPr>
            <w:tcW w:w="4284" w:type="dxa"/>
            <w:hideMark/>
          </w:tcPr>
          <w:p w14:paraId="7FE5F8AF" w14:textId="77777777" w:rsidR="00F31E38" w:rsidRPr="00F31E38" w:rsidRDefault="00F31E38" w:rsidP="00F31E38">
            <w:pPr>
              <w:widowControl w:val="0"/>
              <w:tabs>
                <w:tab w:val="left" w:pos="284"/>
              </w:tabs>
              <w:autoSpaceDE w:val="0"/>
              <w:spacing w:before="40" w:after="40" w:line="23" w:lineRule="atLeast"/>
              <w:jc w:val="both"/>
              <w:rPr>
                <w:rFonts w:ascii="Times New Roman" w:eastAsia="Times New Roman" w:hAnsi="Times New Roman" w:cs="Times New Roman"/>
                <w:sz w:val="24"/>
                <w:szCs w:val="24"/>
                <w:lang w:val="en-GB" w:eastAsia="tr-TR"/>
              </w:rPr>
            </w:pPr>
            <w:r w:rsidRPr="00F31E38">
              <w:rPr>
                <w:rFonts w:ascii="Times New Roman" w:eastAsia="Times New Roman" w:hAnsi="Times New Roman" w:cs="Times New Roman"/>
                <w:sz w:val="24"/>
                <w:szCs w:val="24"/>
                <w:lang w:val="en-GB" w:eastAsia="tr-TR"/>
              </w:rPr>
              <w:t xml:space="preserve">Within 2 months </w:t>
            </w:r>
            <w:r w:rsidRPr="00F31E38">
              <w:rPr>
                <w:rFonts w:ascii="Times New Roman" w:eastAsia="Times New Roman" w:hAnsi="Times New Roman" w:cs="Times New Roman"/>
                <w:sz w:val="24"/>
                <w:szCs w:val="24"/>
                <w:lang w:val="en-GB"/>
              </w:rPr>
              <w:t>from the submission of Workshop-2 Report</w:t>
            </w:r>
          </w:p>
        </w:tc>
      </w:tr>
    </w:tbl>
    <w:p w14:paraId="05A7DB22" w14:textId="77777777" w:rsidR="00F31E38" w:rsidRPr="00F31E38" w:rsidRDefault="00F31E38" w:rsidP="00F31E38">
      <w:pPr>
        <w:spacing w:after="0" w:line="23" w:lineRule="atLeast"/>
        <w:jc w:val="both"/>
        <w:rPr>
          <w:rFonts w:ascii="Times New Roman" w:eastAsia="Times New Roman" w:hAnsi="Times New Roman" w:cs="Times New Roman"/>
          <w:b/>
          <w:sz w:val="24"/>
          <w:szCs w:val="24"/>
          <w:lang w:val="en-GB"/>
        </w:rPr>
      </w:pPr>
    </w:p>
    <w:p w14:paraId="138E4986" w14:textId="77777777" w:rsidR="00F31E38" w:rsidRPr="00F31E38" w:rsidRDefault="00F31E38" w:rsidP="00F31E38">
      <w:pPr>
        <w:spacing w:before="120" w:after="120" w:line="240" w:lineRule="auto"/>
        <w:jc w:val="both"/>
        <w:rPr>
          <w:rFonts w:ascii="Times New Roman" w:eastAsia="Times New Roman" w:hAnsi="Times New Roman" w:cs="Times New Roman"/>
          <w:b/>
          <w:bCs/>
          <w:sz w:val="24"/>
          <w:szCs w:val="24"/>
          <w:lang w:val="en-GB"/>
        </w:rPr>
      </w:pPr>
    </w:p>
    <w:p w14:paraId="54A74690" w14:textId="77777777" w:rsidR="00F31E38" w:rsidRPr="00F31E38" w:rsidRDefault="00F31E38" w:rsidP="00F31E38">
      <w:pPr>
        <w:tabs>
          <w:tab w:val="num" w:pos="500"/>
        </w:tabs>
        <w:spacing w:before="120" w:after="120" w:line="240" w:lineRule="auto"/>
        <w:jc w:val="both"/>
        <w:rPr>
          <w:rFonts w:ascii="Times New Roman" w:eastAsia="Times New Roman" w:hAnsi="Times New Roman" w:cs="Times New Roman"/>
          <w:b/>
          <w:bCs/>
          <w:sz w:val="24"/>
          <w:szCs w:val="24"/>
          <w:lang w:val="en-GB"/>
        </w:rPr>
      </w:pPr>
      <w:bookmarkStart w:id="16" w:name="_Toc503879891"/>
      <w:r w:rsidRPr="00F31E38">
        <w:rPr>
          <w:rFonts w:ascii="Times New Roman" w:eastAsia="Times New Roman" w:hAnsi="Times New Roman" w:cs="Times New Roman"/>
          <w:b/>
          <w:bCs/>
          <w:sz w:val="24"/>
          <w:szCs w:val="24"/>
          <w:lang w:val="en-GB"/>
        </w:rPr>
        <w:t>5.2. Submission and approval of reports</w:t>
      </w:r>
      <w:bookmarkEnd w:id="16"/>
    </w:p>
    <w:p w14:paraId="304AD496" w14:textId="77777777" w:rsidR="00F31E38" w:rsidRPr="00F31E38" w:rsidRDefault="00F31E38" w:rsidP="00F31E38">
      <w:pPr>
        <w:spacing w:before="120" w:after="120" w:line="240" w:lineRule="auto"/>
        <w:jc w:val="both"/>
        <w:rPr>
          <w:rFonts w:ascii="Times New Roman" w:eastAsia="Times New Roman" w:hAnsi="Times New Roman" w:cs="Times New Roman"/>
          <w:sz w:val="24"/>
          <w:szCs w:val="24"/>
          <w:lang w:val="en-GB"/>
        </w:rPr>
      </w:pPr>
      <w:r w:rsidRPr="00F31E38">
        <w:rPr>
          <w:rFonts w:ascii="Times New Roman" w:eastAsia="Times New Roman" w:hAnsi="Times New Roman" w:cs="Times New Roman"/>
          <w:sz w:val="24"/>
          <w:szCs w:val="24"/>
          <w:lang w:val="en-GB"/>
        </w:rPr>
        <w:t xml:space="preserve">The reports referred to above must be submitted to the MENR’s Project Manager identified in the contract. All versions of all materials produced within the scope of all activities listed above and detailed in Section 4 must be delivered in the format requested by </w:t>
      </w:r>
      <w:proofErr w:type="gramStart"/>
      <w:r w:rsidRPr="00F31E38">
        <w:rPr>
          <w:rFonts w:ascii="Times New Roman" w:eastAsia="Times New Roman" w:hAnsi="Times New Roman" w:cs="Times New Roman"/>
          <w:sz w:val="24"/>
          <w:szCs w:val="24"/>
          <w:lang w:val="en-GB"/>
        </w:rPr>
        <w:t>MENR..</w:t>
      </w:r>
      <w:proofErr w:type="gramEnd"/>
      <w:r w:rsidRPr="00F31E38">
        <w:rPr>
          <w:rFonts w:ascii="Times New Roman" w:eastAsia="Times New Roman" w:hAnsi="Times New Roman" w:cs="Times New Roman"/>
          <w:sz w:val="24"/>
          <w:szCs w:val="24"/>
          <w:lang w:val="en-GB"/>
        </w:rPr>
        <w:t xml:space="preserve"> The Project Manager is responsible for notification of report approvals.</w:t>
      </w:r>
    </w:p>
    <w:p w14:paraId="41CA42E7" w14:textId="77777777" w:rsidR="00F31E38" w:rsidRPr="00F31E38" w:rsidRDefault="00F31E38" w:rsidP="00F31E38">
      <w:pPr>
        <w:spacing w:before="120" w:after="120" w:line="240" w:lineRule="auto"/>
        <w:jc w:val="both"/>
        <w:rPr>
          <w:rFonts w:ascii="Times New Roman" w:eastAsia="Times New Roman" w:hAnsi="Times New Roman" w:cs="Times New Roman"/>
          <w:sz w:val="24"/>
          <w:szCs w:val="24"/>
          <w:lang w:val="en-GB"/>
        </w:rPr>
      </w:pPr>
      <w:r w:rsidRPr="00F31E38">
        <w:rPr>
          <w:rFonts w:ascii="Times New Roman" w:eastAsia="Times New Roman" w:hAnsi="Times New Roman" w:cs="Times New Roman"/>
          <w:sz w:val="24"/>
          <w:szCs w:val="24"/>
          <w:lang w:val="en-GB"/>
        </w:rPr>
        <w:t>All final reports and all produced outputs under the project will be submitted in both Turkish and English languages, electronic (soft) format of the reports will be submitted in editable and ready to publish versions (i.e. MS Word and PDF) and finalized reports will be published in four hard copies in both Turkish and English</w:t>
      </w:r>
      <w:proofErr w:type="gramStart"/>
      <w:r w:rsidRPr="00F31E38">
        <w:rPr>
          <w:rFonts w:ascii="Times New Roman" w:eastAsia="Times New Roman" w:hAnsi="Times New Roman" w:cs="Times New Roman"/>
          <w:sz w:val="24"/>
          <w:szCs w:val="24"/>
          <w:lang w:val="en-GB"/>
        </w:rPr>
        <w:t>. .</w:t>
      </w:r>
      <w:proofErr w:type="gramEnd"/>
      <w:r w:rsidRPr="00F31E38">
        <w:rPr>
          <w:rFonts w:ascii="Times New Roman" w:eastAsia="Times New Roman" w:hAnsi="Times New Roman" w:cs="Times New Roman"/>
          <w:sz w:val="24"/>
          <w:szCs w:val="24"/>
          <w:lang w:val="en-GB"/>
        </w:rPr>
        <w:t xml:space="preserve"> The translations should be proofread by a native speaker to both languages before submitting and the Turkish version of the reports should be prepared after the approval of English version.</w:t>
      </w:r>
    </w:p>
    <w:p w14:paraId="07756B8B" w14:textId="77777777" w:rsidR="00F31E38" w:rsidRPr="00F31E38" w:rsidRDefault="00F31E38" w:rsidP="00F31E38">
      <w:pPr>
        <w:spacing w:before="120" w:after="120" w:line="240" w:lineRule="auto"/>
        <w:jc w:val="both"/>
        <w:rPr>
          <w:rFonts w:ascii="Times New Roman" w:eastAsia="Times New Roman" w:hAnsi="Times New Roman" w:cs="Times New Roman"/>
          <w:sz w:val="24"/>
          <w:szCs w:val="24"/>
          <w:lang w:val="en-GB"/>
        </w:rPr>
      </w:pPr>
      <w:r w:rsidRPr="00F31E38">
        <w:rPr>
          <w:rFonts w:ascii="Times New Roman" w:eastAsia="Times New Roman" w:hAnsi="Times New Roman" w:cs="Times New Roman"/>
          <w:sz w:val="24"/>
          <w:szCs w:val="24"/>
          <w:lang w:val="en-GB"/>
        </w:rPr>
        <w:t xml:space="preserve">Reports shall be submitted to MENR Directorate General of Foreign Relations (DGFR) via an e-mail first by the delivery deadlines specified in Section 9 below, with other stakeholders to be copied at MENR’s request. MENR is responsible for ensuring that EMRA, WB, EU Delegation (and other stakeholders as deemed necessary by MENR) are informed and consulted as appropriate. The comments and/or revision requests on the reports will be submitted to the Consultant via e-mail within 15 calendar days after the receipt of them. The Consultant shall revise the report based on the comments and re-submit it within 10 calendar days via e-mail. If MENR provides no comments within 10 calendar days, the final version can be processed as hard copy. In case of further comments and/or revision requests, the same cycle as outlined above will be done; however, for the purpose of timely finalization of the report, the parties may agree on different time limits. Once the final version is agreed by all parties, the Consultant will prepare and submit the hard copy of the reports/documents as the final version within 10 calendar days for approval. </w:t>
      </w:r>
    </w:p>
    <w:p w14:paraId="3EAB5BE2" w14:textId="77777777" w:rsidR="00F31E38" w:rsidRPr="00F31E38" w:rsidRDefault="00F31E38" w:rsidP="00F31E38">
      <w:pPr>
        <w:spacing w:before="120" w:after="120" w:line="240" w:lineRule="auto"/>
        <w:jc w:val="both"/>
        <w:rPr>
          <w:rFonts w:ascii="Times New Roman" w:eastAsia="Times New Roman" w:hAnsi="Times New Roman" w:cs="Times New Roman"/>
          <w:b/>
          <w:bCs/>
          <w:sz w:val="24"/>
          <w:szCs w:val="24"/>
          <w:lang w:val="en-GB"/>
        </w:rPr>
      </w:pPr>
      <w:r w:rsidRPr="00F31E38">
        <w:rPr>
          <w:rFonts w:ascii="Times New Roman" w:eastAsia="Times New Roman" w:hAnsi="Times New Roman" w:cs="Times New Roman"/>
          <w:b/>
          <w:bCs/>
          <w:sz w:val="24"/>
          <w:szCs w:val="24"/>
          <w:lang w:val="en-GB"/>
        </w:rPr>
        <w:lastRenderedPageBreak/>
        <w:t xml:space="preserve">A lump sum payment schedule where payments will be made upon approval of deliverables will be applicable and the schedule is to be negotiated and finalized during negotiation. </w:t>
      </w:r>
    </w:p>
    <w:p w14:paraId="4EF0C345" w14:textId="77777777" w:rsidR="00F31E38" w:rsidRPr="00F31E38" w:rsidRDefault="00F31E38" w:rsidP="00F31E38">
      <w:pPr>
        <w:spacing w:before="120" w:after="120" w:line="240" w:lineRule="auto"/>
        <w:jc w:val="both"/>
        <w:rPr>
          <w:rFonts w:ascii="Times New Roman" w:eastAsia="Times New Roman" w:hAnsi="Times New Roman" w:cs="Times New Roman"/>
          <w:b/>
          <w:bCs/>
          <w:sz w:val="24"/>
          <w:szCs w:val="24"/>
          <w:lang w:val="en-GB"/>
        </w:rPr>
      </w:pPr>
    </w:p>
    <w:p w14:paraId="05800390" w14:textId="77777777" w:rsidR="00F31E38" w:rsidRPr="00F31E38" w:rsidRDefault="00F31E38" w:rsidP="00F31E38">
      <w:pPr>
        <w:tabs>
          <w:tab w:val="num" w:pos="500"/>
        </w:tabs>
        <w:spacing w:before="120" w:after="120" w:line="240" w:lineRule="auto"/>
        <w:jc w:val="both"/>
        <w:rPr>
          <w:rFonts w:ascii="Times New Roman" w:eastAsia="Times New Roman" w:hAnsi="Times New Roman" w:cs="Times New Roman"/>
          <w:b/>
          <w:bCs/>
          <w:sz w:val="24"/>
          <w:szCs w:val="24"/>
          <w:lang w:val="en-GB"/>
        </w:rPr>
      </w:pPr>
      <w:r w:rsidRPr="00F31E38">
        <w:rPr>
          <w:rFonts w:ascii="Times New Roman" w:eastAsia="Times New Roman" w:hAnsi="Times New Roman" w:cs="Times New Roman"/>
          <w:b/>
          <w:bCs/>
          <w:sz w:val="24"/>
          <w:szCs w:val="24"/>
          <w:lang w:val="en-GB"/>
        </w:rPr>
        <w:t>5.3 Training, workshop and site visits</w:t>
      </w:r>
    </w:p>
    <w:p w14:paraId="1B156875" w14:textId="77777777" w:rsidR="00F31E38" w:rsidRPr="00F31E38" w:rsidRDefault="00F31E38" w:rsidP="00F31E38">
      <w:pPr>
        <w:tabs>
          <w:tab w:val="num" w:pos="500"/>
        </w:tabs>
        <w:spacing w:before="120" w:after="120" w:line="240" w:lineRule="auto"/>
        <w:jc w:val="both"/>
        <w:rPr>
          <w:rFonts w:ascii="Calibri" w:eastAsia="Times New Roman" w:hAnsi="Calibri" w:cs="Times New Roman"/>
          <w:sz w:val="24"/>
          <w:szCs w:val="24"/>
          <w:lang w:val="en-GB"/>
        </w:rPr>
      </w:pPr>
      <w:r w:rsidRPr="00F31E38">
        <w:rPr>
          <w:rFonts w:ascii="Times New Roman" w:eastAsia="Times New Roman" w:hAnsi="Times New Roman" w:cs="Times New Roman"/>
          <w:bCs/>
          <w:sz w:val="24"/>
          <w:szCs w:val="24"/>
          <w:lang w:val="en-GB"/>
        </w:rPr>
        <w:t xml:space="preserve">Content of the training and workshops and the agenda of the site visits along with their proposed dates will be submitted to MENR for approval (in consultation with EMRA), at least 2 weeks before the proposed dates. For the trainings, the CV of the proposed trainers (who may or may not be one of the key or non-key experts proposed in the Consultant’s offer) will be submitted two weeks in advance as well. Entry&amp;exit and satisfaction surveys to be prepared and administered by the Consultant will be used to the extent possible to measure the effectiveness and quality of </w:t>
      </w:r>
      <w:bookmarkStart w:id="17" w:name="_Hlk150855854"/>
      <w:r w:rsidRPr="00F31E38">
        <w:rPr>
          <w:rFonts w:ascii="Times New Roman" w:eastAsia="Times New Roman" w:hAnsi="Times New Roman" w:cs="Times New Roman"/>
          <w:bCs/>
          <w:sz w:val="24"/>
          <w:szCs w:val="24"/>
          <w:lang w:val="en-GB"/>
        </w:rPr>
        <w:t xml:space="preserve">trainings, workshops and site visits </w:t>
      </w:r>
      <w:bookmarkEnd w:id="17"/>
      <w:r w:rsidRPr="00F31E38">
        <w:rPr>
          <w:rFonts w:ascii="Times New Roman" w:eastAsia="Times New Roman" w:hAnsi="Times New Roman" w:cs="Times New Roman"/>
          <w:bCs/>
          <w:sz w:val="24"/>
          <w:szCs w:val="24"/>
          <w:lang w:val="en-GB"/>
        </w:rPr>
        <w:t xml:space="preserve">and the results of these surveys along with recommendations to improve the quality of future trainings, workshops and site visits should be included in the training (D-2, D-3), site visit (D-4, D-5) and workshop (D-6, D-7) reports. The consultant will be responsible for arranging and paying for all related costs pertaining to these activities. These include; (i) </w:t>
      </w:r>
      <w:r w:rsidRPr="00F31E38">
        <w:rPr>
          <w:rFonts w:ascii="Times New Roman" w:eastAsia="Times New Roman" w:hAnsi="Times New Roman" w:cs="Times New Roman"/>
          <w:bCs/>
          <w:i/>
          <w:sz w:val="24"/>
          <w:szCs w:val="24"/>
          <w:lang w:val="en-GB"/>
        </w:rPr>
        <w:t xml:space="preserve">for trainings and workshops: </w:t>
      </w:r>
      <w:r w:rsidRPr="00F31E38">
        <w:rPr>
          <w:rFonts w:ascii="Times New Roman" w:eastAsia="Times New Roman" w:hAnsi="Times New Roman" w:cs="Times New Roman"/>
          <w:bCs/>
          <w:sz w:val="24"/>
          <w:szCs w:val="24"/>
          <w:lang w:val="en-GB"/>
        </w:rPr>
        <w:t>interpretation (incl. all related sound and interpretation equipment</w:t>
      </w:r>
      <w:proofErr w:type="gramStart"/>
      <w:r w:rsidRPr="00F31E38">
        <w:rPr>
          <w:rFonts w:ascii="Times New Roman" w:eastAsia="Times New Roman" w:hAnsi="Times New Roman" w:cs="Times New Roman"/>
          <w:bCs/>
          <w:sz w:val="24"/>
          <w:szCs w:val="24"/>
          <w:lang w:val="en-GB"/>
        </w:rPr>
        <w:t>),,</w:t>
      </w:r>
      <w:proofErr w:type="gramEnd"/>
      <w:r w:rsidRPr="00F31E38">
        <w:rPr>
          <w:rFonts w:ascii="Times New Roman" w:eastAsia="Times New Roman" w:hAnsi="Times New Roman" w:cs="Times New Roman"/>
          <w:bCs/>
          <w:sz w:val="24"/>
          <w:szCs w:val="24"/>
          <w:lang w:val="en-GB"/>
        </w:rPr>
        <w:t xml:space="preserve"> design and printing of visibility and promotional materials, printing of presentations and other training materials (venue and catering are not foreseen as these events will be held at EMRA’s premises.); and (ii) for study visits: international and intra-city travel, accommodation, catering (either providing meals to or per diem to participants). Out of city accommodation costs for trainings and workshops and pocket money for participants of study visits are not foreseen. Number of people to participate in these activities as well as their durations can be found in the Section “Scope” under the related tasks. The consultant will be paid lump-sum only after the approval of the training, workshop and site visit </w:t>
      </w:r>
      <w:r w:rsidRPr="00F31E38">
        <w:rPr>
          <w:rFonts w:ascii="Times New Roman" w:eastAsia="Times New Roman" w:hAnsi="Times New Roman" w:cs="Times New Roman"/>
          <w:bCs/>
          <w:i/>
          <w:sz w:val="24"/>
          <w:szCs w:val="24"/>
          <w:lang w:val="en-GB"/>
        </w:rPr>
        <w:t xml:space="preserve">reports </w:t>
      </w:r>
      <w:r w:rsidRPr="00F31E38">
        <w:rPr>
          <w:rFonts w:ascii="Times New Roman" w:eastAsia="Times New Roman" w:hAnsi="Times New Roman" w:cs="Times New Roman"/>
          <w:bCs/>
          <w:sz w:val="24"/>
          <w:szCs w:val="24"/>
          <w:lang w:val="en-GB"/>
        </w:rPr>
        <w:t xml:space="preserve">described in the Section 5.1 “Reporting Requirements and Timing and will not be reimbursed for any costs incurred during the organisation of trainings, workshops and site visits. (Further information on Consultant’s responsibilities in these activities can be found in Section: Facilities to Be Provided by the Consultant) </w:t>
      </w:r>
    </w:p>
    <w:p w14:paraId="1F550C60" w14:textId="77777777" w:rsidR="00F31E38" w:rsidRPr="00F31E38" w:rsidRDefault="00F31E38" w:rsidP="00F31E38">
      <w:pPr>
        <w:spacing w:after="0" w:line="23" w:lineRule="atLeast"/>
        <w:ind w:left="720"/>
        <w:contextualSpacing/>
        <w:jc w:val="both"/>
        <w:rPr>
          <w:rFonts w:ascii="Calibri" w:eastAsia="Times New Roman" w:hAnsi="Calibri" w:cs="Times New Roman"/>
          <w:sz w:val="24"/>
          <w:szCs w:val="24"/>
          <w:lang w:val="en-GB"/>
        </w:rPr>
      </w:pPr>
    </w:p>
    <w:p w14:paraId="1CC87760" w14:textId="77777777" w:rsidR="00F31E38" w:rsidRPr="00F31E38" w:rsidRDefault="00F31E38" w:rsidP="00F31E38">
      <w:pPr>
        <w:keepNext/>
        <w:keepLines/>
        <w:numPr>
          <w:ilvl w:val="0"/>
          <w:numId w:val="15"/>
        </w:numPr>
        <w:spacing w:before="240" w:after="240" w:line="23" w:lineRule="atLeast"/>
        <w:jc w:val="both"/>
        <w:outlineLvl w:val="0"/>
        <w:rPr>
          <w:rFonts w:ascii="Times New Roman" w:eastAsia="Times New Roman" w:hAnsi="Times New Roman" w:cs="Times New Roman"/>
          <w:b/>
          <w:sz w:val="24"/>
          <w:szCs w:val="24"/>
          <w:lang w:val="en-GB"/>
        </w:rPr>
      </w:pPr>
      <w:bookmarkStart w:id="18" w:name="_Toc476332820"/>
      <w:bookmarkStart w:id="19" w:name="_Toc476332686"/>
      <w:r w:rsidRPr="00F31E38">
        <w:rPr>
          <w:rFonts w:ascii="Times New Roman" w:eastAsia="Times New Roman" w:hAnsi="Times New Roman" w:cs="Times New Roman"/>
          <w:b/>
          <w:sz w:val="24"/>
          <w:szCs w:val="24"/>
          <w:lang w:val="en-GB"/>
        </w:rPr>
        <w:t>MANAGEMENT AND COORDINATION</w:t>
      </w:r>
      <w:bookmarkEnd w:id="18"/>
      <w:bookmarkEnd w:id="19"/>
    </w:p>
    <w:p w14:paraId="51984FB4" w14:textId="77777777" w:rsidR="00F31E38" w:rsidRPr="00F31E38" w:rsidRDefault="00F31E38" w:rsidP="00F31E38">
      <w:pPr>
        <w:spacing w:after="0" w:line="23" w:lineRule="atLeast"/>
        <w:jc w:val="both"/>
        <w:rPr>
          <w:rFonts w:ascii="Times New Roman" w:eastAsia="Times New Roman" w:hAnsi="Times New Roman" w:cs="Times New Roman"/>
          <w:sz w:val="24"/>
          <w:szCs w:val="24"/>
          <w:lang w:val="en-GB"/>
        </w:rPr>
      </w:pPr>
      <w:r w:rsidRPr="00F31E38">
        <w:rPr>
          <w:rFonts w:ascii="Times New Roman" w:eastAsia="Times New Roman" w:hAnsi="Times New Roman" w:cs="Times New Roman"/>
          <w:sz w:val="24"/>
          <w:szCs w:val="24"/>
          <w:lang w:val="en-GB"/>
        </w:rPr>
        <w:t xml:space="preserve">The Consultant is responsible for the production of any design and content required within the scope of the project and should be able to carry out these works without the contribution and assistance of MENR or EMRA. In addition, MENR, EMRA and related institutions can use data, information, project outputs, etc. to be produced to create public awareness. In any case, the Consultant is expected to carry out an effective exchange of ideas with all stakeholders. In this context, upon prior approval of MENR DGFR, the Consultant may contact EMRA, the relevant institutions / units of the Ministryand the World Bank, and any other institution/company relevant to project activities, keeping MENR’s Project Manager in copy in correspondences. </w:t>
      </w:r>
    </w:p>
    <w:p w14:paraId="5B367E36" w14:textId="77777777" w:rsidR="00F31E38" w:rsidRPr="00F31E38" w:rsidRDefault="00F31E38" w:rsidP="00F31E38">
      <w:pPr>
        <w:spacing w:after="0" w:line="240" w:lineRule="auto"/>
        <w:jc w:val="both"/>
        <w:rPr>
          <w:rFonts w:ascii="Times New Roman" w:eastAsia="Times New Roman" w:hAnsi="Times New Roman" w:cs="Times New Roman"/>
          <w:sz w:val="24"/>
          <w:szCs w:val="24"/>
          <w:lang w:val="en-GB"/>
        </w:rPr>
      </w:pPr>
    </w:p>
    <w:p w14:paraId="5494C4F1" w14:textId="77777777" w:rsidR="00F31E38" w:rsidRPr="00F31E38" w:rsidRDefault="00F31E38" w:rsidP="00F31E38">
      <w:pPr>
        <w:spacing w:after="0" w:line="240" w:lineRule="auto"/>
        <w:jc w:val="both"/>
        <w:rPr>
          <w:rFonts w:ascii="Times New Roman" w:eastAsia="Times New Roman" w:hAnsi="Times New Roman" w:cs="Times New Roman"/>
          <w:sz w:val="24"/>
          <w:szCs w:val="24"/>
          <w:lang w:val="en-GB"/>
        </w:rPr>
      </w:pPr>
      <w:r w:rsidRPr="00F31E38">
        <w:rPr>
          <w:rFonts w:ascii="Times New Roman" w:eastAsia="Times New Roman" w:hAnsi="Times New Roman" w:cs="Times New Roman"/>
          <w:sz w:val="24"/>
          <w:szCs w:val="24"/>
          <w:lang w:val="en-GB"/>
        </w:rPr>
        <w:t>The MENR DGFR (PIU) is the Contracting Authority of the project. The Contracting Authority will be responsible for tendering, contracting, administration, overall project supervision, review and final approval of the reports, financial management including payments of project activities.</w:t>
      </w:r>
    </w:p>
    <w:p w14:paraId="6A543DE5" w14:textId="77777777" w:rsidR="00F31E38" w:rsidRPr="00F31E38" w:rsidRDefault="00F31E38" w:rsidP="00F31E38">
      <w:pPr>
        <w:spacing w:after="0" w:line="240" w:lineRule="auto"/>
        <w:jc w:val="both"/>
        <w:rPr>
          <w:rFonts w:ascii="Times New Roman" w:eastAsia="Times New Roman" w:hAnsi="Times New Roman" w:cs="Times New Roman"/>
          <w:sz w:val="24"/>
          <w:szCs w:val="24"/>
          <w:lang w:val="en-GB"/>
        </w:rPr>
      </w:pPr>
    </w:p>
    <w:p w14:paraId="3CD76D0F" w14:textId="77777777" w:rsidR="00F31E38" w:rsidRPr="00F31E38" w:rsidRDefault="00F31E38" w:rsidP="00F31E38">
      <w:pPr>
        <w:spacing w:after="0" w:line="240" w:lineRule="auto"/>
        <w:jc w:val="both"/>
        <w:rPr>
          <w:rFonts w:ascii="Times New Roman" w:eastAsia="Times New Roman" w:hAnsi="Times New Roman" w:cs="Times New Roman"/>
          <w:sz w:val="24"/>
          <w:szCs w:val="24"/>
          <w:lang w:val="en-GB"/>
        </w:rPr>
      </w:pPr>
      <w:r w:rsidRPr="00F31E38">
        <w:rPr>
          <w:rFonts w:ascii="Times New Roman" w:eastAsia="Times New Roman" w:hAnsi="Times New Roman" w:cs="Times New Roman"/>
          <w:sz w:val="24"/>
          <w:szCs w:val="24"/>
          <w:lang w:val="en-GB"/>
        </w:rPr>
        <w:t>The End Beneficiary of the project is EMRA. The End Beneficiary is responsible for guiding the overall technical implementation of the project.</w:t>
      </w:r>
    </w:p>
    <w:p w14:paraId="2F7F9D62" w14:textId="77777777" w:rsidR="00F31E38" w:rsidRPr="00F31E38" w:rsidRDefault="00F31E38" w:rsidP="00F31E38">
      <w:pPr>
        <w:spacing w:after="0" w:line="240" w:lineRule="auto"/>
        <w:jc w:val="both"/>
        <w:rPr>
          <w:rFonts w:ascii="Times New Roman" w:eastAsia="Times New Roman" w:hAnsi="Times New Roman" w:cs="Times New Roman"/>
          <w:sz w:val="24"/>
          <w:szCs w:val="24"/>
          <w:lang w:val="en-GB"/>
        </w:rPr>
      </w:pPr>
    </w:p>
    <w:p w14:paraId="4DC596A3" w14:textId="77777777" w:rsidR="00F31E38" w:rsidRPr="00F31E38" w:rsidRDefault="00F31E38" w:rsidP="00F31E38">
      <w:pPr>
        <w:spacing w:after="0" w:line="240" w:lineRule="auto"/>
        <w:jc w:val="both"/>
        <w:rPr>
          <w:rFonts w:ascii="Times New Roman" w:eastAsia="Times New Roman" w:hAnsi="Times New Roman" w:cs="Times New Roman"/>
          <w:sz w:val="24"/>
          <w:szCs w:val="24"/>
          <w:lang w:val="en-GB"/>
        </w:rPr>
      </w:pPr>
      <w:r w:rsidRPr="00F31E38">
        <w:rPr>
          <w:rFonts w:ascii="Times New Roman" w:eastAsia="Times New Roman" w:hAnsi="Times New Roman" w:cs="Times New Roman"/>
          <w:sz w:val="24"/>
          <w:szCs w:val="24"/>
          <w:lang w:val="en-GB"/>
        </w:rPr>
        <w:t>The Consultant is responsible for conducting the exchange, coordination and approval processes described above. In this context, the Consultant is expected to appoint the Team Leader as the contact point for contract related matters, including coordination and approval. It is important that the Team Leader whose profile is specified in Section 8 below, is experienced in project management and public relations in the energy sector. MENR will designate one of the PIU employees as MENR’s Project Manager.</w:t>
      </w:r>
    </w:p>
    <w:p w14:paraId="3030C37B" w14:textId="77777777" w:rsidR="00F31E38" w:rsidRPr="00F31E38" w:rsidRDefault="00F31E38" w:rsidP="00F31E38">
      <w:pPr>
        <w:spacing w:after="0" w:line="240" w:lineRule="auto"/>
        <w:jc w:val="both"/>
        <w:rPr>
          <w:rFonts w:ascii="Times New Roman" w:eastAsia="Times New Roman" w:hAnsi="Times New Roman" w:cs="Times New Roman"/>
          <w:sz w:val="24"/>
          <w:szCs w:val="24"/>
          <w:lang w:val="en-GB"/>
        </w:rPr>
      </w:pPr>
    </w:p>
    <w:p w14:paraId="59C81E79" w14:textId="77777777" w:rsidR="00F31E38" w:rsidRPr="00F31E38" w:rsidRDefault="00F31E38" w:rsidP="00F31E38">
      <w:pPr>
        <w:spacing w:after="0" w:line="240" w:lineRule="auto"/>
        <w:jc w:val="both"/>
        <w:rPr>
          <w:rFonts w:ascii="Times New Roman" w:eastAsia="Times New Roman" w:hAnsi="Times New Roman" w:cs="Times New Roman"/>
          <w:sz w:val="24"/>
          <w:szCs w:val="24"/>
          <w:lang w:val="en-GB"/>
        </w:rPr>
      </w:pPr>
      <w:r w:rsidRPr="00F31E38">
        <w:rPr>
          <w:rFonts w:ascii="Times New Roman" w:eastAsia="Times New Roman" w:hAnsi="Times New Roman" w:cs="Times New Roman"/>
          <w:sz w:val="24"/>
          <w:szCs w:val="24"/>
          <w:lang w:val="en-GB"/>
        </w:rPr>
        <w:t>MENR and/or EMRA may request a meeting with the Consultant to go over the draft outputs or talk about the event programs within the scope of the project. The Consultant should ensure that relevant experts attend these meetings.</w:t>
      </w:r>
    </w:p>
    <w:p w14:paraId="6D45EB29" w14:textId="77777777" w:rsidR="00F31E38" w:rsidRPr="00F31E38" w:rsidRDefault="00F31E38" w:rsidP="00F31E38">
      <w:pPr>
        <w:spacing w:after="0" w:line="240" w:lineRule="auto"/>
        <w:jc w:val="both"/>
        <w:rPr>
          <w:rFonts w:ascii="Times New Roman" w:eastAsia="Times New Roman" w:hAnsi="Times New Roman" w:cs="Times New Roman"/>
          <w:sz w:val="24"/>
          <w:szCs w:val="24"/>
          <w:lang w:val="en-GB"/>
        </w:rPr>
      </w:pPr>
    </w:p>
    <w:p w14:paraId="2E5B709E" w14:textId="77777777" w:rsidR="00F31E38" w:rsidRPr="00F31E38" w:rsidRDefault="00F31E38" w:rsidP="00F31E38">
      <w:pPr>
        <w:spacing w:after="0" w:line="240" w:lineRule="auto"/>
        <w:jc w:val="both"/>
        <w:rPr>
          <w:rFonts w:ascii="Times New Roman" w:eastAsia="Times New Roman" w:hAnsi="Times New Roman" w:cs="Times New Roman"/>
          <w:b/>
          <w:sz w:val="24"/>
          <w:szCs w:val="24"/>
          <w:lang w:val="en-GB"/>
        </w:rPr>
      </w:pPr>
      <w:r w:rsidRPr="00F31E38">
        <w:rPr>
          <w:rFonts w:ascii="Times New Roman" w:eastAsia="Times New Roman" w:hAnsi="Times New Roman" w:cs="Times New Roman"/>
          <w:b/>
          <w:sz w:val="24"/>
          <w:szCs w:val="24"/>
          <w:lang w:val="en-GB"/>
        </w:rPr>
        <w:t>Events and Meetings:</w:t>
      </w:r>
    </w:p>
    <w:p w14:paraId="04FC2675" w14:textId="77777777" w:rsidR="00F31E38" w:rsidRPr="00F31E38" w:rsidRDefault="00F31E38" w:rsidP="00F31E38">
      <w:pPr>
        <w:spacing w:after="0" w:line="240" w:lineRule="auto"/>
        <w:jc w:val="both"/>
        <w:rPr>
          <w:rFonts w:ascii="Times New Roman" w:eastAsia="Times New Roman" w:hAnsi="Times New Roman" w:cs="Times New Roman"/>
          <w:sz w:val="24"/>
          <w:szCs w:val="24"/>
          <w:lang w:val="en-GB"/>
        </w:rPr>
      </w:pPr>
    </w:p>
    <w:p w14:paraId="585C0DCD" w14:textId="77777777" w:rsidR="00F31E38" w:rsidRPr="00F31E38" w:rsidRDefault="00F31E38" w:rsidP="00F31E38">
      <w:pPr>
        <w:spacing w:after="0" w:line="240" w:lineRule="auto"/>
        <w:jc w:val="both"/>
        <w:rPr>
          <w:rFonts w:ascii="Times New Roman" w:eastAsia="Times New Roman" w:hAnsi="Times New Roman" w:cs="Times New Roman"/>
          <w:sz w:val="24"/>
          <w:szCs w:val="24"/>
          <w:lang w:val="en-GB"/>
        </w:rPr>
      </w:pPr>
      <w:r w:rsidRPr="00F31E38">
        <w:rPr>
          <w:rFonts w:ascii="Times New Roman" w:eastAsia="Times New Roman" w:hAnsi="Times New Roman" w:cs="Times New Roman"/>
          <w:sz w:val="24"/>
          <w:szCs w:val="24"/>
          <w:lang w:val="en-GB"/>
        </w:rPr>
        <w:t>A one-day opening event will be held at a 4-star hotel in Ankara for all the five contracts including this one that will be implemented under IPA 2018 Energy Sector Program Phase 3 Project. The venue, catering, interpretation and other organisation related costs will be borne by the Consultant of one of the other contracts. The Consultant of this contract will be responsible for providing input to the organisation of the event such as provision of input to participant list and provision of input to promotional materials to be produced for this event. The Consultant will also make a presentation about its contract and/or may be asked to participate in a round table type-like session.</w:t>
      </w:r>
    </w:p>
    <w:p w14:paraId="5E8A4D42" w14:textId="77777777" w:rsidR="00F31E38" w:rsidRPr="00F31E38" w:rsidRDefault="00F31E38" w:rsidP="00F31E38">
      <w:pPr>
        <w:spacing w:after="0" w:line="240" w:lineRule="auto"/>
        <w:jc w:val="both"/>
        <w:rPr>
          <w:rFonts w:ascii="Times New Roman" w:eastAsia="Times New Roman" w:hAnsi="Times New Roman" w:cs="Times New Roman"/>
          <w:sz w:val="24"/>
          <w:szCs w:val="24"/>
          <w:lang w:val="en-GB"/>
        </w:rPr>
      </w:pPr>
    </w:p>
    <w:p w14:paraId="7AC2CA5E" w14:textId="77777777" w:rsidR="00F31E38" w:rsidRPr="00F31E38" w:rsidRDefault="00F31E38" w:rsidP="00F31E38">
      <w:pPr>
        <w:spacing w:after="0" w:line="240" w:lineRule="auto"/>
        <w:jc w:val="both"/>
        <w:rPr>
          <w:rFonts w:ascii="Times New Roman" w:eastAsia="Times New Roman" w:hAnsi="Times New Roman" w:cs="Times New Roman"/>
          <w:sz w:val="24"/>
          <w:szCs w:val="24"/>
          <w:lang w:val="en-GB"/>
        </w:rPr>
      </w:pPr>
      <w:r w:rsidRPr="00F31E38">
        <w:rPr>
          <w:rFonts w:ascii="Times New Roman" w:eastAsia="Times New Roman" w:hAnsi="Times New Roman" w:cs="Times New Roman"/>
          <w:sz w:val="24"/>
          <w:szCs w:val="24"/>
          <w:lang w:val="en-GB"/>
        </w:rPr>
        <w:t xml:space="preserve">After the approval of all technical reports and deliverables, a one-day closing meeting will be held in EMRA’s premises with the participation of at least 30 people (excl. the Consultant) where the Consultant will present on project results and main take-aways. </w:t>
      </w:r>
    </w:p>
    <w:p w14:paraId="1DDA7FD9" w14:textId="77777777" w:rsidR="00F31E38" w:rsidRPr="00F31E38" w:rsidRDefault="00F31E38" w:rsidP="00F31E38">
      <w:pPr>
        <w:spacing w:after="0" w:line="240" w:lineRule="auto"/>
        <w:jc w:val="both"/>
        <w:rPr>
          <w:rFonts w:ascii="Times New Roman" w:eastAsia="Times New Roman" w:hAnsi="Times New Roman" w:cs="Times New Roman"/>
          <w:sz w:val="24"/>
          <w:szCs w:val="24"/>
          <w:lang w:val="en-GB"/>
        </w:rPr>
      </w:pPr>
    </w:p>
    <w:p w14:paraId="62675982" w14:textId="77777777" w:rsidR="00F31E38" w:rsidRPr="00F31E38" w:rsidRDefault="00F31E38" w:rsidP="00F31E38">
      <w:pPr>
        <w:spacing w:after="0" w:line="240" w:lineRule="auto"/>
        <w:jc w:val="both"/>
        <w:rPr>
          <w:rFonts w:ascii="Times New Roman" w:eastAsia="Times New Roman" w:hAnsi="Times New Roman" w:cs="Times New Roman"/>
          <w:sz w:val="24"/>
          <w:szCs w:val="24"/>
          <w:lang w:val="en-GB"/>
        </w:rPr>
      </w:pPr>
      <w:r w:rsidRPr="00F31E38">
        <w:rPr>
          <w:rFonts w:ascii="Times New Roman" w:eastAsia="Times New Roman" w:hAnsi="Times New Roman" w:cs="Times New Roman"/>
          <w:sz w:val="24"/>
          <w:szCs w:val="24"/>
          <w:lang w:val="en-GB"/>
        </w:rPr>
        <w:t>For the purposes of this contract a Steering Committee will be established to meet for discussing the progress of the project, verify the achievement of the outputs and mandatory results and discuss actions to be undertaken for the successful implementation of the project. Steering Committee will be chaired by the representative of EMRA. It will consist of representatives from EMRA, MENR DGFR and the WB as members. Representatives of Directorate General of EU Affairs of Ministry of Foreign Affairs (DEUA) and EUD will also attend to the Steering Committee meetings as observers.  EMRA, when necessary, may invite other relevant participants to the Steering Committee meetings. The meetings will be convened on a quarterly basis and also on ad hoc basis when deemed necessary by its members. The Consultant is obliged to ensure attendance of the relevant experts to the meetings and to provide information about the project in the meeting. The responsibility for the organization of the Steering Committee meetings including preparation of minutes lies with the Consultant. The Steering Committee meetings shall be organized in Ankara at the premises of EMRA in person, virtually or hybrid.</w:t>
      </w:r>
    </w:p>
    <w:p w14:paraId="31E1BA7A" w14:textId="77777777" w:rsidR="00F31E38" w:rsidRPr="00F31E38" w:rsidRDefault="00F31E38" w:rsidP="00F31E38">
      <w:pPr>
        <w:spacing w:after="0" w:line="240" w:lineRule="auto"/>
        <w:jc w:val="both"/>
        <w:rPr>
          <w:rFonts w:ascii="Times New Roman" w:eastAsia="Times New Roman" w:hAnsi="Times New Roman" w:cs="Times New Roman"/>
          <w:sz w:val="24"/>
          <w:szCs w:val="24"/>
          <w:lang w:val="en-GB"/>
        </w:rPr>
      </w:pPr>
    </w:p>
    <w:p w14:paraId="3BBBA387" w14:textId="77777777" w:rsidR="00F31E38" w:rsidRPr="00F31E38" w:rsidRDefault="00F31E38" w:rsidP="00F31E38">
      <w:pPr>
        <w:spacing w:after="0" w:line="240" w:lineRule="auto"/>
        <w:jc w:val="both"/>
        <w:rPr>
          <w:rFonts w:ascii="Times New Roman" w:eastAsia="Times New Roman" w:hAnsi="Times New Roman" w:cs="Times New Roman"/>
          <w:sz w:val="24"/>
          <w:szCs w:val="24"/>
          <w:lang w:val="en-GB"/>
        </w:rPr>
      </w:pPr>
    </w:p>
    <w:p w14:paraId="287D3747" w14:textId="77777777" w:rsidR="00F31E38" w:rsidRPr="00F31E38" w:rsidRDefault="00F31E38" w:rsidP="00F31E38">
      <w:pPr>
        <w:keepNext/>
        <w:keepLines/>
        <w:numPr>
          <w:ilvl w:val="0"/>
          <w:numId w:val="15"/>
        </w:numPr>
        <w:spacing w:before="240" w:after="240" w:line="23" w:lineRule="atLeast"/>
        <w:jc w:val="both"/>
        <w:outlineLvl w:val="0"/>
        <w:rPr>
          <w:rFonts w:ascii="Times New Roman" w:eastAsia="Times New Roman" w:hAnsi="Times New Roman" w:cs="Times New Roman"/>
          <w:b/>
          <w:sz w:val="24"/>
          <w:szCs w:val="24"/>
          <w:lang w:val="en-GB"/>
        </w:rPr>
      </w:pPr>
      <w:r w:rsidRPr="00F31E38">
        <w:rPr>
          <w:rFonts w:ascii="Times New Roman" w:eastAsia="Times New Roman" w:hAnsi="Times New Roman" w:cs="Times New Roman"/>
          <w:b/>
          <w:sz w:val="24"/>
          <w:szCs w:val="24"/>
          <w:lang w:val="en-GB"/>
        </w:rPr>
        <w:t>QUALIFICATION REQUIREMENTS</w:t>
      </w:r>
    </w:p>
    <w:p w14:paraId="66BE7256" w14:textId="77777777" w:rsidR="00F31E38" w:rsidRPr="00F31E38" w:rsidRDefault="00F31E38" w:rsidP="00F31E38">
      <w:pPr>
        <w:spacing w:after="0" w:line="240" w:lineRule="auto"/>
        <w:jc w:val="both"/>
        <w:rPr>
          <w:rFonts w:ascii="Times New Roman" w:eastAsia="Times New Roman" w:hAnsi="Times New Roman" w:cs="Times New Roman"/>
          <w:sz w:val="24"/>
          <w:szCs w:val="24"/>
          <w:lang w:val="en-GB"/>
        </w:rPr>
      </w:pPr>
      <w:r w:rsidRPr="00F31E38">
        <w:rPr>
          <w:rFonts w:ascii="Times New Roman" w:eastAsia="Times New Roman" w:hAnsi="Times New Roman" w:cs="Times New Roman"/>
          <w:sz w:val="24"/>
          <w:szCs w:val="24"/>
          <w:lang w:val="en-GB"/>
        </w:rPr>
        <w:t>The Consultant will be selected in accordance with the guidance titled “The World Bank Procurement Regulations for IPF Borrowers – July 2016 revised in November 2017 and August 2018 (“Procurement Regulations”)” using the “Section Based on Consultants Qualifications” (CQS) Method described in the Procurement Regulations. The Consultant must have a company or joint venture that meets the qualification criteria listed in the REOI as below:</w:t>
      </w:r>
    </w:p>
    <w:p w14:paraId="33353B63" w14:textId="77777777" w:rsidR="00F31E38" w:rsidRPr="00F31E38" w:rsidRDefault="00F31E38" w:rsidP="00F31E38">
      <w:pPr>
        <w:spacing w:after="0" w:line="240" w:lineRule="auto"/>
        <w:jc w:val="both"/>
        <w:rPr>
          <w:rFonts w:ascii="Times New Roman" w:eastAsia="Times New Roman" w:hAnsi="Times New Roman" w:cs="Times New Roman"/>
          <w:sz w:val="24"/>
          <w:szCs w:val="24"/>
          <w:lang w:val="en-GB"/>
        </w:rPr>
      </w:pPr>
    </w:p>
    <w:p w14:paraId="1C341F42" w14:textId="77777777" w:rsidR="00F31E38" w:rsidRPr="00F31E38" w:rsidRDefault="00F31E38" w:rsidP="00F31E38">
      <w:pPr>
        <w:numPr>
          <w:ilvl w:val="0"/>
          <w:numId w:val="10"/>
        </w:numPr>
        <w:spacing w:after="0" w:line="240" w:lineRule="auto"/>
        <w:contextualSpacing/>
        <w:jc w:val="both"/>
        <w:rPr>
          <w:rFonts w:ascii="Times New Roman" w:eastAsia="Times New Roman" w:hAnsi="Times New Roman" w:cs="Times New Roman"/>
          <w:sz w:val="24"/>
          <w:szCs w:val="24"/>
          <w:lang w:val="en-GB"/>
        </w:rPr>
      </w:pPr>
      <w:r w:rsidRPr="00F31E38">
        <w:rPr>
          <w:rFonts w:ascii="Times New Roman" w:eastAsia="Times New Roman" w:hAnsi="Times New Roman" w:cs="Times New Roman"/>
          <w:sz w:val="24"/>
          <w:szCs w:val="24"/>
          <w:lang w:val="en-GB"/>
        </w:rPr>
        <w:t xml:space="preserve">Experience in operations or providing support to operations of active energy exchanges (Experience in providing support to design and/or implementation and/or monitoring of supplier of last resort or market maker mechanisms in the energy markets is a strong asset.)  </w:t>
      </w:r>
    </w:p>
    <w:p w14:paraId="169FD5BC" w14:textId="77777777" w:rsidR="00F31E38" w:rsidRPr="00F31E38" w:rsidRDefault="00F31E38" w:rsidP="00F31E38">
      <w:pPr>
        <w:numPr>
          <w:ilvl w:val="0"/>
          <w:numId w:val="10"/>
        </w:numPr>
        <w:spacing w:after="0" w:line="240" w:lineRule="auto"/>
        <w:contextualSpacing/>
        <w:jc w:val="both"/>
        <w:rPr>
          <w:rFonts w:ascii="Times New Roman" w:eastAsia="Times New Roman" w:hAnsi="Times New Roman" w:cs="Times New Roman"/>
          <w:sz w:val="24"/>
          <w:szCs w:val="24"/>
          <w:lang w:val="en-GB"/>
        </w:rPr>
      </w:pPr>
      <w:r w:rsidRPr="00F31E38">
        <w:rPr>
          <w:rFonts w:ascii="Times New Roman" w:eastAsia="Times New Roman" w:hAnsi="Times New Roman" w:cs="Times New Roman"/>
          <w:sz w:val="24"/>
          <w:szCs w:val="24"/>
          <w:lang w:val="en-GB"/>
        </w:rPr>
        <w:t xml:space="preserve">Experience in drafting primary and/or secondary legislation in the natural gas market </w:t>
      </w:r>
    </w:p>
    <w:p w14:paraId="0CD74DF7" w14:textId="77777777" w:rsidR="00F31E38" w:rsidRPr="00F31E38" w:rsidRDefault="00F31E38" w:rsidP="00F31E38">
      <w:pPr>
        <w:numPr>
          <w:ilvl w:val="0"/>
          <w:numId w:val="10"/>
        </w:numPr>
        <w:spacing w:after="0" w:line="240" w:lineRule="auto"/>
        <w:contextualSpacing/>
        <w:jc w:val="both"/>
        <w:rPr>
          <w:rFonts w:ascii="Times New Roman" w:eastAsia="Times New Roman" w:hAnsi="Times New Roman" w:cs="Times New Roman"/>
          <w:sz w:val="24"/>
          <w:szCs w:val="24"/>
          <w:lang w:val="en-GB"/>
        </w:rPr>
      </w:pPr>
      <w:r w:rsidRPr="00F31E38">
        <w:rPr>
          <w:rFonts w:ascii="Times New Roman" w:eastAsia="Times New Roman" w:hAnsi="Times New Roman" w:cs="Times New Roman"/>
          <w:sz w:val="24"/>
          <w:szCs w:val="24"/>
          <w:lang w:val="en-GB"/>
        </w:rPr>
        <w:t xml:space="preserve">Experience in Gas Transmission Activities and/or compliance with ENTSO-G regulations on topics such as network codes, capacity allocation mechanisms and congestion management </w:t>
      </w:r>
    </w:p>
    <w:p w14:paraId="3AD6A6D7" w14:textId="77777777" w:rsidR="00F31E38" w:rsidRPr="00F31E38" w:rsidRDefault="00F31E38" w:rsidP="00F31E38">
      <w:pPr>
        <w:numPr>
          <w:ilvl w:val="0"/>
          <w:numId w:val="10"/>
        </w:numPr>
        <w:spacing w:after="0" w:line="240" w:lineRule="auto"/>
        <w:contextualSpacing/>
        <w:jc w:val="both"/>
        <w:rPr>
          <w:rFonts w:ascii="Times New Roman" w:eastAsia="Times New Roman" w:hAnsi="Times New Roman" w:cs="Times New Roman"/>
          <w:sz w:val="24"/>
          <w:szCs w:val="24"/>
          <w:lang w:val="en-GB"/>
        </w:rPr>
      </w:pPr>
      <w:r w:rsidRPr="00F31E38">
        <w:rPr>
          <w:rFonts w:ascii="Times New Roman" w:eastAsia="Times New Roman" w:hAnsi="Times New Roman" w:cs="Times New Roman"/>
          <w:sz w:val="24"/>
          <w:szCs w:val="24"/>
          <w:lang w:val="en-GB"/>
        </w:rPr>
        <w:t>Experience in organisation of trainings in the field of gas market operations and/or legislation</w:t>
      </w:r>
    </w:p>
    <w:p w14:paraId="57CB6317" w14:textId="77777777" w:rsidR="00F31E38" w:rsidRPr="00F31E38" w:rsidRDefault="00F31E38" w:rsidP="00F31E38">
      <w:pPr>
        <w:keepNext/>
        <w:keepLines/>
        <w:numPr>
          <w:ilvl w:val="0"/>
          <w:numId w:val="15"/>
        </w:numPr>
        <w:spacing w:before="240" w:after="240" w:line="23" w:lineRule="atLeast"/>
        <w:jc w:val="both"/>
        <w:outlineLvl w:val="0"/>
        <w:rPr>
          <w:rFonts w:ascii="Times New Roman" w:eastAsia="Times New Roman" w:hAnsi="Times New Roman" w:cs="Times New Roman"/>
          <w:b/>
          <w:sz w:val="24"/>
          <w:szCs w:val="24"/>
          <w:lang w:val="en-GB"/>
        </w:rPr>
      </w:pPr>
      <w:bookmarkStart w:id="20" w:name="_Toc476332821"/>
      <w:bookmarkStart w:id="21" w:name="_Toc476332687"/>
      <w:r w:rsidRPr="00F31E38">
        <w:rPr>
          <w:rFonts w:ascii="Times New Roman" w:eastAsia="Times New Roman" w:hAnsi="Times New Roman" w:cs="Times New Roman"/>
          <w:b/>
          <w:sz w:val="24"/>
          <w:szCs w:val="24"/>
          <w:lang w:val="en-GB"/>
        </w:rPr>
        <w:t>TEAM COMPOSITION</w:t>
      </w:r>
      <w:bookmarkEnd w:id="20"/>
      <w:bookmarkEnd w:id="21"/>
    </w:p>
    <w:p w14:paraId="30A55328" w14:textId="77777777" w:rsidR="00F31E38" w:rsidRPr="00F31E38" w:rsidRDefault="00F31E38" w:rsidP="00F31E38">
      <w:pPr>
        <w:tabs>
          <w:tab w:val="left" w:pos="426"/>
        </w:tabs>
        <w:spacing w:after="0" w:line="23" w:lineRule="atLeast"/>
        <w:jc w:val="both"/>
        <w:rPr>
          <w:rFonts w:ascii="Times New Roman" w:eastAsia="Times New Roman" w:hAnsi="Times New Roman" w:cs="Times New Roman"/>
          <w:sz w:val="24"/>
          <w:szCs w:val="24"/>
          <w:lang w:val="en-GB"/>
        </w:rPr>
      </w:pPr>
      <w:r w:rsidRPr="00F31E38">
        <w:rPr>
          <w:rFonts w:ascii="Times New Roman" w:eastAsia="Times New Roman" w:hAnsi="Times New Roman" w:cs="Times New Roman"/>
          <w:sz w:val="24"/>
          <w:szCs w:val="24"/>
          <w:lang w:val="en-GB"/>
        </w:rPr>
        <w:t xml:space="preserve">The Consultant must propose a team of </w:t>
      </w:r>
      <w:r w:rsidRPr="00F31E38">
        <w:rPr>
          <w:rFonts w:ascii="Times New Roman" w:eastAsia="Times New Roman" w:hAnsi="Times New Roman" w:cs="Times New Roman"/>
          <w:b/>
          <w:sz w:val="24"/>
          <w:szCs w:val="24"/>
          <w:lang w:val="en-GB"/>
        </w:rPr>
        <w:t xml:space="preserve">key experts </w:t>
      </w:r>
      <w:r w:rsidRPr="00F31E38">
        <w:rPr>
          <w:rFonts w:ascii="Times New Roman" w:eastAsia="Times New Roman" w:hAnsi="Times New Roman" w:cs="Times New Roman"/>
          <w:sz w:val="24"/>
          <w:szCs w:val="24"/>
          <w:lang w:val="en-GB"/>
        </w:rPr>
        <w:t>capable of carrying out all aspects of the ToR, including minimum the following but not limited to:</w:t>
      </w:r>
    </w:p>
    <w:p w14:paraId="5173EB4A" w14:textId="77777777" w:rsidR="00F31E38" w:rsidRPr="00F31E38" w:rsidRDefault="00F31E38" w:rsidP="00F31E38">
      <w:pPr>
        <w:tabs>
          <w:tab w:val="left" w:pos="426"/>
        </w:tabs>
        <w:spacing w:after="0" w:line="23" w:lineRule="atLeast"/>
        <w:jc w:val="both"/>
        <w:rPr>
          <w:rFonts w:ascii="Times New Roman" w:eastAsia="Times New Roman" w:hAnsi="Times New Roman" w:cs="Times New Roman"/>
          <w:b/>
          <w:sz w:val="24"/>
          <w:szCs w:val="24"/>
          <w:lang w:val="en-GB"/>
        </w:rPr>
      </w:pPr>
    </w:p>
    <w:p w14:paraId="671653D7" w14:textId="77777777" w:rsidR="00F31E38" w:rsidRPr="00F31E38" w:rsidRDefault="00F31E38" w:rsidP="00F31E38">
      <w:pPr>
        <w:numPr>
          <w:ilvl w:val="0"/>
          <w:numId w:val="7"/>
        </w:numPr>
        <w:tabs>
          <w:tab w:val="left" w:pos="709"/>
        </w:tabs>
        <w:autoSpaceDE w:val="0"/>
        <w:autoSpaceDN w:val="0"/>
        <w:adjustRightInd w:val="0"/>
        <w:spacing w:after="120" w:line="23" w:lineRule="atLeast"/>
        <w:ind w:left="709" w:hanging="425"/>
        <w:jc w:val="both"/>
        <w:rPr>
          <w:rFonts w:ascii="Times New Roman" w:eastAsia="Times New Roman" w:hAnsi="Times New Roman" w:cs="Times New Roman"/>
          <w:sz w:val="24"/>
          <w:szCs w:val="24"/>
          <w:lang w:val="en-GB"/>
        </w:rPr>
      </w:pPr>
      <w:r w:rsidRPr="00F31E38">
        <w:rPr>
          <w:rFonts w:ascii="Times New Roman" w:eastAsia="Times New Roman" w:hAnsi="Times New Roman" w:cs="Times New Roman"/>
          <w:sz w:val="24"/>
          <w:szCs w:val="24"/>
          <w:lang w:val="en-GB"/>
        </w:rPr>
        <w:t>Team Leader and Energy Exchange Expert: At least bachelor’s degree in engineering, economics, business administration or a similar field (preferably with an academic background), min. 10 years of general experience in the energy sector, min. 5 years of experience in operations or providing support to operations of active energy exchanges</w:t>
      </w:r>
      <w:r w:rsidRPr="00F31E38">
        <w:rPr>
          <w:rFonts w:ascii="Times New Roman" w:eastAsia="Times New Roman" w:hAnsi="Times New Roman" w:cs="Times New Roman"/>
          <w:sz w:val="24"/>
          <w:szCs w:val="24"/>
          <w:lang w:val="en-GB"/>
        </w:rPr>
        <w:tab/>
      </w:r>
    </w:p>
    <w:p w14:paraId="5E9B56C4" w14:textId="77777777" w:rsidR="00F31E38" w:rsidRPr="00F31E38" w:rsidRDefault="00F31E38" w:rsidP="00F31E38">
      <w:pPr>
        <w:numPr>
          <w:ilvl w:val="0"/>
          <w:numId w:val="7"/>
        </w:numPr>
        <w:tabs>
          <w:tab w:val="left" w:pos="709"/>
        </w:tabs>
        <w:autoSpaceDE w:val="0"/>
        <w:autoSpaceDN w:val="0"/>
        <w:adjustRightInd w:val="0"/>
        <w:spacing w:after="120" w:line="23" w:lineRule="atLeast"/>
        <w:ind w:left="709" w:hanging="425"/>
        <w:jc w:val="both"/>
        <w:rPr>
          <w:rFonts w:ascii="Times New Roman" w:eastAsia="Times New Roman" w:hAnsi="Times New Roman" w:cs="Times New Roman"/>
          <w:sz w:val="24"/>
          <w:szCs w:val="24"/>
          <w:lang w:val="en-GB"/>
        </w:rPr>
      </w:pPr>
      <w:r w:rsidRPr="00F31E38">
        <w:rPr>
          <w:rFonts w:ascii="Times New Roman" w:eastAsia="Times New Roman" w:hAnsi="Times New Roman" w:cs="Times New Roman"/>
          <w:sz w:val="24"/>
          <w:szCs w:val="24"/>
          <w:lang w:val="en-GB"/>
        </w:rPr>
        <w:t>Financial Products and Trade Expert: at least bachelor’s degree in engineering, economics, finance, business administration or a similar field, min. 10 years of general experience in the energy sector, min. 5 years of experience in energy financial products and trading activities</w:t>
      </w:r>
      <w:r w:rsidRPr="00F31E38">
        <w:rPr>
          <w:rFonts w:ascii="Times New Roman" w:eastAsia="Times New Roman" w:hAnsi="Times New Roman" w:cs="Times New Roman"/>
          <w:sz w:val="24"/>
          <w:szCs w:val="24"/>
          <w:lang w:val="en-GB"/>
        </w:rPr>
        <w:tab/>
      </w:r>
    </w:p>
    <w:p w14:paraId="085C7A1E" w14:textId="77777777" w:rsidR="00F31E38" w:rsidRPr="00F31E38" w:rsidRDefault="00F31E38" w:rsidP="00F31E38">
      <w:pPr>
        <w:numPr>
          <w:ilvl w:val="0"/>
          <w:numId w:val="7"/>
        </w:numPr>
        <w:tabs>
          <w:tab w:val="left" w:pos="709"/>
        </w:tabs>
        <w:autoSpaceDE w:val="0"/>
        <w:autoSpaceDN w:val="0"/>
        <w:adjustRightInd w:val="0"/>
        <w:spacing w:after="120" w:line="23" w:lineRule="atLeast"/>
        <w:ind w:left="709" w:hanging="425"/>
        <w:jc w:val="both"/>
        <w:rPr>
          <w:rFonts w:ascii="Times New Roman" w:eastAsia="Times New Roman" w:hAnsi="Times New Roman" w:cs="Times New Roman"/>
          <w:sz w:val="24"/>
          <w:szCs w:val="24"/>
          <w:lang w:val="en-GB"/>
        </w:rPr>
      </w:pPr>
      <w:r w:rsidRPr="00F31E38">
        <w:rPr>
          <w:rFonts w:ascii="Times New Roman" w:eastAsia="Times New Roman" w:hAnsi="Times New Roman" w:cs="Times New Roman"/>
          <w:sz w:val="24"/>
          <w:szCs w:val="24"/>
          <w:lang w:val="en-GB"/>
        </w:rPr>
        <w:t>Energy Markets Legislation Expert:  At least bachelor’s degree in law, economics, business administration or a similar field, min. 10 years of general experience in the energy sector, min. 5 years of experience in preparation of primary and secondary legislation in the natural gas sector</w:t>
      </w:r>
    </w:p>
    <w:p w14:paraId="5EC58D5D" w14:textId="77777777" w:rsidR="00F31E38" w:rsidRPr="00F31E38" w:rsidRDefault="00F31E38" w:rsidP="00F31E38">
      <w:pPr>
        <w:tabs>
          <w:tab w:val="left" w:pos="426"/>
        </w:tabs>
        <w:spacing w:after="0" w:line="23" w:lineRule="atLeast"/>
        <w:jc w:val="both"/>
        <w:rPr>
          <w:rFonts w:ascii="Times New Roman" w:eastAsia="Times New Roman" w:hAnsi="Times New Roman" w:cs="Times New Roman"/>
          <w:sz w:val="24"/>
          <w:szCs w:val="24"/>
          <w:lang w:val="en-GB"/>
        </w:rPr>
      </w:pPr>
      <w:r w:rsidRPr="00F31E38">
        <w:rPr>
          <w:rFonts w:ascii="Times New Roman" w:eastAsia="Times New Roman" w:hAnsi="Times New Roman" w:cs="Times New Roman"/>
          <w:sz w:val="24"/>
          <w:szCs w:val="24"/>
          <w:lang w:val="en-GB"/>
        </w:rPr>
        <w:t xml:space="preserve">Additional team members / </w:t>
      </w:r>
      <w:r w:rsidRPr="00F31E38">
        <w:rPr>
          <w:rFonts w:ascii="Times New Roman" w:eastAsia="Times New Roman" w:hAnsi="Times New Roman" w:cs="Times New Roman"/>
          <w:b/>
          <w:sz w:val="24"/>
          <w:szCs w:val="24"/>
          <w:lang w:val="en-GB"/>
        </w:rPr>
        <w:t>non-key experts</w:t>
      </w:r>
      <w:r w:rsidRPr="00F31E38">
        <w:rPr>
          <w:rFonts w:ascii="Times New Roman" w:eastAsia="Times New Roman" w:hAnsi="Times New Roman" w:cs="Times New Roman"/>
          <w:sz w:val="24"/>
          <w:szCs w:val="24"/>
          <w:lang w:val="en-GB"/>
        </w:rPr>
        <w:t xml:space="preserve"> required for performing stated activities regarding to electricity and gas markets with minimum requirements, but not limited, to;</w:t>
      </w:r>
    </w:p>
    <w:p w14:paraId="5BCD1907" w14:textId="77777777" w:rsidR="00F31E38" w:rsidRPr="00F31E38" w:rsidRDefault="00F31E38" w:rsidP="00F31E38">
      <w:pPr>
        <w:tabs>
          <w:tab w:val="left" w:pos="426"/>
        </w:tabs>
        <w:spacing w:after="0" w:line="23" w:lineRule="atLeast"/>
        <w:jc w:val="both"/>
        <w:rPr>
          <w:rFonts w:ascii="Times New Roman" w:eastAsia="Times New Roman" w:hAnsi="Times New Roman" w:cs="Times New Roman"/>
          <w:sz w:val="24"/>
          <w:szCs w:val="24"/>
          <w:lang w:val="en-GB"/>
        </w:rPr>
      </w:pPr>
    </w:p>
    <w:p w14:paraId="6645FF20" w14:textId="77777777" w:rsidR="00F31E38" w:rsidRPr="00F31E38" w:rsidRDefault="00F31E38" w:rsidP="00F31E38">
      <w:pPr>
        <w:numPr>
          <w:ilvl w:val="0"/>
          <w:numId w:val="7"/>
        </w:numPr>
        <w:tabs>
          <w:tab w:val="left" w:pos="709"/>
        </w:tabs>
        <w:autoSpaceDE w:val="0"/>
        <w:autoSpaceDN w:val="0"/>
        <w:adjustRightInd w:val="0"/>
        <w:spacing w:after="120" w:line="23" w:lineRule="atLeast"/>
        <w:ind w:left="709" w:hanging="425"/>
        <w:jc w:val="both"/>
        <w:rPr>
          <w:rFonts w:ascii="Times New Roman" w:eastAsia="Times New Roman" w:hAnsi="Times New Roman" w:cs="Times New Roman"/>
          <w:sz w:val="24"/>
          <w:szCs w:val="24"/>
          <w:lang w:val="en-GB"/>
        </w:rPr>
      </w:pPr>
      <w:r w:rsidRPr="00F31E38">
        <w:rPr>
          <w:rFonts w:ascii="Times New Roman" w:eastAsia="Times New Roman" w:hAnsi="Times New Roman" w:cs="Times New Roman"/>
          <w:sz w:val="24"/>
          <w:szCs w:val="24"/>
          <w:lang w:val="en-GB"/>
        </w:rPr>
        <w:t xml:space="preserve">Gas Market Experts (junior and senior level) with experience in Gas Transmission Activities and ENTSO-G market topics, gas trading operations, gas market transparency and monitoring. </w:t>
      </w:r>
    </w:p>
    <w:p w14:paraId="265969CF" w14:textId="77777777" w:rsidR="00F31E38" w:rsidRPr="00F31E38" w:rsidRDefault="00F31E38" w:rsidP="00F31E38">
      <w:pPr>
        <w:spacing w:after="0" w:line="23" w:lineRule="atLeast"/>
        <w:jc w:val="both"/>
        <w:rPr>
          <w:rFonts w:ascii="Times New Roman" w:eastAsia="Times New Roman" w:hAnsi="Times New Roman" w:cs="Times New Roman"/>
          <w:sz w:val="24"/>
          <w:szCs w:val="24"/>
          <w:lang w:val="en-GB"/>
        </w:rPr>
      </w:pPr>
      <w:r w:rsidRPr="00F31E38">
        <w:rPr>
          <w:rFonts w:ascii="Times New Roman" w:eastAsia="Times New Roman" w:hAnsi="Times New Roman" w:cs="Times New Roman"/>
          <w:sz w:val="24"/>
          <w:szCs w:val="24"/>
          <w:lang w:val="en-GB"/>
        </w:rPr>
        <w:t xml:space="preserve">The Consultant teams must be divided into groups to progress the TOR elements in parallel and providing feedback to each other. </w:t>
      </w:r>
    </w:p>
    <w:p w14:paraId="4F3CF55A" w14:textId="77777777" w:rsidR="00F31E38" w:rsidRPr="00F31E38" w:rsidRDefault="00F31E38" w:rsidP="00F31E38">
      <w:pPr>
        <w:spacing w:after="0" w:line="23" w:lineRule="atLeast"/>
        <w:jc w:val="both"/>
        <w:rPr>
          <w:rFonts w:ascii="Times New Roman" w:eastAsia="Times New Roman" w:hAnsi="Times New Roman" w:cs="Times New Roman"/>
          <w:sz w:val="24"/>
          <w:szCs w:val="24"/>
          <w:lang w:val="en-GB"/>
        </w:rPr>
      </w:pPr>
    </w:p>
    <w:p w14:paraId="709D5EA6" w14:textId="77777777" w:rsidR="00F31E38" w:rsidRPr="00F31E38" w:rsidRDefault="00F31E38" w:rsidP="00F31E38">
      <w:pPr>
        <w:spacing w:after="0" w:line="23" w:lineRule="atLeast"/>
        <w:jc w:val="both"/>
        <w:rPr>
          <w:rFonts w:ascii="Times New Roman" w:eastAsia="Times New Roman" w:hAnsi="Times New Roman" w:cs="Times New Roman"/>
          <w:sz w:val="24"/>
          <w:szCs w:val="24"/>
          <w:lang w:val="en-GB"/>
        </w:rPr>
      </w:pPr>
      <w:r w:rsidRPr="00F31E38">
        <w:rPr>
          <w:rFonts w:ascii="Times New Roman" w:eastAsia="Times New Roman" w:hAnsi="Times New Roman" w:cs="Times New Roman"/>
          <w:sz w:val="24"/>
          <w:szCs w:val="24"/>
          <w:lang w:val="en-GB"/>
        </w:rPr>
        <w:t>CVs for experts other than the key experts should not be submitted in the tender but the tenderer will have to demonstrate in their offer that they have access to experts with the required profiles. The Consultant shall select and hire other experts as required according to the needs. The selection procedures used by the Consultant to select these other experts shall be transparent, and shall be based on pre-defined criteria, including professional qualifications, language skills and work experience.</w:t>
      </w:r>
    </w:p>
    <w:p w14:paraId="60450827" w14:textId="77777777" w:rsidR="00F31E38" w:rsidRPr="00F31E38" w:rsidRDefault="00F31E38" w:rsidP="00F31E38">
      <w:pPr>
        <w:spacing w:after="0" w:line="23" w:lineRule="atLeast"/>
        <w:jc w:val="both"/>
        <w:rPr>
          <w:rFonts w:ascii="Times New Roman" w:eastAsia="Times New Roman" w:hAnsi="Times New Roman" w:cs="Times New Roman"/>
          <w:sz w:val="24"/>
          <w:szCs w:val="24"/>
          <w:lang w:val="en-GB"/>
        </w:rPr>
      </w:pPr>
    </w:p>
    <w:p w14:paraId="5356B821" w14:textId="77777777" w:rsidR="00F31E38" w:rsidRPr="00F31E38" w:rsidRDefault="00F31E38" w:rsidP="00F31E38">
      <w:pPr>
        <w:spacing w:after="0" w:line="23" w:lineRule="atLeast"/>
        <w:jc w:val="both"/>
        <w:rPr>
          <w:rFonts w:ascii="Times New Roman" w:eastAsia="Times New Roman" w:hAnsi="Times New Roman" w:cs="Times New Roman"/>
          <w:sz w:val="24"/>
          <w:szCs w:val="24"/>
          <w:lang w:val="en-GB"/>
        </w:rPr>
      </w:pPr>
      <w:r w:rsidRPr="00F31E38">
        <w:rPr>
          <w:rFonts w:ascii="Times New Roman" w:eastAsia="Times New Roman" w:hAnsi="Times New Roman" w:cs="Times New Roman"/>
          <w:sz w:val="24"/>
          <w:szCs w:val="24"/>
          <w:lang w:val="en-GB"/>
        </w:rPr>
        <w:t>The costs for backstopping and support staff, as needed, are considered to be included in the tenderer's financial offer.</w:t>
      </w:r>
    </w:p>
    <w:p w14:paraId="40E29C69" w14:textId="77777777" w:rsidR="00F31E38" w:rsidRPr="00F31E38" w:rsidRDefault="00F31E38" w:rsidP="00F31E38">
      <w:pPr>
        <w:spacing w:before="120" w:after="240" w:line="23" w:lineRule="atLeast"/>
        <w:outlineLvl w:val="1"/>
        <w:rPr>
          <w:rFonts w:ascii="Times New Roman" w:eastAsia="Times New Roman" w:hAnsi="Times New Roman" w:cs="Times New Roman"/>
          <w:b/>
          <w:sz w:val="24"/>
          <w:szCs w:val="24"/>
          <w:lang w:val="en-GB"/>
        </w:rPr>
      </w:pPr>
      <w:bookmarkStart w:id="22" w:name="_Toc476332823"/>
      <w:bookmarkStart w:id="23" w:name="_Toc476332689"/>
    </w:p>
    <w:p w14:paraId="50973A7D" w14:textId="77777777" w:rsidR="00F31E38" w:rsidRPr="00F31E38" w:rsidRDefault="00F31E38" w:rsidP="00F31E38">
      <w:pPr>
        <w:keepNext/>
        <w:keepLines/>
        <w:numPr>
          <w:ilvl w:val="0"/>
          <w:numId w:val="15"/>
        </w:numPr>
        <w:spacing w:before="240" w:after="240" w:line="23" w:lineRule="atLeast"/>
        <w:jc w:val="both"/>
        <w:outlineLvl w:val="0"/>
        <w:rPr>
          <w:rFonts w:ascii="Times New Roman" w:eastAsia="Times New Roman" w:hAnsi="Times New Roman" w:cs="Times New Roman"/>
          <w:b/>
          <w:sz w:val="24"/>
          <w:szCs w:val="24"/>
          <w:lang w:val="en-GB"/>
        </w:rPr>
      </w:pPr>
      <w:r w:rsidRPr="00F31E38">
        <w:rPr>
          <w:rFonts w:ascii="Times New Roman" w:eastAsia="Times New Roman" w:hAnsi="Times New Roman" w:cs="Times New Roman"/>
          <w:b/>
          <w:sz w:val="24"/>
          <w:szCs w:val="24"/>
          <w:lang w:val="en-GB"/>
        </w:rPr>
        <w:t>FACILITIES TO BE PROVIDED BY THE CONSULTANT</w:t>
      </w:r>
    </w:p>
    <w:p w14:paraId="54ABBF26" w14:textId="77777777" w:rsidR="00F31E38" w:rsidRPr="00F31E38" w:rsidRDefault="00F31E38" w:rsidP="00F31E38">
      <w:pPr>
        <w:shd w:val="clear" w:color="auto" w:fill="FFFFFF"/>
        <w:spacing w:after="0" w:line="23" w:lineRule="atLeast"/>
        <w:jc w:val="both"/>
        <w:rPr>
          <w:rFonts w:ascii="Times New Roman" w:eastAsia="Times New Roman" w:hAnsi="Times New Roman" w:cs="Times New Roman"/>
          <w:sz w:val="24"/>
          <w:szCs w:val="24"/>
          <w:lang w:val="en-GB"/>
        </w:rPr>
      </w:pPr>
      <w:r w:rsidRPr="00F31E38">
        <w:rPr>
          <w:rFonts w:ascii="Times New Roman" w:eastAsia="Times New Roman" w:hAnsi="Times New Roman" w:cs="Times New Roman"/>
          <w:sz w:val="24"/>
          <w:szCs w:val="24"/>
          <w:lang w:val="en-GB"/>
        </w:rPr>
        <w:t xml:space="preserve">The Consultant shall ensure that experts are adequately supported and equipped. In particular it must ensure that there is sufficient administrative, secretarial and interpreting provision to enable experts to concentrate on their primary responsibilities. </w:t>
      </w:r>
    </w:p>
    <w:p w14:paraId="5BD10AAA" w14:textId="77777777" w:rsidR="00F31E38" w:rsidRPr="00F31E38" w:rsidRDefault="00F31E38" w:rsidP="00F31E38">
      <w:pPr>
        <w:shd w:val="clear" w:color="auto" w:fill="FFFFFF"/>
        <w:spacing w:after="0" w:line="23" w:lineRule="atLeast"/>
        <w:jc w:val="both"/>
        <w:rPr>
          <w:rFonts w:ascii="Times New Roman" w:eastAsia="Times New Roman" w:hAnsi="Times New Roman" w:cs="Times New Roman"/>
          <w:sz w:val="24"/>
          <w:szCs w:val="24"/>
          <w:lang w:val="en-GB"/>
        </w:rPr>
      </w:pPr>
    </w:p>
    <w:p w14:paraId="7D93113E" w14:textId="77777777" w:rsidR="00F31E38" w:rsidRPr="00F31E38" w:rsidRDefault="00F31E38" w:rsidP="00F31E38">
      <w:pPr>
        <w:shd w:val="clear" w:color="auto" w:fill="FFFFFF"/>
        <w:spacing w:after="0" w:line="23" w:lineRule="atLeast"/>
        <w:jc w:val="both"/>
        <w:rPr>
          <w:rFonts w:ascii="Times New Roman" w:eastAsia="Times New Roman" w:hAnsi="Times New Roman" w:cs="Times New Roman"/>
          <w:sz w:val="24"/>
          <w:szCs w:val="24"/>
          <w:lang w:val="en-GB"/>
        </w:rPr>
      </w:pPr>
      <w:r w:rsidRPr="00F31E38">
        <w:rPr>
          <w:rFonts w:ascii="Times New Roman" w:eastAsia="Times New Roman" w:hAnsi="Times New Roman" w:cs="Times New Roman"/>
          <w:sz w:val="24"/>
          <w:szCs w:val="24"/>
          <w:lang w:val="en-GB"/>
        </w:rPr>
        <w:t>The Consultant must also ensure the timely delivery of all activities and reports and in case of a possible delay the Consultant must undertake necessary precautions and report the inconvenience to the MENR immediately.</w:t>
      </w:r>
    </w:p>
    <w:p w14:paraId="0E097089" w14:textId="77777777" w:rsidR="00F31E38" w:rsidRPr="00F31E38" w:rsidRDefault="00F31E38" w:rsidP="00F31E38">
      <w:pPr>
        <w:shd w:val="clear" w:color="auto" w:fill="FFFFFF"/>
        <w:spacing w:after="0" w:line="23" w:lineRule="atLeast"/>
        <w:jc w:val="both"/>
        <w:rPr>
          <w:rFonts w:ascii="Times New Roman" w:eastAsia="Times New Roman" w:hAnsi="Times New Roman" w:cs="Times New Roman"/>
          <w:sz w:val="24"/>
          <w:szCs w:val="24"/>
          <w:lang w:val="en-GB"/>
        </w:rPr>
      </w:pPr>
    </w:p>
    <w:p w14:paraId="1B2EF8BC" w14:textId="77777777" w:rsidR="00F31E38" w:rsidRPr="00F31E38" w:rsidRDefault="00F31E38" w:rsidP="00F31E38">
      <w:pPr>
        <w:spacing w:after="120" w:line="23" w:lineRule="atLeast"/>
        <w:jc w:val="both"/>
        <w:rPr>
          <w:rFonts w:ascii="Times New Roman" w:eastAsia="Times New Roman" w:hAnsi="Times New Roman" w:cs="Times New Roman"/>
          <w:sz w:val="24"/>
          <w:szCs w:val="24"/>
          <w:lang w:val="en-GB"/>
        </w:rPr>
      </w:pPr>
      <w:r w:rsidRPr="00F31E38">
        <w:rPr>
          <w:rFonts w:ascii="Times New Roman" w:eastAsia="Times New Roman" w:hAnsi="Times New Roman" w:cs="Times New Roman"/>
          <w:sz w:val="24"/>
          <w:szCs w:val="24"/>
          <w:lang w:val="en-GB"/>
        </w:rPr>
        <w:t>The Consultant will be responsible for provision of the services detailed under “4. Scope of Work” including the following:</w:t>
      </w:r>
    </w:p>
    <w:p w14:paraId="74090A47" w14:textId="77777777" w:rsidR="00F31E38" w:rsidRPr="00F31E38" w:rsidRDefault="00F31E38" w:rsidP="00F31E38">
      <w:pPr>
        <w:numPr>
          <w:ilvl w:val="0"/>
          <w:numId w:val="7"/>
        </w:numPr>
        <w:tabs>
          <w:tab w:val="left" w:pos="709"/>
        </w:tabs>
        <w:autoSpaceDE w:val="0"/>
        <w:autoSpaceDN w:val="0"/>
        <w:adjustRightInd w:val="0"/>
        <w:spacing w:after="120" w:line="23" w:lineRule="atLeast"/>
        <w:ind w:left="709" w:hanging="425"/>
        <w:jc w:val="both"/>
        <w:rPr>
          <w:rFonts w:ascii="Times New Roman" w:eastAsia="Times New Roman" w:hAnsi="Times New Roman" w:cs="Times New Roman"/>
          <w:sz w:val="24"/>
          <w:szCs w:val="24"/>
          <w:lang w:val="en-GB"/>
        </w:rPr>
      </w:pPr>
      <w:r w:rsidRPr="00F31E38">
        <w:rPr>
          <w:rFonts w:ascii="Times New Roman" w:eastAsia="Times New Roman" w:hAnsi="Times New Roman" w:cs="Times New Roman"/>
          <w:sz w:val="24"/>
          <w:szCs w:val="24"/>
          <w:lang w:val="en-GB"/>
        </w:rPr>
        <w:t>The Consultant shall cover the administrative costs of employing the relevant experts, such as relocation and repatriation expenses (incl. flights to and from Türkiye upon mobilization and demobilization), accommodation, expatriation allowances, leave, medical insurance and other employment benefits accorded to the experts by the Consultant,</w:t>
      </w:r>
    </w:p>
    <w:p w14:paraId="19DC38A9" w14:textId="77777777" w:rsidR="00F31E38" w:rsidRPr="00F31E38" w:rsidRDefault="00F31E38" w:rsidP="00F31E38">
      <w:pPr>
        <w:numPr>
          <w:ilvl w:val="0"/>
          <w:numId w:val="7"/>
        </w:numPr>
        <w:tabs>
          <w:tab w:val="left" w:pos="709"/>
        </w:tabs>
        <w:autoSpaceDE w:val="0"/>
        <w:autoSpaceDN w:val="0"/>
        <w:adjustRightInd w:val="0"/>
        <w:spacing w:after="120" w:line="23" w:lineRule="atLeast"/>
        <w:ind w:left="709" w:hanging="425"/>
        <w:jc w:val="both"/>
        <w:rPr>
          <w:rFonts w:ascii="Times New Roman" w:eastAsia="Times New Roman" w:hAnsi="Times New Roman" w:cs="Times New Roman"/>
          <w:sz w:val="24"/>
          <w:szCs w:val="24"/>
          <w:lang w:val="en-GB"/>
        </w:rPr>
      </w:pPr>
      <w:r w:rsidRPr="00F31E38">
        <w:rPr>
          <w:rFonts w:ascii="Times New Roman" w:eastAsia="Times New Roman" w:hAnsi="Times New Roman" w:cs="Times New Roman"/>
          <w:sz w:val="24"/>
          <w:szCs w:val="24"/>
          <w:lang w:val="en-GB"/>
        </w:rPr>
        <w:t>The Consultant shall provide office equipment and cover office running costs that necessary for the implementation of the project,</w:t>
      </w:r>
    </w:p>
    <w:p w14:paraId="30767068" w14:textId="77777777" w:rsidR="00F31E38" w:rsidRPr="00F31E38" w:rsidRDefault="00F31E38" w:rsidP="00F31E38">
      <w:pPr>
        <w:numPr>
          <w:ilvl w:val="0"/>
          <w:numId w:val="7"/>
        </w:numPr>
        <w:tabs>
          <w:tab w:val="left" w:pos="709"/>
        </w:tabs>
        <w:autoSpaceDE w:val="0"/>
        <w:autoSpaceDN w:val="0"/>
        <w:adjustRightInd w:val="0"/>
        <w:spacing w:after="120" w:line="23" w:lineRule="atLeast"/>
        <w:ind w:left="709" w:hanging="425"/>
        <w:jc w:val="both"/>
        <w:rPr>
          <w:rFonts w:ascii="Times New Roman" w:eastAsia="Times New Roman" w:hAnsi="Times New Roman" w:cs="Times New Roman"/>
          <w:sz w:val="24"/>
          <w:szCs w:val="24"/>
          <w:lang w:val="en-GB"/>
        </w:rPr>
      </w:pPr>
      <w:r w:rsidRPr="00F31E38">
        <w:rPr>
          <w:rFonts w:ascii="Times New Roman" w:eastAsia="Times New Roman" w:hAnsi="Times New Roman" w:cs="Times New Roman"/>
          <w:sz w:val="24"/>
          <w:szCs w:val="24"/>
          <w:lang w:val="en-GB"/>
        </w:rPr>
        <w:t>The Consultant will cover cost of study visits including travel (national and international including inter and intra city travels), accommodation (in at least 4-star hotel or equivalent) and meals and beverages of the participants as well as fees of the institution to be visited and visa costs, etc. However, no pocket money shall be paid to civil servants in any case. (In any case, for all participants of this project’s activities, daily costs shall not exceed the per diem rates published on the below-mentioned EuropeAid website: https://www.eeas.europa.eu/sites/default/files/documents/2024/Annexe%20M%20Current%20per%20diem%20rates.pdf)</w:t>
      </w:r>
    </w:p>
    <w:p w14:paraId="4AC3046C" w14:textId="77777777" w:rsidR="00F31E38" w:rsidRPr="00F31E38" w:rsidRDefault="00F31E38" w:rsidP="00F31E38">
      <w:pPr>
        <w:numPr>
          <w:ilvl w:val="0"/>
          <w:numId w:val="7"/>
        </w:numPr>
        <w:tabs>
          <w:tab w:val="left" w:pos="709"/>
        </w:tabs>
        <w:autoSpaceDE w:val="0"/>
        <w:autoSpaceDN w:val="0"/>
        <w:adjustRightInd w:val="0"/>
        <w:spacing w:after="120" w:line="23" w:lineRule="atLeast"/>
        <w:ind w:left="709" w:hanging="425"/>
        <w:jc w:val="both"/>
        <w:rPr>
          <w:rFonts w:ascii="Times New Roman" w:eastAsia="Times New Roman" w:hAnsi="Times New Roman" w:cs="Times New Roman"/>
          <w:sz w:val="24"/>
          <w:szCs w:val="24"/>
          <w:lang w:val="en-GB"/>
        </w:rPr>
      </w:pPr>
      <w:r w:rsidRPr="00F31E38">
        <w:rPr>
          <w:rFonts w:ascii="Times New Roman" w:eastAsia="Times New Roman" w:hAnsi="Times New Roman" w:cs="Times New Roman"/>
          <w:sz w:val="24"/>
          <w:szCs w:val="24"/>
          <w:lang w:val="en-GB"/>
        </w:rPr>
        <w:t xml:space="preserve">For workshop and training activities to held in a hotel as per Section 4 of this Terms of Reference, the Consultant shall arrange and cover the cost of venue as well as food and beverages to be served during lunch and coffee breaks. </w:t>
      </w:r>
    </w:p>
    <w:p w14:paraId="368D7761" w14:textId="77777777" w:rsidR="00F31E38" w:rsidRPr="00F31E38" w:rsidRDefault="00F31E38" w:rsidP="00F31E38">
      <w:pPr>
        <w:numPr>
          <w:ilvl w:val="0"/>
          <w:numId w:val="7"/>
        </w:numPr>
        <w:tabs>
          <w:tab w:val="left" w:pos="709"/>
        </w:tabs>
        <w:autoSpaceDE w:val="0"/>
        <w:autoSpaceDN w:val="0"/>
        <w:adjustRightInd w:val="0"/>
        <w:spacing w:after="120" w:line="23" w:lineRule="atLeast"/>
        <w:ind w:left="709" w:hanging="425"/>
        <w:jc w:val="both"/>
        <w:rPr>
          <w:rFonts w:ascii="Times New Roman" w:eastAsia="Times New Roman" w:hAnsi="Times New Roman" w:cs="Times New Roman"/>
          <w:sz w:val="24"/>
          <w:szCs w:val="24"/>
          <w:lang w:val="en-GB"/>
        </w:rPr>
      </w:pPr>
      <w:r w:rsidRPr="00F31E38">
        <w:rPr>
          <w:rFonts w:ascii="Times New Roman" w:eastAsia="Times New Roman" w:hAnsi="Times New Roman" w:cs="Times New Roman"/>
          <w:sz w:val="24"/>
          <w:szCs w:val="24"/>
          <w:lang w:val="en-GB"/>
        </w:rPr>
        <w:t>The Consultant will meet the cost of translation and interpretation (including the costs of simultaneous translation for trainings, meetings, study visits, workshops and translation of all reports),</w:t>
      </w:r>
    </w:p>
    <w:p w14:paraId="6C299D67" w14:textId="77777777" w:rsidR="00F31E38" w:rsidRPr="00F31E38" w:rsidRDefault="00F31E38" w:rsidP="00F31E38">
      <w:pPr>
        <w:numPr>
          <w:ilvl w:val="0"/>
          <w:numId w:val="7"/>
        </w:numPr>
        <w:tabs>
          <w:tab w:val="left" w:pos="709"/>
        </w:tabs>
        <w:autoSpaceDE w:val="0"/>
        <w:autoSpaceDN w:val="0"/>
        <w:adjustRightInd w:val="0"/>
        <w:spacing w:after="120" w:line="23" w:lineRule="atLeast"/>
        <w:ind w:left="709" w:hanging="425"/>
        <w:jc w:val="both"/>
        <w:rPr>
          <w:rFonts w:ascii="Times New Roman" w:eastAsia="Times New Roman" w:hAnsi="Times New Roman" w:cs="Times New Roman"/>
          <w:sz w:val="24"/>
          <w:szCs w:val="24"/>
          <w:lang w:val="en-GB"/>
        </w:rPr>
      </w:pPr>
      <w:r w:rsidRPr="00F31E38">
        <w:rPr>
          <w:rFonts w:ascii="Times New Roman" w:eastAsia="Times New Roman" w:hAnsi="Times New Roman" w:cs="Times New Roman"/>
          <w:sz w:val="24"/>
          <w:szCs w:val="24"/>
          <w:lang w:val="en-GB"/>
        </w:rPr>
        <w:t>The Consultant will ensure proper communication (English/Turkish) with interlocutors and language barriers should be addressed by the Consultant during implementation.</w:t>
      </w:r>
    </w:p>
    <w:p w14:paraId="1388581B" w14:textId="77777777" w:rsidR="00F31E38" w:rsidRPr="00F31E38" w:rsidRDefault="00F31E38" w:rsidP="00F31E38">
      <w:pPr>
        <w:numPr>
          <w:ilvl w:val="0"/>
          <w:numId w:val="7"/>
        </w:numPr>
        <w:tabs>
          <w:tab w:val="left" w:pos="709"/>
        </w:tabs>
        <w:autoSpaceDE w:val="0"/>
        <w:autoSpaceDN w:val="0"/>
        <w:adjustRightInd w:val="0"/>
        <w:spacing w:after="120" w:line="23" w:lineRule="atLeast"/>
        <w:ind w:left="709" w:hanging="425"/>
        <w:jc w:val="both"/>
        <w:rPr>
          <w:rFonts w:ascii="Times New Roman" w:eastAsia="Times New Roman" w:hAnsi="Times New Roman" w:cs="Times New Roman"/>
          <w:sz w:val="24"/>
          <w:szCs w:val="24"/>
          <w:lang w:val="en-GB"/>
        </w:rPr>
      </w:pPr>
      <w:r w:rsidRPr="00F31E38">
        <w:rPr>
          <w:rFonts w:ascii="Times New Roman" w:eastAsia="Times New Roman" w:hAnsi="Times New Roman" w:cs="Times New Roman"/>
          <w:sz w:val="24"/>
          <w:szCs w:val="24"/>
          <w:lang w:val="en-GB"/>
        </w:rPr>
        <w:t xml:space="preserve">The Consultant will cover cost of visibility materials, including printing, duplication and dissemination. </w:t>
      </w:r>
    </w:p>
    <w:p w14:paraId="70A8B5A2" w14:textId="77777777" w:rsidR="00F31E38" w:rsidRPr="00F31E38" w:rsidRDefault="00F31E38" w:rsidP="00F31E38">
      <w:pPr>
        <w:spacing w:after="0" w:line="240" w:lineRule="auto"/>
        <w:rPr>
          <w:rFonts w:ascii="Times New Roman" w:eastAsia="Times New Roman" w:hAnsi="Times New Roman" w:cs="Times New Roman"/>
          <w:sz w:val="24"/>
          <w:szCs w:val="24"/>
          <w:lang w:val="en-GB"/>
        </w:rPr>
      </w:pPr>
    </w:p>
    <w:p w14:paraId="134D000A" w14:textId="77777777" w:rsidR="00F31E38" w:rsidRPr="00F31E38" w:rsidRDefault="00F31E38" w:rsidP="00F31E38">
      <w:pPr>
        <w:keepNext/>
        <w:keepLines/>
        <w:numPr>
          <w:ilvl w:val="0"/>
          <w:numId w:val="15"/>
        </w:numPr>
        <w:spacing w:before="240" w:after="240" w:line="23" w:lineRule="atLeast"/>
        <w:jc w:val="both"/>
        <w:outlineLvl w:val="0"/>
        <w:rPr>
          <w:rFonts w:ascii="Times New Roman" w:eastAsia="Times New Roman" w:hAnsi="Times New Roman" w:cs="Times New Roman"/>
          <w:b/>
          <w:sz w:val="24"/>
          <w:szCs w:val="24"/>
          <w:lang w:val="en-GB"/>
        </w:rPr>
      </w:pPr>
      <w:r w:rsidRPr="00F31E38">
        <w:rPr>
          <w:rFonts w:ascii="Times New Roman" w:eastAsia="Times New Roman" w:hAnsi="Times New Roman" w:cs="Times New Roman"/>
          <w:b/>
          <w:sz w:val="24"/>
          <w:szCs w:val="24"/>
          <w:lang w:val="en-GB"/>
        </w:rPr>
        <w:t>GENERAL RULES ON PUBLICITY AND VISIBILITY FOR EU FUNDED PROJECTS</w:t>
      </w:r>
      <w:bookmarkEnd w:id="22"/>
      <w:bookmarkEnd w:id="23"/>
    </w:p>
    <w:p w14:paraId="0C074099" w14:textId="77777777" w:rsidR="00F31E38" w:rsidRPr="00F31E38" w:rsidRDefault="00F31E38" w:rsidP="00F31E38">
      <w:pPr>
        <w:spacing w:before="120" w:after="120" w:line="240" w:lineRule="auto"/>
        <w:jc w:val="both"/>
        <w:rPr>
          <w:rFonts w:ascii="Times New Roman" w:eastAsia="Times New Roman" w:hAnsi="Times New Roman" w:cs="Times New Roman"/>
          <w:sz w:val="24"/>
          <w:szCs w:val="24"/>
          <w:lang w:val="en-GB"/>
        </w:rPr>
      </w:pPr>
      <w:r w:rsidRPr="00F31E38">
        <w:rPr>
          <w:rFonts w:ascii="Times New Roman" w:eastAsia="Times New Roman" w:hAnsi="Times New Roman" w:cs="Times New Roman"/>
          <w:sz w:val="24"/>
          <w:szCs w:val="24"/>
          <w:lang w:val="en-GB"/>
        </w:rPr>
        <w:t>The Consultant shall take all necessary measures to publicize the fact that the European Union has financed the Program.</w:t>
      </w:r>
    </w:p>
    <w:p w14:paraId="0D45F392" w14:textId="77777777" w:rsidR="00F31E38" w:rsidRPr="00F31E38" w:rsidRDefault="00F31E38" w:rsidP="00F31E38">
      <w:pPr>
        <w:spacing w:before="120" w:after="120" w:line="240" w:lineRule="auto"/>
        <w:jc w:val="both"/>
        <w:rPr>
          <w:rFonts w:ascii="Times New Roman" w:eastAsia="Times New Roman" w:hAnsi="Times New Roman" w:cs="Times New Roman"/>
          <w:sz w:val="24"/>
          <w:szCs w:val="24"/>
          <w:lang w:val="en-GB"/>
        </w:rPr>
      </w:pPr>
      <w:r w:rsidRPr="00F31E38">
        <w:rPr>
          <w:rFonts w:ascii="Times New Roman" w:eastAsia="Times New Roman" w:hAnsi="Times New Roman" w:cs="Times New Roman"/>
          <w:sz w:val="24"/>
          <w:szCs w:val="24"/>
          <w:lang w:val="en-GB"/>
        </w:rPr>
        <w:lastRenderedPageBreak/>
        <w:t xml:space="preserve">In addition, the Consultant shall take the necessary measures to ensure the visibility of the European Union financing or co financing. These measures must comply with the rules laid down and published by the Commission on the visibility of external operations: </w:t>
      </w:r>
      <w:hyperlink r:id="rId7" w:history="1">
        <w:r w:rsidRPr="00F31E38">
          <w:rPr>
            <w:rFonts w:ascii="Times New Roman" w:eastAsia="Times New Roman" w:hAnsi="Times New Roman" w:cs="Times New Roman"/>
            <w:color w:val="0000FF"/>
            <w:sz w:val="24"/>
            <w:szCs w:val="24"/>
            <w:u w:val="single"/>
            <w:lang w:val="en-GB"/>
          </w:rPr>
          <w:t>https://ec.europa.eu/europeaid/communication-and-visibility-manual-eu-external-actions_en</w:t>
        </w:r>
      </w:hyperlink>
      <w:r w:rsidRPr="00F31E38">
        <w:rPr>
          <w:rFonts w:ascii="Times New Roman" w:eastAsia="Times New Roman" w:hAnsi="Times New Roman" w:cs="Times New Roman"/>
          <w:sz w:val="24"/>
          <w:szCs w:val="24"/>
          <w:u w:val="single"/>
          <w:lang w:val="en-GB"/>
        </w:rPr>
        <w:t xml:space="preserve"> </w:t>
      </w:r>
      <w:r w:rsidRPr="00F31E38">
        <w:rPr>
          <w:rFonts w:ascii="Times New Roman" w:eastAsia="Times New Roman" w:hAnsi="Times New Roman" w:cs="Times New Roman"/>
          <w:sz w:val="24"/>
          <w:szCs w:val="24"/>
          <w:lang w:val="en-GB"/>
        </w:rPr>
        <w:t xml:space="preserve"> </w:t>
      </w:r>
    </w:p>
    <w:p w14:paraId="4F9DCE2D" w14:textId="77777777" w:rsidR="00F31E38" w:rsidRPr="00F31E38" w:rsidRDefault="00F31E38" w:rsidP="00F31E38">
      <w:pPr>
        <w:spacing w:before="120" w:after="120" w:line="240" w:lineRule="auto"/>
        <w:jc w:val="both"/>
        <w:rPr>
          <w:rFonts w:ascii="Times New Roman" w:eastAsia="Times New Roman" w:hAnsi="Times New Roman" w:cs="Times New Roman"/>
          <w:sz w:val="24"/>
          <w:szCs w:val="24"/>
          <w:lang w:val="en-GB"/>
        </w:rPr>
      </w:pPr>
      <w:r w:rsidRPr="00F31E38">
        <w:rPr>
          <w:rFonts w:ascii="Times New Roman" w:eastAsia="Times New Roman" w:hAnsi="Times New Roman" w:cs="Times New Roman"/>
          <w:sz w:val="24"/>
          <w:szCs w:val="24"/>
          <w:lang w:val="en-GB"/>
        </w:rPr>
        <w:t xml:space="preserve">All projects/contracts implemented under this program shall comply with the </w:t>
      </w:r>
      <w:r w:rsidRPr="00F31E38">
        <w:rPr>
          <w:rFonts w:ascii="Times New Roman" w:eastAsia="Times New Roman" w:hAnsi="Times New Roman" w:cs="Times New Roman"/>
          <w:b/>
          <w:bCs/>
          <w:sz w:val="24"/>
          <w:szCs w:val="24"/>
          <w:lang w:val="en-GB"/>
        </w:rPr>
        <w:t xml:space="preserve">Visibility Guidelines for European Commission Projects in Türkiye </w:t>
      </w:r>
      <w:r w:rsidRPr="00F31E38">
        <w:rPr>
          <w:rFonts w:ascii="Times New Roman" w:eastAsia="Times New Roman" w:hAnsi="Times New Roman" w:cs="Times New Roman"/>
          <w:sz w:val="24"/>
          <w:szCs w:val="24"/>
          <w:lang w:val="en-GB"/>
        </w:rPr>
        <w:t>published by the EU Delegation to Türkiye, at:</w:t>
      </w:r>
    </w:p>
    <w:p w14:paraId="73FB7FA4" w14:textId="77777777" w:rsidR="00F31E38" w:rsidRPr="00F31E38" w:rsidRDefault="00F31E38" w:rsidP="00F31E38">
      <w:pPr>
        <w:spacing w:before="120" w:after="120" w:line="240" w:lineRule="auto"/>
        <w:jc w:val="both"/>
        <w:rPr>
          <w:rFonts w:ascii="Times New Roman" w:eastAsia="Times New Roman" w:hAnsi="Times New Roman" w:cs="Times New Roman"/>
          <w:sz w:val="24"/>
          <w:szCs w:val="24"/>
          <w:lang w:val="en-GB"/>
        </w:rPr>
      </w:pPr>
      <w:r w:rsidRPr="00F31E38">
        <w:rPr>
          <w:rFonts w:ascii="Times New Roman" w:hAnsi="Times New Roman" w:cs="Times New Roman"/>
          <w:sz w:val="24"/>
          <w:szCs w:val="24"/>
        </w:rPr>
        <w:t>https://www.eeas.europa.eu/delegations/t%C3%BCrkiye/visibility-guidelines-clarification-2022-guidelines-communicating-and-raising-eu-visibility_en</w:t>
      </w:r>
    </w:p>
    <w:p w14:paraId="125CBAFB" w14:textId="77777777" w:rsidR="00F31E38" w:rsidRPr="00F31E38" w:rsidRDefault="00F31E38" w:rsidP="00F31E38">
      <w:pPr>
        <w:spacing w:before="120" w:after="120" w:line="240" w:lineRule="auto"/>
        <w:jc w:val="both"/>
        <w:rPr>
          <w:rFonts w:ascii="Times New Roman" w:eastAsia="Times New Roman" w:hAnsi="Times New Roman" w:cs="Times New Roman"/>
          <w:sz w:val="24"/>
          <w:szCs w:val="24"/>
          <w:lang w:val="en-GB"/>
        </w:rPr>
      </w:pPr>
      <w:r w:rsidRPr="00F31E38">
        <w:rPr>
          <w:rFonts w:ascii="Times New Roman" w:eastAsia="Times New Roman" w:hAnsi="Times New Roman" w:cs="Times New Roman"/>
          <w:sz w:val="24"/>
          <w:szCs w:val="24"/>
          <w:lang w:val="en-GB"/>
        </w:rPr>
        <w:t xml:space="preserve">All communication and visibility activities should be carried out in close co-operation with the WB. The WB is the main authority in charge of reviewing and approving visibility-related materials and activities. Before initiating any information, communication or visibility material and activity, Consultant and implementing partners should seek the approval of the WB in writing. </w:t>
      </w:r>
    </w:p>
    <w:p w14:paraId="0A7DE12A" w14:textId="77777777" w:rsidR="00F31E38" w:rsidRPr="00F31E38" w:rsidRDefault="00F31E38" w:rsidP="00F31E38">
      <w:pPr>
        <w:spacing w:before="120" w:after="120" w:line="240" w:lineRule="auto"/>
        <w:jc w:val="both"/>
        <w:rPr>
          <w:rFonts w:ascii="Times New Roman" w:eastAsia="Times New Roman" w:hAnsi="Times New Roman" w:cs="Times New Roman"/>
          <w:sz w:val="24"/>
          <w:szCs w:val="24"/>
          <w:lang w:val="en-GB"/>
        </w:rPr>
      </w:pPr>
      <w:r w:rsidRPr="00F31E38">
        <w:rPr>
          <w:rFonts w:ascii="Times New Roman" w:eastAsia="Times New Roman" w:hAnsi="Times New Roman" w:cs="Times New Roman"/>
          <w:sz w:val="24"/>
          <w:szCs w:val="24"/>
          <w:lang w:val="en-GB"/>
        </w:rPr>
        <w:t xml:space="preserve">The EU-Türkiye cooperation logo should be accompanied by the following text: </w:t>
      </w:r>
    </w:p>
    <w:p w14:paraId="1A33C1A8" w14:textId="77777777" w:rsidR="00F31E38" w:rsidRPr="00F31E38" w:rsidRDefault="00F31E38" w:rsidP="00F31E38">
      <w:pPr>
        <w:spacing w:before="120" w:after="120" w:line="240" w:lineRule="auto"/>
        <w:jc w:val="both"/>
        <w:rPr>
          <w:rFonts w:ascii="Times New Roman" w:eastAsia="Times New Roman" w:hAnsi="Times New Roman" w:cs="Times New Roman"/>
          <w:sz w:val="24"/>
          <w:szCs w:val="24"/>
          <w:lang w:val="en-GB"/>
        </w:rPr>
      </w:pPr>
      <w:r w:rsidRPr="00F31E38">
        <w:rPr>
          <w:rFonts w:ascii="Times New Roman" w:eastAsia="Times New Roman" w:hAnsi="Times New Roman" w:cs="Times New Roman"/>
          <w:sz w:val="24"/>
          <w:szCs w:val="24"/>
          <w:lang w:val="en-GB"/>
        </w:rPr>
        <w:t>“</w:t>
      </w:r>
      <w:r w:rsidRPr="00F31E38">
        <w:rPr>
          <w:rFonts w:ascii="Times New Roman" w:eastAsia="Times New Roman" w:hAnsi="Times New Roman" w:cs="Times New Roman"/>
          <w:i/>
          <w:iCs/>
          <w:sz w:val="24"/>
          <w:szCs w:val="24"/>
          <w:lang w:val="en-GB"/>
        </w:rPr>
        <w:t>This project is financed by the European Union.”</w:t>
      </w:r>
      <w:r w:rsidRPr="00F31E38">
        <w:rPr>
          <w:rFonts w:ascii="Times New Roman" w:eastAsia="Times New Roman" w:hAnsi="Times New Roman" w:cs="Times New Roman"/>
          <w:sz w:val="24"/>
          <w:szCs w:val="24"/>
          <w:lang w:val="en-GB"/>
        </w:rPr>
        <w:t xml:space="preserve"> </w:t>
      </w:r>
    </w:p>
    <w:p w14:paraId="4E9902C0" w14:textId="77777777" w:rsidR="00F31E38" w:rsidRPr="00F31E38" w:rsidRDefault="00F31E38" w:rsidP="00F31E38">
      <w:pPr>
        <w:spacing w:before="120" w:after="120" w:line="240" w:lineRule="auto"/>
        <w:jc w:val="both"/>
        <w:rPr>
          <w:rFonts w:ascii="Times New Roman" w:eastAsia="Times New Roman" w:hAnsi="Times New Roman" w:cs="Times New Roman"/>
          <w:sz w:val="24"/>
          <w:szCs w:val="24"/>
          <w:lang w:val="en-GB"/>
        </w:rPr>
      </w:pPr>
      <w:r w:rsidRPr="00F31E38">
        <w:rPr>
          <w:rFonts w:ascii="Times New Roman" w:eastAsia="Times New Roman" w:hAnsi="Times New Roman" w:cs="Times New Roman"/>
          <w:sz w:val="24"/>
          <w:szCs w:val="24"/>
          <w:lang w:val="en-GB"/>
        </w:rPr>
        <w:t xml:space="preserve">Whether used in the form of the EU-Türkiye cooperation logo for information materials or separately at events, the EU and Turkish flag have to enjoy at least double prominence each, both in terms of size and placement in relation to other displayed logos and should appear on all materials and at all events as per the Communication and Visibility Manual for European Union External Actions. At visibility events, the Turkish and the EU flag have to be displayed prominently and separately from any logos. </w:t>
      </w:r>
    </w:p>
    <w:p w14:paraId="5F0B6CD8" w14:textId="77777777" w:rsidR="00F31E38" w:rsidRPr="00F31E38" w:rsidRDefault="00F31E38" w:rsidP="00F31E38">
      <w:pPr>
        <w:spacing w:before="120" w:after="120" w:line="240" w:lineRule="auto"/>
        <w:jc w:val="both"/>
        <w:rPr>
          <w:rFonts w:ascii="Times New Roman" w:eastAsia="Times New Roman" w:hAnsi="Times New Roman" w:cs="Times New Roman"/>
          <w:sz w:val="24"/>
          <w:szCs w:val="24"/>
          <w:lang w:val="en-GB"/>
        </w:rPr>
      </w:pPr>
      <w:r w:rsidRPr="00F31E38">
        <w:rPr>
          <w:rFonts w:ascii="Times New Roman" w:eastAsia="Times New Roman" w:hAnsi="Times New Roman" w:cs="Times New Roman"/>
          <w:sz w:val="24"/>
          <w:szCs w:val="24"/>
          <w:lang w:val="en-GB"/>
        </w:rPr>
        <w:t>Logos of EMRA and the WB should be clearly separated from the EU-Türkiye partnership logo and be maximum half the size of each flag. The logos will not be accompanied by any text. The WB and EMRA logo will be on the lower left-hand corner and lower right-hand corner respectively. The Consultant logo with the same size will be in the middle of the WB and EMRA logo. If the Consultant is a consortium, only the logo of the consortium leader will be displayed.</w:t>
      </w:r>
    </w:p>
    <w:p w14:paraId="545B864A" w14:textId="77777777" w:rsidR="00F31E38" w:rsidRPr="00F31E38" w:rsidRDefault="00F31E38" w:rsidP="00F31E38">
      <w:pPr>
        <w:spacing w:before="120" w:after="120" w:line="240" w:lineRule="auto"/>
        <w:jc w:val="both"/>
        <w:rPr>
          <w:rFonts w:ascii="Times New Roman" w:eastAsia="Times New Roman" w:hAnsi="Times New Roman" w:cs="Times New Roman"/>
          <w:sz w:val="24"/>
          <w:szCs w:val="24"/>
          <w:lang w:val="en-GB"/>
        </w:rPr>
      </w:pPr>
      <w:r w:rsidRPr="00F31E38">
        <w:rPr>
          <w:rFonts w:ascii="Times New Roman" w:eastAsia="Times New Roman" w:hAnsi="Times New Roman" w:cs="Times New Roman"/>
          <w:sz w:val="24"/>
          <w:szCs w:val="24"/>
          <w:lang w:val="en-GB"/>
        </w:rPr>
        <w:t>Any publication by the Consultant, in whatever form and by whatever medium, including the Internet, shall carry the following or a similar warning: “</w:t>
      </w:r>
      <w:r w:rsidRPr="00F31E38">
        <w:rPr>
          <w:rFonts w:ascii="Times New Roman" w:eastAsia="Times New Roman" w:hAnsi="Times New Roman" w:cs="Times New Roman"/>
          <w:i/>
          <w:iCs/>
          <w:sz w:val="24"/>
          <w:szCs w:val="24"/>
          <w:lang w:val="en-GB"/>
        </w:rPr>
        <w:t>This document has been produced with the financial assistance of the European Union</w:t>
      </w:r>
      <w:r w:rsidRPr="00F31E38">
        <w:rPr>
          <w:rFonts w:ascii="Times New Roman" w:eastAsia="Times New Roman" w:hAnsi="Times New Roman" w:cs="Times New Roman"/>
          <w:sz w:val="24"/>
          <w:szCs w:val="24"/>
          <w:lang w:val="en-GB"/>
        </w:rPr>
        <w:t>”. In addition, the back cover of any such publications by the Consultant should also contain the following disclaimer: “</w:t>
      </w:r>
      <w:r w:rsidRPr="00F31E38">
        <w:rPr>
          <w:rFonts w:ascii="Times New Roman" w:eastAsia="Times New Roman" w:hAnsi="Times New Roman" w:cs="Times New Roman"/>
          <w:i/>
          <w:iCs/>
          <w:sz w:val="24"/>
          <w:szCs w:val="24"/>
          <w:lang w:val="en-GB"/>
        </w:rPr>
        <w:t>The contents of this publication are the sole responsibility of name of the author/Consultant/– and can in no way be taken to reflect the views of the European Union, World Bank Group or the Government of Türkiye</w:t>
      </w:r>
      <w:r w:rsidRPr="00F31E38">
        <w:rPr>
          <w:rFonts w:ascii="Times New Roman" w:eastAsia="Times New Roman" w:hAnsi="Times New Roman" w:cs="Times New Roman"/>
          <w:sz w:val="24"/>
          <w:szCs w:val="24"/>
          <w:lang w:val="en-GB"/>
        </w:rPr>
        <w:t>”.</w:t>
      </w:r>
    </w:p>
    <w:p w14:paraId="563BAD55" w14:textId="77777777" w:rsidR="00F31E38" w:rsidRPr="00F31E38" w:rsidRDefault="00F31E38" w:rsidP="00F31E38">
      <w:pPr>
        <w:jc w:val="both"/>
        <w:rPr>
          <w:rFonts w:ascii="Times New Roman" w:hAnsi="Times New Roman" w:cs="Times New Roman"/>
          <w:bCs/>
          <w:iCs/>
          <w:color w:val="1A1A1E"/>
          <w:sz w:val="24"/>
          <w:szCs w:val="24"/>
          <w:shd w:val="clear" w:color="auto" w:fill="FFFFFF"/>
          <w:lang w:val="en-US"/>
        </w:rPr>
      </w:pPr>
    </w:p>
    <w:p w14:paraId="4A7577A9" w14:textId="77777777" w:rsidR="00F31E38" w:rsidRPr="00F31E38" w:rsidRDefault="00F31E38" w:rsidP="00F31E38"/>
    <w:p w14:paraId="177C69CF" w14:textId="77777777" w:rsidR="00F31E38" w:rsidRPr="00F31E38" w:rsidRDefault="00F31E38" w:rsidP="00F31E38"/>
    <w:p w14:paraId="1B249650" w14:textId="77777777" w:rsidR="00F31E38" w:rsidRPr="00C40618" w:rsidRDefault="00F31E38" w:rsidP="001C11AC">
      <w:pPr>
        <w:spacing w:after="0" w:line="240" w:lineRule="auto"/>
        <w:rPr>
          <w:rFonts w:ascii="Times New Roman" w:hAnsi="Times New Roman" w:cs="Times New Roman"/>
          <w:b/>
          <w:sz w:val="24"/>
          <w:szCs w:val="24"/>
          <w:lang w:val="en-GB"/>
        </w:rPr>
      </w:pPr>
    </w:p>
    <w:sectPr w:rsidR="00F31E38" w:rsidRPr="00C4061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A2"/>
    <w:family w:val="swiss"/>
    <w:pitch w:val="variable"/>
    <w:sig w:usb0="E4002EFF" w:usb1="C000E47F" w:usb2="00000009" w:usb3="00000000" w:csb0="000001FF" w:csb1="00000000"/>
  </w:font>
  <w:font w:name="Times-Bold">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201F56"/>
    <w:multiLevelType w:val="hybridMultilevel"/>
    <w:tmpl w:val="89A4F07A"/>
    <w:lvl w:ilvl="0" w:tplc="FD509546">
      <w:start w:val="1"/>
      <w:numFmt w:val="lowerRoman"/>
      <w:lvlText w:val="%1."/>
      <w:lvlJc w:val="left"/>
      <w:pPr>
        <w:ind w:left="1440" w:hanging="720"/>
      </w:pPr>
      <w:rPr>
        <w:rFonts w:ascii="Times New Roman" w:eastAsiaTheme="minorHAnsi" w:hAnsi="Times New Roman" w:cs="Times New Roman"/>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 w15:restartNumberingAfterBreak="0">
    <w:nsid w:val="173A4014"/>
    <w:multiLevelType w:val="hybridMultilevel"/>
    <w:tmpl w:val="FCD892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A25344E"/>
    <w:multiLevelType w:val="hybridMultilevel"/>
    <w:tmpl w:val="1540BE14"/>
    <w:lvl w:ilvl="0" w:tplc="8A405D22">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6140C85"/>
    <w:multiLevelType w:val="hybridMultilevel"/>
    <w:tmpl w:val="2EB8C672"/>
    <w:lvl w:ilvl="0" w:tplc="73561036">
      <w:start w:val="1"/>
      <w:numFmt w:val="low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4" w15:restartNumberingAfterBreak="0">
    <w:nsid w:val="2D333BD0"/>
    <w:multiLevelType w:val="multilevel"/>
    <w:tmpl w:val="3B4ACE6A"/>
    <w:lvl w:ilvl="0">
      <w:start w:val="1"/>
      <w:numFmt w:val="decimal"/>
      <w:lvlText w:val="%1."/>
      <w:lvlJc w:val="left"/>
      <w:pPr>
        <w:ind w:left="360" w:hanging="360"/>
      </w:pPr>
      <w:rPr>
        <w:rFonts w:hint="default"/>
        <w:b/>
      </w:rPr>
    </w:lvl>
    <w:lvl w:ilvl="1">
      <w:start w:val="1"/>
      <w:numFmt w:val="decimal"/>
      <w:lvlText w:val="%1.%2."/>
      <w:lvlJc w:val="left"/>
      <w:pPr>
        <w:ind w:left="792" w:hanging="432"/>
      </w:pPr>
      <w:rPr>
        <w:b/>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7630B97"/>
    <w:multiLevelType w:val="hybridMultilevel"/>
    <w:tmpl w:val="33745892"/>
    <w:lvl w:ilvl="0" w:tplc="E4205696">
      <w:start w:val="1"/>
      <w:numFmt w:val="lowerRoman"/>
      <w:lvlText w:val="(%1)"/>
      <w:lvlJc w:val="left"/>
      <w:pPr>
        <w:ind w:left="1080" w:hanging="720"/>
      </w:pPr>
      <w:rPr>
        <w:rFonts w:cstheme="minorBid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E520E11"/>
    <w:multiLevelType w:val="multilevel"/>
    <w:tmpl w:val="CB7A8950"/>
    <w:lvl w:ilvl="0">
      <w:start w:val="3"/>
      <w:numFmt w:val="decimal"/>
      <w:lvlText w:val="%1"/>
      <w:lvlJc w:val="left"/>
      <w:pPr>
        <w:ind w:left="360" w:hanging="360"/>
      </w:pPr>
      <w:rPr>
        <w:rFonts w:ascii="Times New Roman" w:hAnsi="Times New Roman" w:hint="default"/>
        <w:sz w:val="24"/>
      </w:rPr>
    </w:lvl>
    <w:lvl w:ilvl="1">
      <w:start w:val="1"/>
      <w:numFmt w:val="decimal"/>
      <w:lvlText w:val="%1.%2"/>
      <w:lvlJc w:val="left"/>
      <w:pPr>
        <w:ind w:left="720" w:hanging="720"/>
      </w:pPr>
      <w:rPr>
        <w:rFonts w:ascii="Times New Roman" w:hAnsi="Times New Roman" w:hint="default"/>
        <w:sz w:val="24"/>
      </w:rPr>
    </w:lvl>
    <w:lvl w:ilvl="2">
      <w:start w:val="1"/>
      <w:numFmt w:val="decimal"/>
      <w:lvlText w:val="%1.%2.%3"/>
      <w:lvlJc w:val="left"/>
      <w:pPr>
        <w:ind w:left="720" w:hanging="720"/>
      </w:pPr>
      <w:rPr>
        <w:rFonts w:ascii="Times New Roman" w:hAnsi="Times New Roman" w:hint="default"/>
        <w:sz w:val="24"/>
      </w:rPr>
    </w:lvl>
    <w:lvl w:ilvl="3">
      <w:start w:val="1"/>
      <w:numFmt w:val="decimal"/>
      <w:lvlText w:val="%1.%2.%3.%4"/>
      <w:lvlJc w:val="left"/>
      <w:pPr>
        <w:ind w:left="1080" w:hanging="1080"/>
      </w:pPr>
      <w:rPr>
        <w:rFonts w:ascii="Times New Roman" w:hAnsi="Times New Roman" w:hint="default"/>
        <w:sz w:val="24"/>
      </w:rPr>
    </w:lvl>
    <w:lvl w:ilvl="4">
      <w:start w:val="1"/>
      <w:numFmt w:val="decimal"/>
      <w:lvlText w:val="%1.%2.%3.%4.%5"/>
      <w:lvlJc w:val="left"/>
      <w:pPr>
        <w:ind w:left="1440" w:hanging="1440"/>
      </w:pPr>
      <w:rPr>
        <w:rFonts w:ascii="Times New Roman" w:hAnsi="Times New Roman" w:hint="default"/>
        <w:sz w:val="24"/>
      </w:rPr>
    </w:lvl>
    <w:lvl w:ilvl="5">
      <w:start w:val="1"/>
      <w:numFmt w:val="decimal"/>
      <w:lvlText w:val="%1.%2.%3.%4.%5.%6"/>
      <w:lvlJc w:val="left"/>
      <w:pPr>
        <w:ind w:left="1440" w:hanging="1440"/>
      </w:pPr>
      <w:rPr>
        <w:rFonts w:ascii="Times New Roman" w:hAnsi="Times New Roman" w:hint="default"/>
        <w:sz w:val="24"/>
      </w:rPr>
    </w:lvl>
    <w:lvl w:ilvl="6">
      <w:start w:val="1"/>
      <w:numFmt w:val="decimal"/>
      <w:lvlText w:val="%1.%2.%3.%4.%5.%6.%7"/>
      <w:lvlJc w:val="left"/>
      <w:pPr>
        <w:ind w:left="1800" w:hanging="1800"/>
      </w:pPr>
      <w:rPr>
        <w:rFonts w:ascii="Times New Roman" w:hAnsi="Times New Roman" w:hint="default"/>
        <w:sz w:val="24"/>
      </w:rPr>
    </w:lvl>
    <w:lvl w:ilvl="7">
      <w:start w:val="1"/>
      <w:numFmt w:val="decimal"/>
      <w:lvlText w:val="%1.%2.%3.%4.%5.%6.%7.%8"/>
      <w:lvlJc w:val="left"/>
      <w:pPr>
        <w:ind w:left="2160" w:hanging="2160"/>
      </w:pPr>
      <w:rPr>
        <w:rFonts w:ascii="Times New Roman" w:hAnsi="Times New Roman" w:hint="default"/>
        <w:sz w:val="24"/>
      </w:rPr>
    </w:lvl>
    <w:lvl w:ilvl="8">
      <w:start w:val="1"/>
      <w:numFmt w:val="decimal"/>
      <w:lvlText w:val="%1.%2.%3.%4.%5.%6.%7.%8.%9"/>
      <w:lvlJc w:val="left"/>
      <w:pPr>
        <w:ind w:left="2160" w:hanging="2160"/>
      </w:pPr>
      <w:rPr>
        <w:rFonts w:ascii="Times New Roman" w:hAnsi="Times New Roman" w:hint="default"/>
        <w:sz w:val="24"/>
      </w:rPr>
    </w:lvl>
  </w:abstractNum>
  <w:abstractNum w:abstractNumId="7" w15:restartNumberingAfterBreak="0">
    <w:nsid w:val="3F61269B"/>
    <w:multiLevelType w:val="hybridMultilevel"/>
    <w:tmpl w:val="BFDAA408"/>
    <w:lvl w:ilvl="0" w:tplc="9BEC3C32">
      <w:start w:val="1"/>
      <w:numFmt w:val="lowerRoman"/>
      <w:lvlText w:val="(%1)"/>
      <w:lvlJc w:val="left"/>
      <w:pPr>
        <w:ind w:left="780" w:hanging="72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8" w15:restartNumberingAfterBreak="0">
    <w:nsid w:val="40E8368B"/>
    <w:multiLevelType w:val="hybridMultilevel"/>
    <w:tmpl w:val="54141AC8"/>
    <w:lvl w:ilvl="0" w:tplc="BF6C30DA">
      <w:start w:val="1"/>
      <w:numFmt w:val="lowerLetter"/>
      <w:lvlText w:val="%1."/>
      <w:lvlJc w:val="left"/>
      <w:pPr>
        <w:ind w:left="720" w:hanging="360"/>
      </w:pPr>
      <w:rPr>
        <w:rFonts w:ascii="Times New Roman" w:eastAsiaTheme="minorHAnsi" w:hAnsi="Times New Roman" w:cs="Times New Roman"/>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4BD561F9"/>
    <w:multiLevelType w:val="hybridMultilevel"/>
    <w:tmpl w:val="308247AA"/>
    <w:lvl w:ilvl="0" w:tplc="BA8E6D5A">
      <w:start w:val="1"/>
      <w:numFmt w:val="lowerLetter"/>
      <w:lvlText w:val="%1."/>
      <w:lvlJc w:val="left"/>
      <w:pPr>
        <w:ind w:left="720" w:hanging="360"/>
      </w:pPr>
      <w:rPr>
        <w:rFonts w:ascii="Times New Roman" w:eastAsiaTheme="minorHAnsi" w:hAnsi="Times New Roman" w:cs="Times New Roman"/>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562D4B1A"/>
    <w:multiLevelType w:val="hybridMultilevel"/>
    <w:tmpl w:val="E5F48950"/>
    <w:lvl w:ilvl="0" w:tplc="04090001">
      <w:start w:val="1"/>
      <w:numFmt w:val="bullet"/>
      <w:lvlText w:val=""/>
      <w:lvlJc w:val="left"/>
      <w:pPr>
        <w:ind w:left="1789" w:hanging="360"/>
      </w:pPr>
      <w:rPr>
        <w:rFonts w:ascii="Symbol" w:hAnsi="Symbol" w:hint="default"/>
      </w:rPr>
    </w:lvl>
    <w:lvl w:ilvl="1" w:tplc="04090003">
      <w:start w:val="1"/>
      <w:numFmt w:val="bullet"/>
      <w:lvlText w:val="o"/>
      <w:lvlJc w:val="left"/>
      <w:pPr>
        <w:ind w:left="2509" w:hanging="360"/>
      </w:pPr>
      <w:rPr>
        <w:rFonts w:ascii="Courier New" w:hAnsi="Courier New" w:cs="Courier New" w:hint="default"/>
      </w:rPr>
    </w:lvl>
    <w:lvl w:ilvl="2" w:tplc="04090005">
      <w:start w:val="1"/>
      <w:numFmt w:val="bullet"/>
      <w:lvlText w:val=""/>
      <w:lvlJc w:val="left"/>
      <w:pPr>
        <w:ind w:left="3229" w:hanging="360"/>
      </w:pPr>
      <w:rPr>
        <w:rFonts w:ascii="Wingdings" w:hAnsi="Wingdings" w:hint="default"/>
      </w:rPr>
    </w:lvl>
    <w:lvl w:ilvl="3" w:tplc="04090001">
      <w:start w:val="1"/>
      <w:numFmt w:val="bullet"/>
      <w:lvlText w:val=""/>
      <w:lvlJc w:val="left"/>
      <w:pPr>
        <w:ind w:left="3949" w:hanging="360"/>
      </w:pPr>
      <w:rPr>
        <w:rFonts w:ascii="Symbol" w:hAnsi="Symbol" w:hint="default"/>
      </w:rPr>
    </w:lvl>
    <w:lvl w:ilvl="4" w:tplc="04090003">
      <w:start w:val="1"/>
      <w:numFmt w:val="bullet"/>
      <w:lvlText w:val="o"/>
      <w:lvlJc w:val="left"/>
      <w:pPr>
        <w:ind w:left="4669" w:hanging="360"/>
      </w:pPr>
      <w:rPr>
        <w:rFonts w:ascii="Courier New" w:hAnsi="Courier New" w:cs="Courier New" w:hint="default"/>
      </w:rPr>
    </w:lvl>
    <w:lvl w:ilvl="5" w:tplc="04090005">
      <w:start w:val="1"/>
      <w:numFmt w:val="bullet"/>
      <w:lvlText w:val=""/>
      <w:lvlJc w:val="left"/>
      <w:pPr>
        <w:ind w:left="5389" w:hanging="360"/>
      </w:pPr>
      <w:rPr>
        <w:rFonts w:ascii="Wingdings" w:hAnsi="Wingdings" w:hint="default"/>
      </w:rPr>
    </w:lvl>
    <w:lvl w:ilvl="6" w:tplc="04090001">
      <w:start w:val="1"/>
      <w:numFmt w:val="bullet"/>
      <w:lvlText w:val=""/>
      <w:lvlJc w:val="left"/>
      <w:pPr>
        <w:ind w:left="6109" w:hanging="360"/>
      </w:pPr>
      <w:rPr>
        <w:rFonts w:ascii="Symbol" w:hAnsi="Symbol" w:hint="default"/>
      </w:rPr>
    </w:lvl>
    <w:lvl w:ilvl="7" w:tplc="04090003">
      <w:start w:val="1"/>
      <w:numFmt w:val="bullet"/>
      <w:lvlText w:val="o"/>
      <w:lvlJc w:val="left"/>
      <w:pPr>
        <w:ind w:left="6829" w:hanging="360"/>
      </w:pPr>
      <w:rPr>
        <w:rFonts w:ascii="Courier New" w:hAnsi="Courier New" w:cs="Courier New" w:hint="default"/>
      </w:rPr>
    </w:lvl>
    <w:lvl w:ilvl="8" w:tplc="04090005">
      <w:start w:val="1"/>
      <w:numFmt w:val="bullet"/>
      <w:lvlText w:val=""/>
      <w:lvlJc w:val="left"/>
      <w:pPr>
        <w:ind w:left="7549" w:hanging="360"/>
      </w:pPr>
      <w:rPr>
        <w:rFonts w:ascii="Wingdings" w:hAnsi="Wingdings" w:hint="default"/>
      </w:rPr>
    </w:lvl>
  </w:abstractNum>
  <w:abstractNum w:abstractNumId="11" w15:restartNumberingAfterBreak="0">
    <w:nsid w:val="71F80BD0"/>
    <w:multiLevelType w:val="hybridMultilevel"/>
    <w:tmpl w:val="0DB2C46E"/>
    <w:lvl w:ilvl="0" w:tplc="2DBA851C">
      <w:numFmt w:val="bullet"/>
      <w:lvlText w:val=""/>
      <w:lvlJc w:val="left"/>
      <w:pPr>
        <w:ind w:left="720" w:hanging="360"/>
      </w:pPr>
      <w:rPr>
        <w:rFonts w:ascii="Symbol" w:eastAsiaTheme="minorHAnsi"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76086303"/>
    <w:multiLevelType w:val="hybridMultilevel"/>
    <w:tmpl w:val="9140B5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6BB4141"/>
    <w:multiLevelType w:val="multilevel"/>
    <w:tmpl w:val="05749F6A"/>
    <w:lvl w:ilvl="0">
      <w:start w:val="4"/>
      <w:numFmt w:val="decimal"/>
      <w:lvlText w:val="%1"/>
      <w:lvlJc w:val="left"/>
      <w:pPr>
        <w:ind w:left="360" w:hanging="360"/>
      </w:pPr>
      <w:rPr>
        <w:rFonts w:hint="default"/>
      </w:rPr>
    </w:lvl>
    <w:lvl w:ilvl="1">
      <w:start w:val="1"/>
      <w:numFmt w:val="decimal"/>
      <w:lvlText w:val="%1.%2"/>
      <w:lvlJc w:val="left"/>
      <w:pPr>
        <w:ind w:left="2771" w:hanging="360"/>
      </w:pPr>
      <w:rPr>
        <w:sz w:val="24"/>
        <w:szCs w:val="24"/>
      </w:rPr>
    </w:lvl>
    <w:lvl w:ilvl="2">
      <w:start w:val="1"/>
      <w:numFmt w:val="decimal"/>
      <w:lvlText w:val="%1.%2.%3"/>
      <w:lvlJc w:val="left"/>
      <w:pPr>
        <w:ind w:left="1003" w:hanging="720"/>
      </w:pPr>
      <w:rPr>
        <w:rFonts w:hint="default"/>
      </w:rPr>
    </w:lvl>
    <w:lvl w:ilvl="3">
      <w:start w:val="1"/>
      <w:numFmt w:val="decimal"/>
      <w:lvlText w:val="%1.%2.%3.%4"/>
      <w:lvlJc w:val="left"/>
      <w:pPr>
        <w:ind w:left="2988" w:hanging="720"/>
      </w:pPr>
      <w:rPr>
        <w:rFonts w:hint="default"/>
        <w:sz w:val="24"/>
      </w:rPr>
    </w:lvl>
    <w:lvl w:ilvl="4">
      <w:start w:val="1"/>
      <w:numFmt w:val="decimal"/>
      <w:lvlText w:val="%1.%2.%3.%4.%5"/>
      <w:lvlJc w:val="left"/>
      <w:pPr>
        <w:ind w:left="3872" w:hanging="1080"/>
      </w:pPr>
      <w:rPr>
        <w:rFonts w:hint="default"/>
      </w:rPr>
    </w:lvl>
    <w:lvl w:ilvl="5">
      <w:start w:val="1"/>
      <w:numFmt w:val="decimal"/>
      <w:lvlText w:val="%1.%2.%3.%4.%5.%6"/>
      <w:lvlJc w:val="left"/>
      <w:pPr>
        <w:ind w:left="4570" w:hanging="1080"/>
      </w:pPr>
      <w:rPr>
        <w:rFonts w:hint="default"/>
      </w:rPr>
    </w:lvl>
    <w:lvl w:ilvl="6">
      <w:start w:val="1"/>
      <w:numFmt w:val="decimal"/>
      <w:lvlText w:val="%1.%2.%3.%4.%5.%6.%7"/>
      <w:lvlJc w:val="left"/>
      <w:pPr>
        <w:ind w:left="5628" w:hanging="1440"/>
      </w:pPr>
      <w:rPr>
        <w:rFonts w:hint="default"/>
      </w:rPr>
    </w:lvl>
    <w:lvl w:ilvl="7">
      <w:start w:val="1"/>
      <w:numFmt w:val="decimal"/>
      <w:lvlText w:val="%1.%2.%3.%4.%5.%6.%7.%8"/>
      <w:lvlJc w:val="left"/>
      <w:pPr>
        <w:ind w:left="6326" w:hanging="1440"/>
      </w:pPr>
      <w:rPr>
        <w:rFonts w:hint="default"/>
      </w:rPr>
    </w:lvl>
    <w:lvl w:ilvl="8">
      <w:start w:val="1"/>
      <w:numFmt w:val="decimal"/>
      <w:lvlText w:val="%1.%2.%3.%4.%5.%6.%7.%8.%9"/>
      <w:lvlJc w:val="left"/>
      <w:pPr>
        <w:ind w:left="7384" w:hanging="1800"/>
      </w:pPr>
      <w:rPr>
        <w:rFonts w:hint="default"/>
      </w:rPr>
    </w:lvl>
  </w:abstractNum>
  <w:abstractNum w:abstractNumId="14" w15:restartNumberingAfterBreak="0">
    <w:nsid w:val="7C093CF1"/>
    <w:multiLevelType w:val="hybridMultilevel"/>
    <w:tmpl w:val="630642F0"/>
    <w:lvl w:ilvl="0" w:tplc="FFFFFFFF">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9"/>
  </w:num>
  <w:num w:numId="4">
    <w:abstractNumId w:val="11"/>
  </w:num>
  <w:num w:numId="5">
    <w:abstractNumId w:val="4"/>
  </w:num>
  <w:num w:numId="6">
    <w:abstractNumId w:val="13"/>
  </w:num>
  <w:num w:numId="7">
    <w:abstractNumId w:val="10"/>
  </w:num>
  <w:num w:numId="8">
    <w:abstractNumId w:val="6"/>
  </w:num>
  <w:num w:numId="9">
    <w:abstractNumId w:val="14"/>
  </w:num>
  <w:num w:numId="10">
    <w:abstractNumId w:val="12"/>
  </w:num>
  <w:num w:numId="11">
    <w:abstractNumId w:val="2"/>
  </w:num>
  <w:num w:numId="12">
    <w:abstractNumId w:val="5"/>
  </w:num>
  <w:num w:numId="13">
    <w:abstractNumId w:val="7"/>
  </w:num>
  <w:num w:numId="14">
    <w:abstractNumId w:val="3"/>
  </w:num>
  <w:num w:numId="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4855"/>
    <w:rsid w:val="00020E41"/>
    <w:rsid w:val="000A3203"/>
    <w:rsid w:val="001B72A1"/>
    <w:rsid w:val="001C11AC"/>
    <w:rsid w:val="001C3562"/>
    <w:rsid w:val="001C65CC"/>
    <w:rsid w:val="0020562C"/>
    <w:rsid w:val="002A6ED0"/>
    <w:rsid w:val="00326CD4"/>
    <w:rsid w:val="00374C3C"/>
    <w:rsid w:val="003A4855"/>
    <w:rsid w:val="00446CEB"/>
    <w:rsid w:val="00452FB3"/>
    <w:rsid w:val="0048560F"/>
    <w:rsid w:val="00496007"/>
    <w:rsid w:val="005128BE"/>
    <w:rsid w:val="00662EAC"/>
    <w:rsid w:val="006B4733"/>
    <w:rsid w:val="006C78D4"/>
    <w:rsid w:val="006F4BF5"/>
    <w:rsid w:val="007215F0"/>
    <w:rsid w:val="007469AE"/>
    <w:rsid w:val="00762278"/>
    <w:rsid w:val="007946E1"/>
    <w:rsid w:val="007B5054"/>
    <w:rsid w:val="007C3808"/>
    <w:rsid w:val="0081698A"/>
    <w:rsid w:val="00926774"/>
    <w:rsid w:val="009C3D51"/>
    <w:rsid w:val="009D0F9F"/>
    <w:rsid w:val="00A95C98"/>
    <w:rsid w:val="00AA379A"/>
    <w:rsid w:val="00AC2E16"/>
    <w:rsid w:val="00AF4AB7"/>
    <w:rsid w:val="00B13B51"/>
    <w:rsid w:val="00B82363"/>
    <w:rsid w:val="00B872EB"/>
    <w:rsid w:val="00C330E9"/>
    <w:rsid w:val="00C40618"/>
    <w:rsid w:val="00C953D0"/>
    <w:rsid w:val="00CB79B9"/>
    <w:rsid w:val="00CF21DC"/>
    <w:rsid w:val="00DB0265"/>
    <w:rsid w:val="00DD5407"/>
    <w:rsid w:val="00E50EB2"/>
    <w:rsid w:val="00E62FB2"/>
    <w:rsid w:val="00E86E6D"/>
    <w:rsid w:val="00EC2D53"/>
    <w:rsid w:val="00EC7566"/>
    <w:rsid w:val="00EF37D8"/>
    <w:rsid w:val="00F31E38"/>
    <w:rsid w:val="00F72D18"/>
    <w:rsid w:val="00F83573"/>
    <w:rsid w:val="00FE432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22F8E6"/>
  <w15:chartTrackingRefBased/>
  <w15:docId w15:val="{1F876DE6-1AA6-4F46-9D69-B5D6D53E3F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6F4BF5"/>
    <w:pPr>
      <w:ind w:left="720"/>
      <w:contextualSpacing/>
    </w:pPr>
  </w:style>
  <w:style w:type="paragraph" w:styleId="BalonMetni">
    <w:name w:val="Balloon Text"/>
    <w:basedOn w:val="Normal"/>
    <w:link w:val="BalonMetniChar"/>
    <w:uiPriority w:val="99"/>
    <w:semiHidden/>
    <w:unhideWhenUsed/>
    <w:rsid w:val="00452FB3"/>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452FB3"/>
    <w:rPr>
      <w:rFonts w:ascii="Segoe UI" w:hAnsi="Segoe UI" w:cs="Segoe UI"/>
      <w:sz w:val="18"/>
      <w:szCs w:val="18"/>
    </w:rPr>
  </w:style>
  <w:style w:type="character" w:styleId="Kpr">
    <w:name w:val="Hyperlink"/>
    <w:basedOn w:val="VarsaylanParagrafYazTipi"/>
    <w:uiPriority w:val="99"/>
    <w:unhideWhenUsed/>
    <w:rsid w:val="00EC7566"/>
    <w:rPr>
      <w:color w:val="0563C1" w:themeColor="hyperlink"/>
      <w:u w:val="single"/>
    </w:rPr>
  </w:style>
  <w:style w:type="character" w:styleId="zlenenKpr">
    <w:name w:val="FollowedHyperlink"/>
    <w:basedOn w:val="VarsaylanParagrafYazTipi"/>
    <w:uiPriority w:val="99"/>
    <w:semiHidden/>
    <w:unhideWhenUsed/>
    <w:rsid w:val="007215F0"/>
    <w:rPr>
      <w:color w:val="954F72" w:themeColor="followedHyperlink"/>
      <w:u w:val="single"/>
    </w:rPr>
  </w:style>
  <w:style w:type="character" w:styleId="zmlenmeyenBahsetme">
    <w:name w:val="Unresolved Mention"/>
    <w:basedOn w:val="VarsaylanParagrafYazTipi"/>
    <w:uiPriority w:val="99"/>
    <w:semiHidden/>
    <w:unhideWhenUsed/>
    <w:rsid w:val="002A6ED0"/>
    <w:rPr>
      <w:color w:val="605E5C"/>
      <w:shd w:val="clear" w:color="auto" w:fill="E1DFDD"/>
    </w:rPr>
  </w:style>
  <w:style w:type="character" w:styleId="AklamaBavurusu">
    <w:name w:val="annotation reference"/>
    <w:basedOn w:val="VarsaylanParagrafYazTipi"/>
    <w:uiPriority w:val="99"/>
    <w:semiHidden/>
    <w:unhideWhenUsed/>
    <w:rsid w:val="006C78D4"/>
    <w:rPr>
      <w:sz w:val="16"/>
      <w:szCs w:val="16"/>
    </w:rPr>
  </w:style>
  <w:style w:type="paragraph" w:styleId="AklamaMetni">
    <w:name w:val="annotation text"/>
    <w:basedOn w:val="Normal"/>
    <w:link w:val="AklamaMetniChar"/>
    <w:uiPriority w:val="99"/>
    <w:unhideWhenUsed/>
    <w:rsid w:val="006C78D4"/>
    <w:pPr>
      <w:spacing w:line="240" w:lineRule="auto"/>
    </w:pPr>
    <w:rPr>
      <w:sz w:val="20"/>
      <w:szCs w:val="20"/>
    </w:rPr>
  </w:style>
  <w:style w:type="character" w:customStyle="1" w:styleId="AklamaMetniChar">
    <w:name w:val="Açıklama Metni Char"/>
    <w:basedOn w:val="VarsaylanParagrafYazTipi"/>
    <w:link w:val="AklamaMetni"/>
    <w:uiPriority w:val="99"/>
    <w:rsid w:val="006C78D4"/>
    <w:rPr>
      <w:sz w:val="20"/>
      <w:szCs w:val="20"/>
    </w:rPr>
  </w:style>
  <w:style w:type="paragraph" w:styleId="AklamaKonusu">
    <w:name w:val="annotation subject"/>
    <w:basedOn w:val="AklamaMetni"/>
    <w:next w:val="AklamaMetni"/>
    <w:link w:val="AklamaKonusuChar"/>
    <w:uiPriority w:val="99"/>
    <w:semiHidden/>
    <w:unhideWhenUsed/>
    <w:rsid w:val="006C78D4"/>
    <w:rPr>
      <w:b/>
      <w:bCs/>
    </w:rPr>
  </w:style>
  <w:style w:type="character" w:customStyle="1" w:styleId="AklamaKonusuChar">
    <w:name w:val="Açıklama Konusu Char"/>
    <w:basedOn w:val="AklamaMetniChar"/>
    <w:link w:val="AklamaKonusu"/>
    <w:uiPriority w:val="99"/>
    <w:semiHidden/>
    <w:rsid w:val="006C78D4"/>
    <w:rPr>
      <w:b/>
      <w:bCs/>
      <w:sz w:val="20"/>
      <w:szCs w:val="20"/>
    </w:rPr>
  </w:style>
  <w:style w:type="paragraph" w:styleId="Dzeltme">
    <w:name w:val="Revision"/>
    <w:hidden/>
    <w:uiPriority w:val="99"/>
    <w:semiHidden/>
    <w:rsid w:val="001C65CC"/>
    <w:pPr>
      <w:spacing w:after="0" w:line="240" w:lineRule="auto"/>
    </w:pPr>
  </w:style>
  <w:style w:type="paragraph" w:styleId="NormalWeb">
    <w:name w:val="Normal (Web)"/>
    <w:basedOn w:val="Normal"/>
    <w:uiPriority w:val="99"/>
    <w:semiHidden/>
    <w:unhideWhenUsed/>
    <w:rsid w:val="00326CD4"/>
    <w:pPr>
      <w:spacing w:before="100" w:beforeAutospacing="1" w:after="100" w:afterAutospacing="1" w:line="240" w:lineRule="auto"/>
    </w:pPr>
    <w:rPr>
      <w:rFonts w:ascii="Calibri" w:hAnsi="Calibri" w:cs="Calibri"/>
      <w:lang w:val="en-US"/>
    </w:rPr>
  </w:style>
  <w:style w:type="character" w:styleId="Gl">
    <w:name w:val="Strong"/>
    <w:basedOn w:val="VarsaylanParagrafYazTipi"/>
    <w:uiPriority w:val="22"/>
    <w:qFormat/>
    <w:rsid w:val="00326CD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1173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ec.europa.eu/europeaid/communication-and-visibility-manual-eu-external-actions_en"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enerji.gov.tr"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555309-13B8-49E2-B0F9-5064CAE85D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21</Pages>
  <Words>9321</Words>
  <Characters>53133</Characters>
  <Application>Microsoft Office Word</Application>
  <DocSecurity>0</DocSecurity>
  <Lines>442</Lines>
  <Paragraphs>124</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Enerji ve Tabii Kaynaklar Bakanligi</Company>
  <LinksUpToDate>false</LinksUpToDate>
  <CharactersWithSpaces>62330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Gökçen Kasapoğlu</dc:creator>
  <cp:keywords/>
  <dc:description/>
  <cp:lastModifiedBy>Gökçen Kasapoğlu</cp:lastModifiedBy>
  <cp:revision>3</cp:revision>
  <dcterms:created xsi:type="dcterms:W3CDTF">2024-06-07T10:54:00Z</dcterms:created>
  <dcterms:modified xsi:type="dcterms:W3CDTF">2024-06-07T10:55:00Z</dcterms:modified>
</cp:coreProperties>
</file>