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4F6E" w14:textId="41FC632C" w:rsidR="000D198D" w:rsidRPr="00D52D26" w:rsidRDefault="003C6135" w:rsidP="000D198D">
      <w:pPr>
        <w:pStyle w:val="Default"/>
        <w:spacing w:after="46"/>
        <w:rPr>
          <w:b/>
          <w:bCs/>
          <w:lang w:val="en-US"/>
        </w:rPr>
      </w:pPr>
      <w:r w:rsidRPr="00D52D26">
        <w:rPr>
          <w:noProof/>
        </w:rPr>
        <w:drawing>
          <wp:anchor distT="0" distB="0" distL="0" distR="0" simplePos="0" relativeHeight="251657216" behindDoc="0" locked="0" layoutInCell="1" allowOverlap="1" wp14:anchorId="60514664" wp14:editId="5212DD0D">
            <wp:simplePos x="0" y="0"/>
            <wp:positionH relativeFrom="margin">
              <wp:posOffset>-688975</wp:posOffset>
            </wp:positionH>
            <wp:positionV relativeFrom="margin">
              <wp:posOffset>-314325</wp:posOffset>
            </wp:positionV>
            <wp:extent cx="7322127" cy="478674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7322127" cy="4786745"/>
                    </a:xfrm>
                    <a:prstGeom prst="rect">
                      <a:avLst/>
                    </a:prstGeom>
                  </pic:spPr>
                </pic:pic>
              </a:graphicData>
            </a:graphic>
            <wp14:sizeRelH relativeFrom="margin">
              <wp14:pctWidth>0</wp14:pctWidth>
            </wp14:sizeRelH>
            <wp14:sizeRelV relativeFrom="margin">
              <wp14:pctHeight>0</wp14:pctHeight>
            </wp14:sizeRelV>
          </wp:anchor>
        </w:drawing>
      </w:r>
      <w:r w:rsidR="16C19D28" w:rsidRPr="47475571">
        <w:rPr>
          <w:b/>
          <w:bCs/>
          <w:lang w:val="en-US"/>
        </w:rPr>
        <w:t>energy</w:t>
      </w:r>
    </w:p>
    <w:p w14:paraId="1413EAC2" w14:textId="77777777" w:rsidR="000D198D" w:rsidRPr="00D52D26" w:rsidRDefault="000D198D" w:rsidP="000D198D">
      <w:pPr>
        <w:pStyle w:val="Default"/>
        <w:spacing w:after="46"/>
        <w:rPr>
          <w:b/>
          <w:bCs/>
          <w:lang w:val="en-US"/>
        </w:rPr>
      </w:pPr>
    </w:p>
    <w:p w14:paraId="5B21C601" w14:textId="0BBFB69C" w:rsidR="000D198D" w:rsidRPr="00D52D26" w:rsidRDefault="000D198D" w:rsidP="000D198D">
      <w:pPr>
        <w:pStyle w:val="Default"/>
        <w:spacing w:after="46"/>
        <w:rPr>
          <w:b/>
          <w:bCs/>
          <w:lang w:val="en-US"/>
        </w:rPr>
      </w:pPr>
    </w:p>
    <w:p w14:paraId="39B5F0AD" w14:textId="3938A8B3" w:rsidR="000D198D" w:rsidRPr="00D52D26" w:rsidRDefault="000D198D" w:rsidP="000D198D">
      <w:pPr>
        <w:pStyle w:val="Default"/>
        <w:spacing w:after="46"/>
        <w:rPr>
          <w:b/>
          <w:bCs/>
          <w:lang w:val="en-US"/>
        </w:rPr>
      </w:pPr>
    </w:p>
    <w:p w14:paraId="13DEEE4C" w14:textId="77777777" w:rsidR="000D198D" w:rsidRPr="00D52D26" w:rsidRDefault="000D198D" w:rsidP="000D198D">
      <w:pPr>
        <w:pStyle w:val="Default"/>
        <w:spacing w:after="46"/>
        <w:rPr>
          <w:b/>
          <w:bCs/>
          <w:lang w:val="en-US"/>
        </w:rPr>
      </w:pPr>
    </w:p>
    <w:p w14:paraId="6A689E17" w14:textId="4BE0D853" w:rsidR="000D198D" w:rsidRPr="00D52D26" w:rsidRDefault="000D198D" w:rsidP="000D198D">
      <w:pPr>
        <w:pStyle w:val="Default"/>
        <w:spacing w:after="46"/>
        <w:jc w:val="center"/>
        <w:rPr>
          <w:b/>
          <w:bCs/>
          <w:lang w:val="en-US"/>
        </w:rPr>
      </w:pPr>
      <w:r w:rsidRPr="42EAD0BF">
        <w:rPr>
          <w:b/>
        </w:rPr>
        <w:t>CLIMATE INVESTMENT FUNDS</w:t>
      </w:r>
    </w:p>
    <w:p w14:paraId="4A85D94F" w14:textId="77777777" w:rsidR="000D198D" w:rsidRPr="00D52D26" w:rsidRDefault="000D198D" w:rsidP="000D198D">
      <w:pPr>
        <w:pStyle w:val="Default"/>
        <w:spacing w:after="46"/>
        <w:jc w:val="center"/>
        <w:rPr>
          <w:b/>
          <w:bCs/>
          <w:lang w:val="en-US"/>
        </w:rPr>
      </w:pPr>
      <w:r w:rsidRPr="42EAD0BF">
        <w:rPr>
          <w:b/>
        </w:rPr>
        <w:t xml:space="preserve">CLIMATE TECHNOLOGY FUND (CTF) </w:t>
      </w:r>
    </w:p>
    <w:p w14:paraId="0BEE7655" w14:textId="45D61BFC" w:rsidR="000D198D" w:rsidRPr="00D52D26" w:rsidRDefault="000D198D" w:rsidP="000D198D">
      <w:pPr>
        <w:pStyle w:val="Title"/>
        <w:jc w:val="center"/>
        <w:rPr>
          <w:rFonts w:ascii="Calibri" w:hAnsi="Calibri" w:cs="Calibri"/>
          <w:b/>
          <w:bCs/>
        </w:rPr>
      </w:pPr>
      <w:r w:rsidRPr="00D52D26">
        <w:rPr>
          <w:rFonts w:ascii="Calibri" w:hAnsi="Calibri" w:cs="Calibri"/>
          <w:b/>
          <w:bCs/>
        </w:rPr>
        <w:t>INVESTMENT PLAN FOR TÜRKİYE</w:t>
      </w:r>
    </w:p>
    <w:p w14:paraId="563E4B0F" w14:textId="77777777" w:rsidR="000D198D" w:rsidRPr="00D52D26" w:rsidRDefault="000D198D" w:rsidP="000D198D">
      <w:pPr>
        <w:pStyle w:val="Default"/>
        <w:spacing w:after="46"/>
        <w:jc w:val="center"/>
        <w:rPr>
          <w:b/>
          <w:bCs/>
          <w:lang w:val="en-US"/>
        </w:rPr>
      </w:pPr>
    </w:p>
    <w:p w14:paraId="2ED2506C" w14:textId="77777777" w:rsidR="000D198D" w:rsidRPr="00D52D26" w:rsidRDefault="000D198D" w:rsidP="000D198D">
      <w:pPr>
        <w:pStyle w:val="Default"/>
        <w:spacing w:after="46"/>
        <w:jc w:val="center"/>
        <w:rPr>
          <w:b/>
          <w:bCs/>
          <w:lang w:val="en-US"/>
        </w:rPr>
      </w:pPr>
    </w:p>
    <w:p w14:paraId="55640E22" w14:textId="77777777" w:rsidR="000D198D" w:rsidRPr="00D52D26" w:rsidRDefault="000D198D" w:rsidP="000D198D">
      <w:pPr>
        <w:pStyle w:val="Default"/>
        <w:spacing w:after="46"/>
        <w:jc w:val="center"/>
        <w:rPr>
          <w:b/>
          <w:bCs/>
          <w:lang w:val="en-US"/>
        </w:rPr>
      </w:pPr>
    </w:p>
    <w:p w14:paraId="7A7F1274" w14:textId="77777777" w:rsidR="000D198D" w:rsidRPr="00D52D26" w:rsidRDefault="000D198D" w:rsidP="000D198D">
      <w:pPr>
        <w:pStyle w:val="Default"/>
        <w:spacing w:after="46"/>
        <w:jc w:val="center"/>
        <w:rPr>
          <w:b/>
          <w:bCs/>
          <w:lang w:val="en-US"/>
        </w:rPr>
      </w:pPr>
    </w:p>
    <w:p w14:paraId="77F3DFC0" w14:textId="3E813EE1" w:rsidR="000D198D" w:rsidRPr="00D52D26" w:rsidRDefault="000D198D" w:rsidP="000D198D">
      <w:pPr>
        <w:pStyle w:val="Default"/>
        <w:spacing w:after="46"/>
        <w:jc w:val="center"/>
        <w:rPr>
          <w:b/>
          <w:bCs/>
          <w:lang w:val="en-US"/>
        </w:rPr>
      </w:pPr>
      <w:r w:rsidRPr="42EAD0BF">
        <w:rPr>
          <w:b/>
        </w:rPr>
        <w:t>February, 2024</w:t>
      </w:r>
    </w:p>
    <w:p w14:paraId="61DBD371" w14:textId="77777777" w:rsidR="000D198D" w:rsidRPr="00D52D26" w:rsidRDefault="000D198D" w:rsidP="000D198D">
      <w:pPr>
        <w:pStyle w:val="Default"/>
        <w:spacing w:after="46"/>
        <w:rPr>
          <w:b/>
          <w:bCs/>
          <w:lang w:val="en-US"/>
        </w:rPr>
      </w:pPr>
    </w:p>
    <w:p w14:paraId="6F524103" w14:textId="77777777" w:rsidR="000D198D" w:rsidRPr="00D52D26" w:rsidRDefault="000D198D" w:rsidP="000D198D">
      <w:pPr>
        <w:pStyle w:val="BodyText"/>
        <w:spacing w:before="22"/>
        <w:rPr>
          <w:sz w:val="32"/>
          <w:szCs w:val="32"/>
        </w:rPr>
      </w:pPr>
    </w:p>
    <w:p w14:paraId="41950EA5" w14:textId="77777777" w:rsidR="000D198D" w:rsidRPr="00D52D26" w:rsidRDefault="000D198D" w:rsidP="000D198D">
      <w:pPr>
        <w:pStyle w:val="TOCHeading"/>
        <w:rPr>
          <w:rFonts w:ascii="Calibri" w:hAnsi="Calibri" w:cs="Calibri"/>
          <w:color w:val="010101"/>
          <w:w w:val="105"/>
          <w:sz w:val="25"/>
          <w:szCs w:val="25"/>
        </w:rPr>
      </w:pPr>
    </w:p>
    <w:p w14:paraId="0E5FA1D7" w14:textId="77777777" w:rsidR="000D198D" w:rsidRPr="00D52D26" w:rsidRDefault="000D198D" w:rsidP="000D198D">
      <w:pPr>
        <w:pStyle w:val="TOCHeading"/>
        <w:rPr>
          <w:rFonts w:ascii="Calibri" w:hAnsi="Calibri" w:cs="Calibri"/>
          <w:color w:val="010101"/>
          <w:w w:val="105"/>
          <w:sz w:val="25"/>
          <w:szCs w:val="25"/>
        </w:rPr>
      </w:pPr>
    </w:p>
    <w:p w14:paraId="05D07D0A" w14:textId="77777777" w:rsidR="000D198D" w:rsidRPr="00D52D26" w:rsidRDefault="000D198D" w:rsidP="000D198D">
      <w:pPr>
        <w:pStyle w:val="TOCHeading"/>
        <w:rPr>
          <w:rFonts w:ascii="Calibri" w:hAnsi="Calibri" w:cs="Calibri"/>
          <w:color w:val="010101"/>
          <w:w w:val="105"/>
          <w:sz w:val="25"/>
          <w:szCs w:val="25"/>
        </w:rPr>
      </w:pPr>
    </w:p>
    <w:p w14:paraId="2A59AA7F" w14:textId="77777777" w:rsidR="000D198D" w:rsidRPr="00D52D26" w:rsidRDefault="000D198D" w:rsidP="000D198D">
      <w:pPr>
        <w:ind w:left="589"/>
        <w:rPr>
          <w:rFonts w:ascii="Calibri" w:hAnsi="Calibri" w:cs="Calibri"/>
          <w:sz w:val="32"/>
          <w:szCs w:val="32"/>
        </w:rPr>
      </w:pPr>
    </w:p>
    <w:p w14:paraId="4CEE9703" w14:textId="069F4A67" w:rsidR="000D198D" w:rsidRPr="00D52D26" w:rsidRDefault="00D5333B" w:rsidP="00785281">
      <w:pPr>
        <w:ind w:left="589"/>
        <w:jc w:val="center"/>
        <w:rPr>
          <w:rFonts w:ascii="Calibri" w:hAnsi="Calibri" w:cs="Calibri"/>
          <w:b/>
          <w:bCs/>
          <w:spacing w:val="-2"/>
          <w:sz w:val="32"/>
          <w:szCs w:val="32"/>
        </w:rPr>
      </w:pPr>
      <w:r>
        <w:rPr>
          <w:rFonts w:ascii="Calibri" w:hAnsi="Calibri" w:cs="Calibri"/>
          <w:b/>
          <w:bCs/>
          <w:sz w:val="32"/>
          <w:szCs w:val="32"/>
        </w:rPr>
        <w:t xml:space="preserve">CTF Trust Fund Committee </w:t>
      </w:r>
      <w:r w:rsidR="000D198D" w:rsidRPr="00D52D26">
        <w:rPr>
          <w:rFonts w:ascii="Calibri" w:hAnsi="Calibri" w:cs="Calibri"/>
          <w:b/>
          <w:bCs/>
          <w:spacing w:val="-2"/>
          <w:sz w:val="32"/>
          <w:szCs w:val="32"/>
        </w:rPr>
        <w:t>Meeting</w:t>
      </w:r>
      <w:r>
        <w:rPr>
          <w:rFonts w:ascii="Calibri" w:hAnsi="Calibri" w:cs="Calibri"/>
          <w:b/>
          <w:bCs/>
          <w:spacing w:val="-2"/>
          <w:sz w:val="32"/>
          <w:szCs w:val="32"/>
        </w:rPr>
        <w:t xml:space="preserve"> </w:t>
      </w:r>
    </w:p>
    <w:p w14:paraId="782435DD" w14:textId="5A518F6E" w:rsidR="000D198D" w:rsidRPr="00D52D26" w:rsidRDefault="000D198D" w:rsidP="00785281">
      <w:pPr>
        <w:ind w:left="589"/>
        <w:jc w:val="center"/>
        <w:rPr>
          <w:rFonts w:ascii="Calibri" w:hAnsi="Calibri" w:cs="Calibri"/>
          <w:b/>
          <w:bCs/>
          <w:spacing w:val="-2"/>
          <w:sz w:val="32"/>
          <w:szCs w:val="32"/>
        </w:rPr>
      </w:pPr>
      <w:r w:rsidRPr="00D52D26">
        <w:rPr>
          <w:rFonts w:ascii="Calibri" w:hAnsi="Calibri" w:cs="Calibri"/>
          <w:b/>
          <w:bCs/>
          <w:spacing w:val="-2"/>
          <w:sz w:val="32"/>
          <w:szCs w:val="32"/>
        </w:rPr>
        <w:t>Washington D.C.</w:t>
      </w:r>
    </w:p>
    <w:p w14:paraId="20334F15" w14:textId="77777777" w:rsidR="000D198D" w:rsidRPr="00D52D26" w:rsidRDefault="000D198D" w:rsidP="00785281">
      <w:pPr>
        <w:ind w:left="589"/>
        <w:jc w:val="center"/>
        <w:rPr>
          <w:rFonts w:ascii="Calibri" w:hAnsi="Calibri" w:cs="Calibri"/>
          <w:b/>
          <w:bCs/>
          <w:w w:val="105"/>
          <w:sz w:val="32"/>
          <w:szCs w:val="32"/>
        </w:rPr>
      </w:pPr>
      <w:r w:rsidRPr="00D52D26">
        <w:rPr>
          <w:rFonts w:ascii="Calibri" w:hAnsi="Calibri" w:cs="Calibri"/>
          <w:b/>
          <w:bCs/>
          <w:w w:val="105"/>
          <w:sz w:val="32"/>
          <w:szCs w:val="32"/>
        </w:rPr>
        <w:t>Hybrid</w:t>
      </w:r>
    </w:p>
    <w:p w14:paraId="6280CE5B" w14:textId="264C39C8" w:rsidR="00623733" w:rsidRPr="00D52D26" w:rsidRDefault="000D198D" w:rsidP="00785281">
      <w:pPr>
        <w:tabs>
          <w:tab w:val="right" w:pos="9360"/>
        </w:tabs>
        <w:ind w:left="589"/>
        <w:jc w:val="center"/>
        <w:rPr>
          <w:rFonts w:ascii="Calibri" w:hAnsi="Calibri" w:cs="Calibri"/>
          <w:b/>
          <w:bCs/>
          <w:sz w:val="32"/>
          <w:szCs w:val="32"/>
        </w:rPr>
      </w:pPr>
      <w:r w:rsidRPr="00785281">
        <w:rPr>
          <w:rFonts w:ascii="Calibri" w:hAnsi="Calibri" w:cs="Calibri"/>
          <w:b/>
          <w:sz w:val="32"/>
          <w:szCs w:val="32"/>
        </w:rPr>
        <w:t>Ju</w:t>
      </w:r>
      <w:r w:rsidR="00220D1D">
        <w:rPr>
          <w:rFonts w:ascii="Calibri" w:hAnsi="Calibri" w:cs="Calibri"/>
          <w:b/>
          <w:sz w:val="32"/>
          <w:szCs w:val="32"/>
        </w:rPr>
        <w:t>ly</w:t>
      </w:r>
      <w:r w:rsidRPr="00785281">
        <w:rPr>
          <w:rFonts w:ascii="Calibri" w:hAnsi="Calibri" w:cs="Calibri"/>
          <w:b/>
          <w:sz w:val="32"/>
          <w:szCs w:val="32"/>
        </w:rPr>
        <w:t xml:space="preserve"> </w:t>
      </w:r>
      <w:r w:rsidRPr="00785281">
        <w:rPr>
          <w:rFonts w:ascii="Calibri" w:hAnsi="Calibri" w:cs="Calibri"/>
          <w:b/>
          <w:sz w:val="32"/>
          <w:szCs w:val="32"/>
          <w:highlight w:val="yellow"/>
        </w:rPr>
        <w:t>X</w:t>
      </w:r>
      <w:r w:rsidRPr="00785281">
        <w:rPr>
          <w:rFonts w:ascii="Calibri" w:hAnsi="Calibri" w:cs="Calibri"/>
          <w:b/>
          <w:sz w:val="32"/>
          <w:szCs w:val="32"/>
        </w:rPr>
        <w:t>, 2024</w:t>
      </w:r>
    </w:p>
    <w:p w14:paraId="07B26216" w14:textId="77777777" w:rsidR="00623733" w:rsidRPr="00D52D26" w:rsidRDefault="00623733" w:rsidP="00623733">
      <w:pPr>
        <w:ind w:left="589"/>
        <w:rPr>
          <w:rFonts w:ascii="Calibri" w:hAnsi="Calibri" w:cs="Calibri"/>
          <w:b/>
          <w:bCs/>
          <w:sz w:val="32"/>
          <w:szCs w:val="32"/>
        </w:rPr>
      </w:pPr>
    </w:p>
    <w:p w14:paraId="578624C9" w14:textId="61CFFA54" w:rsidR="000D198D" w:rsidRPr="00D52D26" w:rsidRDefault="000D198D" w:rsidP="00F64647">
      <w:pPr>
        <w:ind w:left="589"/>
        <w:jc w:val="center"/>
        <w:rPr>
          <w:rFonts w:ascii="Calibri" w:hAnsi="Calibri" w:cs="Calibri"/>
          <w:b/>
          <w:color w:val="010101"/>
          <w:w w:val="105"/>
          <w:sz w:val="44"/>
          <w:szCs w:val="44"/>
        </w:rPr>
      </w:pPr>
      <w:r w:rsidRPr="00D52D26">
        <w:rPr>
          <w:rFonts w:ascii="Calibri" w:hAnsi="Calibri" w:cs="Calibri"/>
          <w:b/>
          <w:color w:val="010101"/>
          <w:w w:val="105"/>
          <w:sz w:val="44"/>
          <w:szCs w:val="44"/>
        </w:rPr>
        <w:t>T</w:t>
      </w:r>
      <w:r w:rsidR="0042073C">
        <w:rPr>
          <w:rFonts w:ascii="Calibri" w:hAnsi="Calibri" w:cs="Calibri"/>
          <w:b/>
          <w:color w:val="010101"/>
          <w:w w:val="105"/>
          <w:sz w:val="44"/>
          <w:szCs w:val="44"/>
        </w:rPr>
        <w:t>Ü</w:t>
      </w:r>
      <w:r w:rsidRPr="00D52D26">
        <w:rPr>
          <w:rFonts w:ascii="Calibri" w:hAnsi="Calibri" w:cs="Calibri"/>
          <w:b/>
          <w:color w:val="010101"/>
          <w:w w:val="105"/>
          <w:sz w:val="44"/>
          <w:szCs w:val="44"/>
        </w:rPr>
        <w:t>RK</w:t>
      </w:r>
      <w:r w:rsidR="0042073C">
        <w:rPr>
          <w:rFonts w:ascii="Calibri" w:hAnsi="Calibri" w:cs="Calibri"/>
          <w:b/>
          <w:color w:val="010101"/>
          <w:w w:val="105"/>
          <w:sz w:val="44"/>
          <w:szCs w:val="44"/>
        </w:rPr>
        <w:t>İ</w:t>
      </w:r>
      <w:r w:rsidRPr="00D52D26">
        <w:rPr>
          <w:rFonts w:ascii="Calibri" w:hAnsi="Calibri" w:cs="Calibri"/>
          <w:b/>
          <w:color w:val="010101"/>
          <w:w w:val="105"/>
          <w:sz w:val="44"/>
          <w:szCs w:val="44"/>
        </w:rPr>
        <w:t xml:space="preserve">YE </w:t>
      </w:r>
      <w:r w:rsidR="007C26B2">
        <w:rPr>
          <w:rFonts w:ascii="Calibri" w:hAnsi="Calibri" w:cs="Calibri"/>
          <w:b/>
          <w:color w:val="010101"/>
          <w:w w:val="105"/>
          <w:sz w:val="44"/>
          <w:szCs w:val="44"/>
        </w:rPr>
        <w:t xml:space="preserve">- </w:t>
      </w:r>
      <w:r w:rsidR="006A2C36">
        <w:rPr>
          <w:rFonts w:ascii="Calibri" w:hAnsi="Calibri" w:cs="Calibri"/>
          <w:b/>
          <w:color w:val="010101"/>
          <w:w w:val="105"/>
          <w:sz w:val="44"/>
          <w:szCs w:val="44"/>
        </w:rPr>
        <w:t xml:space="preserve">RENEWABLE ENERGY INTEGRATION </w:t>
      </w:r>
      <w:r w:rsidR="007C26B2">
        <w:rPr>
          <w:rFonts w:ascii="Calibri" w:hAnsi="Calibri" w:cs="Calibri"/>
          <w:b/>
          <w:color w:val="010101"/>
          <w:w w:val="105"/>
          <w:sz w:val="44"/>
          <w:szCs w:val="44"/>
        </w:rPr>
        <w:t xml:space="preserve">(REI) </w:t>
      </w:r>
      <w:r w:rsidRPr="00D52D26">
        <w:rPr>
          <w:rFonts w:ascii="Calibri" w:hAnsi="Calibri" w:cs="Calibri"/>
          <w:b/>
          <w:color w:val="010101"/>
          <w:w w:val="105"/>
          <w:sz w:val="44"/>
          <w:szCs w:val="44"/>
        </w:rPr>
        <w:t xml:space="preserve">INVESTMENT </w:t>
      </w:r>
      <w:r w:rsidR="009A1F26" w:rsidRPr="00D52D26">
        <w:rPr>
          <w:rFonts w:ascii="Calibri" w:hAnsi="Calibri" w:cs="Calibri"/>
          <w:b/>
          <w:color w:val="010101"/>
          <w:w w:val="105"/>
          <w:sz w:val="44"/>
          <w:szCs w:val="44"/>
        </w:rPr>
        <w:t>PLAN</w:t>
      </w:r>
    </w:p>
    <w:p w14:paraId="503E10AE" w14:textId="77777777" w:rsidR="000D198D" w:rsidRPr="00D52D26" w:rsidRDefault="000D198D" w:rsidP="000D198D">
      <w:pPr>
        <w:pStyle w:val="TOCHeading"/>
        <w:rPr>
          <w:rFonts w:ascii="Calibri" w:hAnsi="Calibri" w:cs="Calibri"/>
          <w:color w:val="010101"/>
          <w:w w:val="105"/>
          <w:sz w:val="25"/>
          <w:szCs w:val="25"/>
        </w:rPr>
      </w:pPr>
    </w:p>
    <w:p w14:paraId="72F7563C" w14:textId="77777777" w:rsidR="000D198D" w:rsidRPr="00D52D26" w:rsidRDefault="000D198D" w:rsidP="000D198D">
      <w:pPr>
        <w:rPr>
          <w:rFonts w:ascii="Calibri" w:hAnsi="Calibri" w:cs="Calibri"/>
        </w:rPr>
      </w:pPr>
    </w:p>
    <w:bookmarkStart w:id="0" w:name="_Toc170319813" w:displacedByCustomXml="next"/>
    <w:sdt>
      <w:sdtPr>
        <w:rPr>
          <w:rFonts w:ascii="Calibri" w:eastAsia="SimSun" w:hAnsi="Calibri" w:cs="Calibri"/>
          <w:color w:val="auto"/>
          <w:kern w:val="2"/>
          <w:sz w:val="22"/>
          <w:szCs w:val="22"/>
          <w14:ligatures w14:val="standardContextual"/>
        </w:rPr>
        <w:id w:val="1897390803"/>
        <w:docPartObj>
          <w:docPartGallery w:val="Table of Contents"/>
          <w:docPartUnique/>
        </w:docPartObj>
      </w:sdtPr>
      <w:sdtEndPr>
        <w:rPr>
          <w:rFonts w:eastAsiaTheme="majorEastAsia"/>
          <w:b/>
          <w:bCs/>
          <w:color w:val="2F5496" w:themeColor="accent1" w:themeShade="BF"/>
          <w:sz w:val="32"/>
          <w:szCs w:val="32"/>
        </w:rPr>
      </w:sdtEndPr>
      <w:sdtContent>
        <w:sdt>
          <w:sdtPr>
            <w:rPr>
              <w:rFonts w:ascii="Calibri" w:eastAsia="SimSun" w:hAnsi="Calibri" w:cs="Calibri"/>
              <w:color w:val="auto"/>
              <w:kern w:val="2"/>
              <w:sz w:val="20"/>
              <w:szCs w:val="20"/>
              <w14:ligatures w14:val="standardContextual"/>
            </w:rPr>
            <w:id w:val="-769013188"/>
            <w:docPartObj>
              <w:docPartGallery w:val="Table of Contents"/>
              <w:docPartUnique/>
            </w:docPartObj>
          </w:sdtPr>
          <w:sdtEndPr>
            <w:rPr>
              <w:b/>
              <w:bCs/>
              <w:sz w:val="22"/>
              <w:szCs w:val="22"/>
            </w:rPr>
          </w:sdtEndPr>
          <w:sdtContent>
            <w:p w14:paraId="65E8F178" w14:textId="77777777" w:rsidR="004D285C" w:rsidRPr="002548A3" w:rsidRDefault="004D285C" w:rsidP="004D285C">
              <w:pPr>
                <w:pStyle w:val="TOCHeading"/>
                <w:jc w:val="center"/>
                <w:rPr>
                  <w:rFonts w:ascii="Calibri" w:hAnsi="Calibri" w:cs="Calibri"/>
                  <w:sz w:val="20"/>
                  <w:szCs w:val="20"/>
                </w:rPr>
              </w:pPr>
              <w:r w:rsidRPr="002548A3">
                <w:rPr>
                  <w:rFonts w:ascii="Calibri" w:hAnsi="Calibri" w:cs="Calibri"/>
                  <w:sz w:val="20"/>
                  <w:szCs w:val="20"/>
                </w:rPr>
                <w:t>Table of Contents</w:t>
              </w:r>
              <w:bookmarkEnd w:id="0"/>
            </w:p>
            <w:p w14:paraId="1C442E13" w14:textId="0511B31B" w:rsidR="007C03F8" w:rsidRDefault="004D285C">
              <w:pPr>
                <w:pStyle w:val="TOC1"/>
                <w:rPr>
                  <w:rFonts w:eastAsiaTheme="minorEastAsia"/>
                  <w:b w:val="0"/>
                  <w:bCs w:val="0"/>
                  <w:caps w:val="0"/>
                  <w:kern w:val="2"/>
                  <w:sz w:val="22"/>
                  <w:szCs w:val="22"/>
                  <w14:ligatures w14:val="standardContextual"/>
                </w:rPr>
              </w:pPr>
              <w:r w:rsidRPr="002548A3">
                <w:rPr>
                  <w:rFonts w:asciiTheme="majorHAnsi" w:hAnsiTheme="majorHAnsi" w:cstheme="majorBidi"/>
                </w:rPr>
                <w:fldChar w:fldCharType="begin"/>
              </w:r>
              <w:r w:rsidRPr="002548A3">
                <w:instrText xml:space="preserve"> TOC \o "1-3" \h \z \u </w:instrText>
              </w:r>
              <w:r w:rsidRPr="002548A3">
                <w:rPr>
                  <w:rFonts w:asciiTheme="majorHAnsi" w:hAnsiTheme="majorHAnsi" w:cstheme="majorBidi"/>
                </w:rPr>
                <w:fldChar w:fldCharType="separate"/>
              </w:r>
              <w:hyperlink w:anchor="_Toc170319813" w:history="1">
                <w:r w:rsidR="007C03F8" w:rsidRPr="00C71457">
                  <w:rPr>
                    <w:rStyle w:val="Hyperlink"/>
                    <w:rFonts w:ascii="Calibri" w:hAnsi="Calibri" w:cs="Calibri"/>
                  </w:rPr>
                  <w:t>Table of Contents</w:t>
                </w:r>
                <w:r w:rsidR="007C03F8">
                  <w:rPr>
                    <w:webHidden/>
                  </w:rPr>
                  <w:tab/>
                </w:r>
                <w:r w:rsidR="007C03F8">
                  <w:rPr>
                    <w:webHidden/>
                  </w:rPr>
                  <w:fldChar w:fldCharType="begin"/>
                </w:r>
                <w:r w:rsidR="007C03F8">
                  <w:rPr>
                    <w:webHidden/>
                  </w:rPr>
                  <w:instrText xml:space="preserve"> PAGEREF _Toc170319813 \h </w:instrText>
                </w:r>
                <w:r w:rsidR="007C03F8">
                  <w:rPr>
                    <w:webHidden/>
                  </w:rPr>
                </w:r>
                <w:r w:rsidR="007C03F8">
                  <w:rPr>
                    <w:webHidden/>
                  </w:rPr>
                  <w:fldChar w:fldCharType="separate"/>
                </w:r>
                <w:r w:rsidR="007C03F8">
                  <w:rPr>
                    <w:webHidden/>
                  </w:rPr>
                  <w:t>2</w:t>
                </w:r>
                <w:r w:rsidR="007C03F8">
                  <w:rPr>
                    <w:webHidden/>
                  </w:rPr>
                  <w:fldChar w:fldCharType="end"/>
                </w:r>
              </w:hyperlink>
            </w:p>
            <w:p w14:paraId="7EA857A7" w14:textId="7FEF5334" w:rsidR="007C03F8" w:rsidRDefault="007C03F8">
              <w:pPr>
                <w:pStyle w:val="TOC1"/>
                <w:rPr>
                  <w:rFonts w:eastAsiaTheme="minorEastAsia"/>
                  <w:b w:val="0"/>
                  <w:bCs w:val="0"/>
                  <w:caps w:val="0"/>
                  <w:kern w:val="2"/>
                  <w:sz w:val="22"/>
                  <w:szCs w:val="22"/>
                  <w14:ligatures w14:val="standardContextual"/>
                </w:rPr>
              </w:pPr>
              <w:hyperlink w:anchor="_Toc170319814" w:history="1">
                <w:r w:rsidRPr="00C71457">
                  <w:rPr>
                    <w:rStyle w:val="Hyperlink"/>
                  </w:rPr>
                  <w:t>I.  Executive Summary</w:t>
                </w:r>
                <w:r>
                  <w:rPr>
                    <w:webHidden/>
                  </w:rPr>
                  <w:tab/>
                </w:r>
                <w:r>
                  <w:rPr>
                    <w:webHidden/>
                  </w:rPr>
                  <w:fldChar w:fldCharType="begin"/>
                </w:r>
                <w:r>
                  <w:rPr>
                    <w:webHidden/>
                  </w:rPr>
                  <w:instrText xml:space="preserve"> PAGEREF _Toc170319814 \h </w:instrText>
                </w:r>
                <w:r>
                  <w:rPr>
                    <w:webHidden/>
                  </w:rPr>
                </w:r>
                <w:r>
                  <w:rPr>
                    <w:webHidden/>
                  </w:rPr>
                  <w:fldChar w:fldCharType="separate"/>
                </w:r>
                <w:r>
                  <w:rPr>
                    <w:webHidden/>
                  </w:rPr>
                  <w:t>7</w:t>
                </w:r>
                <w:r>
                  <w:rPr>
                    <w:webHidden/>
                  </w:rPr>
                  <w:fldChar w:fldCharType="end"/>
                </w:r>
              </w:hyperlink>
            </w:p>
            <w:p w14:paraId="1B37B02F" w14:textId="494B16A1" w:rsidR="007C03F8" w:rsidRDefault="007C03F8">
              <w:pPr>
                <w:pStyle w:val="TOC1"/>
                <w:rPr>
                  <w:rFonts w:eastAsiaTheme="minorEastAsia"/>
                  <w:b w:val="0"/>
                  <w:bCs w:val="0"/>
                  <w:caps w:val="0"/>
                  <w:kern w:val="2"/>
                  <w:sz w:val="22"/>
                  <w:szCs w:val="22"/>
                  <w14:ligatures w14:val="standardContextual"/>
                </w:rPr>
              </w:pPr>
              <w:hyperlink w:anchor="_Toc170319815" w:history="1">
                <w:r w:rsidRPr="00C71457">
                  <w:rPr>
                    <w:rStyle w:val="Hyperlink"/>
                    <w:rFonts w:cstheme="minorHAnsi"/>
                  </w:rPr>
                  <w:t>II. Country Context</w:t>
                </w:r>
                <w:r>
                  <w:rPr>
                    <w:webHidden/>
                  </w:rPr>
                  <w:tab/>
                </w:r>
                <w:r>
                  <w:rPr>
                    <w:webHidden/>
                  </w:rPr>
                  <w:fldChar w:fldCharType="begin"/>
                </w:r>
                <w:r>
                  <w:rPr>
                    <w:webHidden/>
                  </w:rPr>
                  <w:instrText xml:space="preserve"> PAGEREF _Toc170319815 \h </w:instrText>
                </w:r>
                <w:r>
                  <w:rPr>
                    <w:webHidden/>
                  </w:rPr>
                </w:r>
                <w:r>
                  <w:rPr>
                    <w:webHidden/>
                  </w:rPr>
                  <w:fldChar w:fldCharType="separate"/>
                </w:r>
                <w:r>
                  <w:rPr>
                    <w:webHidden/>
                  </w:rPr>
                  <w:t>10</w:t>
                </w:r>
                <w:r>
                  <w:rPr>
                    <w:webHidden/>
                  </w:rPr>
                  <w:fldChar w:fldCharType="end"/>
                </w:r>
              </w:hyperlink>
            </w:p>
            <w:p w14:paraId="426EC122" w14:textId="52646EF2"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16" w:history="1">
                <w:r w:rsidRPr="00C71457">
                  <w:rPr>
                    <w:rStyle w:val="Hyperlink"/>
                    <w:rFonts w:cstheme="minorHAnsi"/>
                    <w:noProof/>
                  </w:rPr>
                  <w:t>Economic Social, and Political Context</w:t>
                </w:r>
                <w:r>
                  <w:rPr>
                    <w:noProof/>
                    <w:webHidden/>
                  </w:rPr>
                  <w:tab/>
                </w:r>
                <w:r>
                  <w:rPr>
                    <w:noProof/>
                    <w:webHidden/>
                  </w:rPr>
                  <w:fldChar w:fldCharType="begin"/>
                </w:r>
                <w:r>
                  <w:rPr>
                    <w:noProof/>
                    <w:webHidden/>
                  </w:rPr>
                  <w:instrText xml:space="preserve"> PAGEREF _Toc170319816 \h </w:instrText>
                </w:r>
                <w:r>
                  <w:rPr>
                    <w:noProof/>
                    <w:webHidden/>
                  </w:rPr>
                </w:r>
                <w:r>
                  <w:rPr>
                    <w:noProof/>
                    <w:webHidden/>
                  </w:rPr>
                  <w:fldChar w:fldCharType="separate"/>
                </w:r>
                <w:r>
                  <w:rPr>
                    <w:noProof/>
                    <w:webHidden/>
                  </w:rPr>
                  <w:t>10</w:t>
                </w:r>
                <w:r>
                  <w:rPr>
                    <w:noProof/>
                    <w:webHidden/>
                  </w:rPr>
                  <w:fldChar w:fldCharType="end"/>
                </w:r>
              </w:hyperlink>
            </w:p>
            <w:p w14:paraId="2DF408D3" w14:textId="2E3A7410"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17" w:history="1">
                <w:r w:rsidRPr="00C71457">
                  <w:rPr>
                    <w:rStyle w:val="Hyperlink"/>
                    <w:rFonts w:cstheme="minorHAnsi"/>
                    <w:noProof/>
                  </w:rPr>
                  <w:t>Sectoral and Institutional Context</w:t>
                </w:r>
                <w:r>
                  <w:rPr>
                    <w:noProof/>
                    <w:webHidden/>
                  </w:rPr>
                  <w:tab/>
                </w:r>
                <w:r>
                  <w:rPr>
                    <w:noProof/>
                    <w:webHidden/>
                  </w:rPr>
                  <w:fldChar w:fldCharType="begin"/>
                </w:r>
                <w:r>
                  <w:rPr>
                    <w:noProof/>
                    <w:webHidden/>
                  </w:rPr>
                  <w:instrText xml:space="preserve"> PAGEREF _Toc170319817 \h </w:instrText>
                </w:r>
                <w:r>
                  <w:rPr>
                    <w:noProof/>
                    <w:webHidden/>
                  </w:rPr>
                </w:r>
                <w:r>
                  <w:rPr>
                    <w:noProof/>
                    <w:webHidden/>
                  </w:rPr>
                  <w:fldChar w:fldCharType="separate"/>
                </w:r>
                <w:r>
                  <w:rPr>
                    <w:noProof/>
                    <w:webHidden/>
                  </w:rPr>
                  <w:t>13</w:t>
                </w:r>
                <w:r>
                  <w:rPr>
                    <w:noProof/>
                    <w:webHidden/>
                  </w:rPr>
                  <w:fldChar w:fldCharType="end"/>
                </w:r>
              </w:hyperlink>
            </w:p>
            <w:p w14:paraId="06034778" w14:textId="37F7F6A8"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18" w:history="1">
                <w:r w:rsidRPr="00C71457">
                  <w:rPr>
                    <w:rStyle w:val="Hyperlink"/>
                    <w:rFonts w:cstheme="minorHAnsi"/>
                    <w:noProof/>
                  </w:rPr>
                  <w:t>Government’s Energy Strategies and Targets</w:t>
                </w:r>
                <w:r>
                  <w:rPr>
                    <w:noProof/>
                    <w:webHidden/>
                  </w:rPr>
                  <w:tab/>
                </w:r>
                <w:r>
                  <w:rPr>
                    <w:noProof/>
                    <w:webHidden/>
                  </w:rPr>
                  <w:fldChar w:fldCharType="begin"/>
                </w:r>
                <w:r>
                  <w:rPr>
                    <w:noProof/>
                    <w:webHidden/>
                  </w:rPr>
                  <w:instrText xml:space="preserve"> PAGEREF _Toc170319818 \h </w:instrText>
                </w:r>
                <w:r>
                  <w:rPr>
                    <w:noProof/>
                    <w:webHidden/>
                  </w:rPr>
                </w:r>
                <w:r>
                  <w:rPr>
                    <w:noProof/>
                    <w:webHidden/>
                  </w:rPr>
                  <w:fldChar w:fldCharType="separate"/>
                </w:r>
                <w:r>
                  <w:rPr>
                    <w:noProof/>
                    <w:webHidden/>
                  </w:rPr>
                  <w:t>14</w:t>
                </w:r>
                <w:r>
                  <w:rPr>
                    <w:noProof/>
                    <w:webHidden/>
                  </w:rPr>
                  <w:fldChar w:fldCharType="end"/>
                </w:r>
              </w:hyperlink>
            </w:p>
            <w:p w14:paraId="46D97EA4" w14:textId="670F0144"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19" w:history="1">
                <w:r w:rsidRPr="00C71457">
                  <w:rPr>
                    <w:rStyle w:val="Hyperlink"/>
                    <w:rFonts w:cstheme="minorHAnsi"/>
                    <w:noProof/>
                  </w:rPr>
                  <w:t>Government’s Climate Strategies and Plans</w:t>
                </w:r>
                <w:r>
                  <w:rPr>
                    <w:noProof/>
                    <w:webHidden/>
                  </w:rPr>
                  <w:tab/>
                </w:r>
                <w:r>
                  <w:rPr>
                    <w:noProof/>
                    <w:webHidden/>
                  </w:rPr>
                  <w:fldChar w:fldCharType="begin"/>
                </w:r>
                <w:r>
                  <w:rPr>
                    <w:noProof/>
                    <w:webHidden/>
                  </w:rPr>
                  <w:instrText xml:space="preserve"> PAGEREF _Toc170319819 \h </w:instrText>
                </w:r>
                <w:r>
                  <w:rPr>
                    <w:noProof/>
                    <w:webHidden/>
                  </w:rPr>
                </w:r>
                <w:r>
                  <w:rPr>
                    <w:noProof/>
                    <w:webHidden/>
                  </w:rPr>
                  <w:fldChar w:fldCharType="separate"/>
                </w:r>
                <w:r>
                  <w:rPr>
                    <w:noProof/>
                    <w:webHidden/>
                  </w:rPr>
                  <w:t>16</w:t>
                </w:r>
                <w:r>
                  <w:rPr>
                    <w:noProof/>
                    <w:webHidden/>
                  </w:rPr>
                  <w:fldChar w:fldCharType="end"/>
                </w:r>
              </w:hyperlink>
            </w:p>
            <w:p w14:paraId="20DC2E53" w14:textId="42C7CA8A"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20" w:history="1">
                <w:r w:rsidRPr="00C71457">
                  <w:rPr>
                    <w:rStyle w:val="Hyperlink"/>
                    <w:rFonts w:cstheme="minorHAnsi"/>
                    <w:noProof/>
                  </w:rPr>
                  <w:t>Gap/Barrier Analysis and Needs Assessment</w:t>
                </w:r>
                <w:r>
                  <w:rPr>
                    <w:noProof/>
                    <w:webHidden/>
                  </w:rPr>
                  <w:tab/>
                </w:r>
                <w:r>
                  <w:rPr>
                    <w:noProof/>
                    <w:webHidden/>
                  </w:rPr>
                  <w:fldChar w:fldCharType="begin"/>
                </w:r>
                <w:r>
                  <w:rPr>
                    <w:noProof/>
                    <w:webHidden/>
                  </w:rPr>
                  <w:instrText xml:space="preserve"> PAGEREF _Toc170319820 \h </w:instrText>
                </w:r>
                <w:r>
                  <w:rPr>
                    <w:noProof/>
                    <w:webHidden/>
                  </w:rPr>
                </w:r>
                <w:r>
                  <w:rPr>
                    <w:noProof/>
                    <w:webHidden/>
                  </w:rPr>
                  <w:fldChar w:fldCharType="separate"/>
                </w:r>
                <w:r>
                  <w:rPr>
                    <w:noProof/>
                    <w:webHidden/>
                  </w:rPr>
                  <w:t>18</w:t>
                </w:r>
                <w:r>
                  <w:rPr>
                    <w:noProof/>
                    <w:webHidden/>
                  </w:rPr>
                  <w:fldChar w:fldCharType="end"/>
                </w:r>
              </w:hyperlink>
            </w:p>
            <w:p w14:paraId="39E9EA56" w14:textId="31643DEA"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21" w:history="1">
                <w:r w:rsidRPr="00C71457">
                  <w:rPr>
                    <w:rStyle w:val="Hyperlink"/>
                    <w:i/>
                    <w:iCs/>
                    <w:noProof/>
                  </w:rPr>
                  <w:t>Political, Social and Economic Barriers</w:t>
                </w:r>
                <w:r>
                  <w:rPr>
                    <w:noProof/>
                    <w:webHidden/>
                  </w:rPr>
                  <w:tab/>
                </w:r>
                <w:r>
                  <w:rPr>
                    <w:noProof/>
                    <w:webHidden/>
                  </w:rPr>
                  <w:fldChar w:fldCharType="begin"/>
                </w:r>
                <w:r>
                  <w:rPr>
                    <w:noProof/>
                    <w:webHidden/>
                  </w:rPr>
                  <w:instrText xml:space="preserve"> PAGEREF _Toc170319821 \h </w:instrText>
                </w:r>
                <w:r>
                  <w:rPr>
                    <w:noProof/>
                    <w:webHidden/>
                  </w:rPr>
                </w:r>
                <w:r>
                  <w:rPr>
                    <w:noProof/>
                    <w:webHidden/>
                  </w:rPr>
                  <w:fldChar w:fldCharType="separate"/>
                </w:r>
                <w:r>
                  <w:rPr>
                    <w:noProof/>
                    <w:webHidden/>
                  </w:rPr>
                  <w:t>18</w:t>
                </w:r>
                <w:r>
                  <w:rPr>
                    <w:noProof/>
                    <w:webHidden/>
                  </w:rPr>
                  <w:fldChar w:fldCharType="end"/>
                </w:r>
              </w:hyperlink>
            </w:p>
            <w:p w14:paraId="5DCFCA52" w14:textId="48AC37EF"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22" w:history="1">
                <w:r w:rsidRPr="00C71457">
                  <w:rPr>
                    <w:rStyle w:val="Hyperlink"/>
                    <w:i/>
                    <w:iCs/>
                    <w:noProof/>
                  </w:rPr>
                  <w:t>Financial Barriers</w:t>
                </w:r>
                <w:r>
                  <w:rPr>
                    <w:noProof/>
                    <w:webHidden/>
                  </w:rPr>
                  <w:tab/>
                </w:r>
                <w:r>
                  <w:rPr>
                    <w:noProof/>
                    <w:webHidden/>
                  </w:rPr>
                  <w:fldChar w:fldCharType="begin"/>
                </w:r>
                <w:r>
                  <w:rPr>
                    <w:noProof/>
                    <w:webHidden/>
                  </w:rPr>
                  <w:instrText xml:space="preserve"> PAGEREF _Toc170319822 \h </w:instrText>
                </w:r>
                <w:r>
                  <w:rPr>
                    <w:noProof/>
                    <w:webHidden/>
                  </w:rPr>
                </w:r>
                <w:r>
                  <w:rPr>
                    <w:noProof/>
                    <w:webHidden/>
                  </w:rPr>
                  <w:fldChar w:fldCharType="separate"/>
                </w:r>
                <w:r>
                  <w:rPr>
                    <w:noProof/>
                    <w:webHidden/>
                  </w:rPr>
                  <w:t>18</w:t>
                </w:r>
                <w:r>
                  <w:rPr>
                    <w:noProof/>
                    <w:webHidden/>
                  </w:rPr>
                  <w:fldChar w:fldCharType="end"/>
                </w:r>
              </w:hyperlink>
            </w:p>
            <w:p w14:paraId="079186E8" w14:textId="7B94A72D"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23" w:history="1">
                <w:r w:rsidRPr="00C71457">
                  <w:rPr>
                    <w:rStyle w:val="Hyperlink"/>
                    <w:i/>
                    <w:iCs/>
                    <w:noProof/>
                  </w:rPr>
                  <w:t>Operational Barriers</w:t>
                </w:r>
                <w:r>
                  <w:rPr>
                    <w:noProof/>
                    <w:webHidden/>
                  </w:rPr>
                  <w:tab/>
                </w:r>
                <w:r>
                  <w:rPr>
                    <w:noProof/>
                    <w:webHidden/>
                  </w:rPr>
                  <w:fldChar w:fldCharType="begin"/>
                </w:r>
                <w:r>
                  <w:rPr>
                    <w:noProof/>
                    <w:webHidden/>
                  </w:rPr>
                  <w:instrText xml:space="preserve"> PAGEREF _Toc170319823 \h </w:instrText>
                </w:r>
                <w:r>
                  <w:rPr>
                    <w:noProof/>
                    <w:webHidden/>
                  </w:rPr>
                </w:r>
                <w:r>
                  <w:rPr>
                    <w:noProof/>
                    <w:webHidden/>
                  </w:rPr>
                  <w:fldChar w:fldCharType="separate"/>
                </w:r>
                <w:r>
                  <w:rPr>
                    <w:noProof/>
                    <w:webHidden/>
                  </w:rPr>
                  <w:t>19</w:t>
                </w:r>
                <w:r>
                  <w:rPr>
                    <w:noProof/>
                    <w:webHidden/>
                  </w:rPr>
                  <w:fldChar w:fldCharType="end"/>
                </w:r>
              </w:hyperlink>
            </w:p>
            <w:p w14:paraId="74F120F5" w14:textId="7F60B94F"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24" w:history="1">
                <w:r w:rsidRPr="00C71457">
                  <w:rPr>
                    <w:rStyle w:val="Hyperlink"/>
                    <w:i/>
                    <w:iCs/>
                    <w:noProof/>
                  </w:rPr>
                  <w:t>Regulatory Barriers</w:t>
                </w:r>
                <w:r>
                  <w:rPr>
                    <w:noProof/>
                    <w:webHidden/>
                  </w:rPr>
                  <w:tab/>
                </w:r>
                <w:r>
                  <w:rPr>
                    <w:noProof/>
                    <w:webHidden/>
                  </w:rPr>
                  <w:fldChar w:fldCharType="begin"/>
                </w:r>
                <w:r>
                  <w:rPr>
                    <w:noProof/>
                    <w:webHidden/>
                  </w:rPr>
                  <w:instrText xml:space="preserve"> PAGEREF _Toc170319824 \h </w:instrText>
                </w:r>
                <w:r>
                  <w:rPr>
                    <w:noProof/>
                    <w:webHidden/>
                  </w:rPr>
                </w:r>
                <w:r>
                  <w:rPr>
                    <w:noProof/>
                    <w:webHidden/>
                  </w:rPr>
                  <w:fldChar w:fldCharType="separate"/>
                </w:r>
                <w:r>
                  <w:rPr>
                    <w:noProof/>
                    <w:webHidden/>
                  </w:rPr>
                  <w:t>20</w:t>
                </w:r>
                <w:r>
                  <w:rPr>
                    <w:noProof/>
                    <w:webHidden/>
                  </w:rPr>
                  <w:fldChar w:fldCharType="end"/>
                </w:r>
              </w:hyperlink>
            </w:p>
            <w:p w14:paraId="618A5D6C" w14:textId="1F3B3678" w:rsidR="007C03F8" w:rsidRDefault="007C03F8">
              <w:pPr>
                <w:pStyle w:val="TOC1"/>
                <w:rPr>
                  <w:rFonts w:eastAsiaTheme="minorEastAsia"/>
                  <w:b w:val="0"/>
                  <w:bCs w:val="0"/>
                  <w:caps w:val="0"/>
                  <w:kern w:val="2"/>
                  <w:sz w:val="22"/>
                  <w:szCs w:val="22"/>
                  <w14:ligatures w14:val="standardContextual"/>
                </w:rPr>
              </w:pPr>
              <w:hyperlink w:anchor="_Toc170319825" w:history="1">
                <w:r w:rsidRPr="00C71457">
                  <w:rPr>
                    <w:rStyle w:val="Hyperlink"/>
                    <w:rFonts w:cstheme="minorHAnsi"/>
                  </w:rPr>
                  <w:t>III. Renewable Energy Integration Context</w:t>
                </w:r>
                <w:r>
                  <w:rPr>
                    <w:webHidden/>
                  </w:rPr>
                  <w:tab/>
                </w:r>
                <w:r>
                  <w:rPr>
                    <w:webHidden/>
                  </w:rPr>
                  <w:fldChar w:fldCharType="begin"/>
                </w:r>
                <w:r>
                  <w:rPr>
                    <w:webHidden/>
                  </w:rPr>
                  <w:instrText xml:space="preserve"> PAGEREF _Toc170319825 \h </w:instrText>
                </w:r>
                <w:r>
                  <w:rPr>
                    <w:webHidden/>
                  </w:rPr>
                </w:r>
                <w:r>
                  <w:rPr>
                    <w:webHidden/>
                  </w:rPr>
                  <w:fldChar w:fldCharType="separate"/>
                </w:r>
                <w:r>
                  <w:rPr>
                    <w:webHidden/>
                  </w:rPr>
                  <w:t>20</w:t>
                </w:r>
                <w:r>
                  <w:rPr>
                    <w:webHidden/>
                  </w:rPr>
                  <w:fldChar w:fldCharType="end"/>
                </w:r>
              </w:hyperlink>
            </w:p>
            <w:p w14:paraId="142EF358" w14:textId="12A934B5"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26" w:history="1">
                <w:r w:rsidRPr="00C71457">
                  <w:rPr>
                    <w:rStyle w:val="Hyperlink"/>
                    <w:noProof/>
                  </w:rPr>
                  <w:t>Renewable energy framework</w:t>
                </w:r>
                <w:r>
                  <w:rPr>
                    <w:noProof/>
                    <w:webHidden/>
                  </w:rPr>
                  <w:tab/>
                </w:r>
                <w:r>
                  <w:rPr>
                    <w:noProof/>
                    <w:webHidden/>
                  </w:rPr>
                  <w:fldChar w:fldCharType="begin"/>
                </w:r>
                <w:r>
                  <w:rPr>
                    <w:noProof/>
                    <w:webHidden/>
                  </w:rPr>
                  <w:instrText xml:space="preserve"> PAGEREF _Toc170319826 \h </w:instrText>
                </w:r>
                <w:r>
                  <w:rPr>
                    <w:noProof/>
                    <w:webHidden/>
                  </w:rPr>
                </w:r>
                <w:r>
                  <w:rPr>
                    <w:noProof/>
                    <w:webHidden/>
                  </w:rPr>
                  <w:fldChar w:fldCharType="separate"/>
                </w:r>
                <w:r>
                  <w:rPr>
                    <w:noProof/>
                    <w:webHidden/>
                  </w:rPr>
                  <w:t>20</w:t>
                </w:r>
                <w:r>
                  <w:rPr>
                    <w:noProof/>
                    <w:webHidden/>
                  </w:rPr>
                  <w:fldChar w:fldCharType="end"/>
                </w:r>
              </w:hyperlink>
            </w:p>
            <w:p w14:paraId="683A3B27" w14:textId="13479199"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27" w:history="1">
                <w:r w:rsidRPr="00C71457">
                  <w:rPr>
                    <w:rStyle w:val="Hyperlink"/>
                    <w:noProof/>
                  </w:rPr>
                  <w:t>Energy Storage</w:t>
                </w:r>
                <w:r>
                  <w:rPr>
                    <w:noProof/>
                    <w:webHidden/>
                  </w:rPr>
                  <w:tab/>
                </w:r>
                <w:r>
                  <w:rPr>
                    <w:noProof/>
                    <w:webHidden/>
                  </w:rPr>
                  <w:fldChar w:fldCharType="begin"/>
                </w:r>
                <w:r>
                  <w:rPr>
                    <w:noProof/>
                    <w:webHidden/>
                  </w:rPr>
                  <w:instrText xml:space="preserve"> PAGEREF _Toc170319827 \h </w:instrText>
                </w:r>
                <w:r>
                  <w:rPr>
                    <w:noProof/>
                    <w:webHidden/>
                  </w:rPr>
                </w:r>
                <w:r>
                  <w:rPr>
                    <w:noProof/>
                    <w:webHidden/>
                  </w:rPr>
                  <w:fldChar w:fldCharType="separate"/>
                </w:r>
                <w:r>
                  <w:rPr>
                    <w:noProof/>
                    <w:webHidden/>
                  </w:rPr>
                  <w:t>23</w:t>
                </w:r>
                <w:r>
                  <w:rPr>
                    <w:noProof/>
                    <w:webHidden/>
                  </w:rPr>
                  <w:fldChar w:fldCharType="end"/>
                </w:r>
              </w:hyperlink>
            </w:p>
            <w:p w14:paraId="1CFC2C40" w14:textId="5B596992"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28" w:history="1">
                <w:r w:rsidRPr="00C71457">
                  <w:rPr>
                    <w:rStyle w:val="Hyperlink"/>
                    <w:noProof/>
                  </w:rPr>
                  <w:t>Role of the private sector, innovation, and leverage of resources</w:t>
                </w:r>
                <w:r>
                  <w:rPr>
                    <w:noProof/>
                    <w:webHidden/>
                  </w:rPr>
                  <w:tab/>
                </w:r>
                <w:r>
                  <w:rPr>
                    <w:noProof/>
                    <w:webHidden/>
                  </w:rPr>
                  <w:fldChar w:fldCharType="begin"/>
                </w:r>
                <w:r>
                  <w:rPr>
                    <w:noProof/>
                    <w:webHidden/>
                  </w:rPr>
                  <w:instrText xml:space="preserve"> PAGEREF _Toc170319828 \h </w:instrText>
                </w:r>
                <w:r>
                  <w:rPr>
                    <w:noProof/>
                    <w:webHidden/>
                  </w:rPr>
                </w:r>
                <w:r>
                  <w:rPr>
                    <w:noProof/>
                    <w:webHidden/>
                  </w:rPr>
                  <w:fldChar w:fldCharType="separate"/>
                </w:r>
                <w:r>
                  <w:rPr>
                    <w:noProof/>
                    <w:webHidden/>
                  </w:rPr>
                  <w:t>24</w:t>
                </w:r>
                <w:r>
                  <w:rPr>
                    <w:noProof/>
                    <w:webHidden/>
                  </w:rPr>
                  <w:fldChar w:fldCharType="end"/>
                </w:r>
              </w:hyperlink>
            </w:p>
            <w:p w14:paraId="113A4801" w14:textId="0DB6E5E9"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29" w:history="1">
                <w:r w:rsidRPr="00C71457">
                  <w:rPr>
                    <w:rStyle w:val="Hyperlink"/>
                    <w:noProof/>
                  </w:rPr>
                  <w:t>Summary of MDB Engagement in the Türkiye Energy Sector</w:t>
                </w:r>
                <w:r>
                  <w:rPr>
                    <w:noProof/>
                    <w:webHidden/>
                  </w:rPr>
                  <w:tab/>
                </w:r>
                <w:r>
                  <w:rPr>
                    <w:noProof/>
                    <w:webHidden/>
                  </w:rPr>
                  <w:fldChar w:fldCharType="begin"/>
                </w:r>
                <w:r>
                  <w:rPr>
                    <w:noProof/>
                    <w:webHidden/>
                  </w:rPr>
                  <w:instrText xml:space="preserve"> PAGEREF _Toc170319829 \h </w:instrText>
                </w:r>
                <w:r>
                  <w:rPr>
                    <w:noProof/>
                    <w:webHidden/>
                  </w:rPr>
                </w:r>
                <w:r>
                  <w:rPr>
                    <w:noProof/>
                    <w:webHidden/>
                  </w:rPr>
                  <w:fldChar w:fldCharType="separate"/>
                </w:r>
                <w:r>
                  <w:rPr>
                    <w:noProof/>
                    <w:webHidden/>
                  </w:rPr>
                  <w:t>25</w:t>
                </w:r>
                <w:r>
                  <w:rPr>
                    <w:noProof/>
                    <w:webHidden/>
                  </w:rPr>
                  <w:fldChar w:fldCharType="end"/>
                </w:r>
              </w:hyperlink>
            </w:p>
            <w:p w14:paraId="1C406F0F" w14:textId="294860E3" w:rsidR="007C03F8" w:rsidRDefault="007C03F8">
              <w:pPr>
                <w:pStyle w:val="TOC1"/>
                <w:rPr>
                  <w:rFonts w:eastAsiaTheme="minorEastAsia"/>
                  <w:b w:val="0"/>
                  <w:bCs w:val="0"/>
                  <w:caps w:val="0"/>
                  <w:kern w:val="2"/>
                  <w:sz w:val="22"/>
                  <w:szCs w:val="22"/>
                  <w14:ligatures w14:val="standardContextual"/>
                </w:rPr>
              </w:pPr>
              <w:hyperlink w:anchor="_Toc170319831" w:history="1">
                <w:r w:rsidRPr="00C71457">
                  <w:rPr>
                    <w:rStyle w:val="Hyperlink"/>
                    <w:rFonts w:cstheme="minorHAnsi"/>
                  </w:rPr>
                  <w:t>IV. PROGRAM DESCRIPTION</w:t>
                </w:r>
                <w:r>
                  <w:rPr>
                    <w:webHidden/>
                  </w:rPr>
                  <w:tab/>
                </w:r>
                <w:r>
                  <w:rPr>
                    <w:webHidden/>
                  </w:rPr>
                  <w:fldChar w:fldCharType="begin"/>
                </w:r>
                <w:r>
                  <w:rPr>
                    <w:webHidden/>
                  </w:rPr>
                  <w:instrText xml:space="preserve"> PAGEREF _Toc170319831 \h </w:instrText>
                </w:r>
                <w:r>
                  <w:rPr>
                    <w:webHidden/>
                  </w:rPr>
                </w:r>
                <w:r>
                  <w:rPr>
                    <w:webHidden/>
                  </w:rPr>
                  <w:fldChar w:fldCharType="separate"/>
                </w:r>
                <w:r>
                  <w:rPr>
                    <w:webHidden/>
                  </w:rPr>
                  <w:t>26</w:t>
                </w:r>
                <w:r>
                  <w:rPr>
                    <w:webHidden/>
                  </w:rPr>
                  <w:fldChar w:fldCharType="end"/>
                </w:r>
              </w:hyperlink>
            </w:p>
            <w:p w14:paraId="6EF140AD" w14:textId="470DF48C" w:rsidR="007C03F8" w:rsidRDefault="007C03F8">
              <w:pPr>
                <w:pStyle w:val="TOC1"/>
                <w:rPr>
                  <w:rFonts w:eastAsiaTheme="minorEastAsia"/>
                  <w:b w:val="0"/>
                  <w:bCs w:val="0"/>
                  <w:caps w:val="0"/>
                  <w:kern w:val="2"/>
                  <w:sz w:val="22"/>
                  <w:szCs w:val="22"/>
                  <w14:ligatures w14:val="standardContextual"/>
                </w:rPr>
              </w:pPr>
              <w:hyperlink w:anchor="_Toc170319832" w:history="1">
                <w:r w:rsidRPr="00C71457">
                  <w:rPr>
                    <w:rStyle w:val="Hyperlink"/>
                    <w:rFonts w:cstheme="minorHAnsi"/>
                  </w:rPr>
                  <w:t>V. Financing Plan and Instruments</w:t>
                </w:r>
                <w:r>
                  <w:rPr>
                    <w:webHidden/>
                  </w:rPr>
                  <w:tab/>
                </w:r>
                <w:r>
                  <w:rPr>
                    <w:webHidden/>
                  </w:rPr>
                  <w:fldChar w:fldCharType="begin"/>
                </w:r>
                <w:r>
                  <w:rPr>
                    <w:webHidden/>
                  </w:rPr>
                  <w:instrText xml:space="preserve"> PAGEREF _Toc170319832 \h </w:instrText>
                </w:r>
                <w:r>
                  <w:rPr>
                    <w:webHidden/>
                  </w:rPr>
                </w:r>
                <w:r>
                  <w:rPr>
                    <w:webHidden/>
                  </w:rPr>
                  <w:fldChar w:fldCharType="separate"/>
                </w:r>
                <w:r>
                  <w:rPr>
                    <w:webHidden/>
                  </w:rPr>
                  <w:t>30</w:t>
                </w:r>
                <w:r>
                  <w:rPr>
                    <w:webHidden/>
                  </w:rPr>
                  <w:fldChar w:fldCharType="end"/>
                </w:r>
              </w:hyperlink>
            </w:p>
            <w:p w14:paraId="384B2FD3" w14:textId="3B5BEBA4"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33" w:history="1">
                <w:r w:rsidRPr="00C71457">
                  <w:rPr>
                    <w:rStyle w:val="Hyperlink"/>
                    <w:noProof/>
                  </w:rPr>
                  <w:t>Requested Budget Envelope</w:t>
                </w:r>
                <w:r>
                  <w:rPr>
                    <w:noProof/>
                    <w:webHidden/>
                  </w:rPr>
                  <w:tab/>
                </w:r>
                <w:r>
                  <w:rPr>
                    <w:noProof/>
                    <w:webHidden/>
                  </w:rPr>
                  <w:fldChar w:fldCharType="begin"/>
                </w:r>
                <w:r>
                  <w:rPr>
                    <w:noProof/>
                    <w:webHidden/>
                  </w:rPr>
                  <w:instrText xml:space="preserve"> PAGEREF _Toc170319833 \h </w:instrText>
                </w:r>
                <w:r>
                  <w:rPr>
                    <w:noProof/>
                    <w:webHidden/>
                  </w:rPr>
                </w:r>
                <w:r>
                  <w:rPr>
                    <w:noProof/>
                    <w:webHidden/>
                  </w:rPr>
                  <w:fldChar w:fldCharType="separate"/>
                </w:r>
                <w:r>
                  <w:rPr>
                    <w:noProof/>
                    <w:webHidden/>
                  </w:rPr>
                  <w:t>30</w:t>
                </w:r>
                <w:r>
                  <w:rPr>
                    <w:noProof/>
                    <w:webHidden/>
                  </w:rPr>
                  <w:fldChar w:fldCharType="end"/>
                </w:r>
              </w:hyperlink>
            </w:p>
            <w:p w14:paraId="3776789C" w14:textId="01F1165F"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34" w:history="1">
                <w:r w:rsidRPr="00C71457">
                  <w:rPr>
                    <w:rStyle w:val="Hyperlink"/>
                    <w:rFonts w:cstheme="minorHAnsi"/>
                    <w:noProof/>
                  </w:rPr>
                  <w:t>Costs and Sources of Funding</w:t>
                </w:r>
                <w:r>
                  <w:rPr>
                    <w:noProof/>
                    <w:webHidden/>
                  </w:rPr>
                  <w:tab/>
                </w:r>
                <w:r>
                  <w:rPr>
                    <w:noProof/>
                    <w:webHidden/>
                  </w:rPr>
                  <w:fldChar w:fldCharType="begin"/>
                </w:r>
                <w:r>
                  <w:rPr>
                    <w:noProof/>
                    <w:webHidden/>
                  </w:rPr>
                  <w:instrText xml:space="preserve"> PAGEREF _Toc170319834 \h </w:instrText>
                </w:r>
                <w:r>
                  <w:rPr>
                    <w:noProof/>
                    <w:webHidden/>
                  </w:rPr>
                </w:r>
                <w:r>
                  <w:rPr>
                    <w:noProof/>
                    <w:webHidden/>
                  </w:rPr>
                  <w:fldChar w:fldCharType="separate"/>
                </w:r>
                <w:r>
                  <w:rPr>
                    <w:noProof/>
                    <w:webHidden/>
                  </w:rPr>
                  <w:t>32</w:t>
                </w:r>
                <w:r>
                  <w:rPr>
                    <w:noProof/>
                    <w:webHidden/>
                  </w:rPr>
                  <w:fldChar w:fldCharType="end"/>
                </w:r>
              </w:hyperlink>
            </w:p>
            <w:p w14:paraId="56FDD309" w14:textId="7EA027E6" w:rsidR="007C03F8" w:rsidRDefault="007C03F8">
              <w:pPr>
                <w:pStyle w:val="TOC1"/>
                <w:rPr>
                  <w:rFonts w:eastAsiaTheme="minorEastAsia"/>
                  <w:b w:val="0"/>
                  <w:bCs w:val="0"/>
                  <w:caps w:val="0"/>
                  <w:kern w:val="2"/>
                  <w:sz w:val="22"/>
                  <w:szCs w:val="22"/>
                  <w14:ligatures w14:val="standardContextual"/>
                </w:rPr>
              </w:pPr>
              <w:hyperlink w:anchor="_Toc170319835" w:history="1">
                <w:r w:rsidRPr="00C71457">
                  <w:rPr>
                    <w:rStyle w:val="Hyperlink"/>
                    <w:lang w:val="en-GB"/>
                  </w:rPr>
                  <w:t>VI. Implementation Potential with Risk Assessment</w:t>
                </w:r>
                <w:r>
                  <w:rPr>
                    <w:webHidden/>
                  </w:rPr>
                  <w:tab/>
                </w:r>
                <w:r>
                  <w:rPr>
                    <w:webHidden/>
                  </w:rPr>
                  <w:fldChar w:fldCharType="begin"/>
                </w:r>
                <w:r>
                  <w:rPr>
                    <w:webHidden/>
                  </w:rPr>
                  <w:instrText xml:space="preserve"> PAGEREF _Toc170319835 \h </w:instrText>
                </w:r>
                <w:r>
                  <w:rPr>
                    <w:webHidden/>
                  </w:rPr>
                </w:r>
                <w:r>
                  <w:rPr>
                    <w:webHidden/>
                  </w:rPr>
                  <w:fldChar w:fldCharType="separate"/>
                </w:r>
                <w:r>
                  <w:rPr>
                    <w:webHidden/>
                  </w:rPr>
                  <w:t>32</w:t>
                </w:r>
                <w:r>
                  <w:rPr>
                    <w:webHidden/>
                  </w:rPr>
                  <w:fldChar w:fldCharType="end"/>
                </w:r>
              </w:hyperlink>
            </w:p>
            <w:p w14:paraId="6295DC5B" w14:textId="0A29DC21"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36" w:history="1">
                <w:r w:rsidRPr="00C71457">
                  <w:rPr>
                    <w:rStyle w:val="Hyperlink"/>
                    <w:noProof/>
                    <w:lang w:val="en-GB"/>
                  </w:rPr>
                  <w:t>Macroeconomic risk</w:t>
                </w:r>
                <w:r>
                  <w:rPr>
                    <w:noProof/>
                    <w:webHidden/>
                  </w:rPr>
                  <w:tab/>
                </w:r>
                <w:r>
                  <w:rPr>
                    <w:noProof/>
                    <w:webHidden/>
                  </w:rPr>
                  <w:fldChar w:fldCharType="begin"/>
                </w:r>
                <w:r>
                  <w:rPr>
                    <w:noProof/>
                    <w:webHidden/>
                  </w:rPr>
                  <w:instrText xml:space="preserve"> PAGEREF _Toc170319836 \h </w:instrText>
                </w:r>
                <w:r>
                  <w:rPr>
                    <w:noProof/>
                    <w:webHidden/>
                  </w:rPr>
                </w:r>
                <w:r>
                  <w:rPr>
                    <w:noProof/>
                    <w:webHidden/>
                  </w:rPr>
                  <w:fldChar w:fldCharType="separate"/>
                </w:r>
                <w:r>
                  <w:rPr>
                    <w:noProof/>
                    <w:webHidden/>
                  </w:rPr>
                  <w:t>32</w:t>
                </w:r>
                <w:r>
                  <w:rPr>
                    <w:noProof/>
                    <w:webHidden/>
                  </w:rPr>
                  <w:fldChar w:fldCharType="end"/>
                </w:r>
              </w:hyperlink>
            </w:p>
            <w:p w14:paraId="2A3371F7" w14:textId="67E1A098"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37" w:history="1">
                <w:r w:rsidRPr="00C71457">
                  <w:rPr>
                    <w:rStyle w:val="Hyperlink"/>
                    <w:rFonts w:cstheme="minorHAnsi"/>
                    <w:noProof/>
                  </w:rPr>
                  <w:t>Institutional capacity for implementation and sustainability risk</w:t>
                </w:r>
                <w:r>
                  <w:rPr>
                    <w:noProof/>
                    <w:webHidden/>
                  </w:rPr>
                  <w:tab/>
                </w:r>
                <w:r>
                  <w:rPr>
                    <w:noProof/>
                    <w:webHidden/>
                  </w:rPr>
                  <w:fldChar w:fldCharType="begin"/>
                </w:r>
                <w:r>
                  <w:rPr>
                    <w:noProof/>
                    <w:webHidden/>
                  </w:rPr>
                  <w:instrText xml:space="preserve"> PAGEREF _Toc170319837 \h </w:instrText>
                </w:r>
                <w:r>
                  <w:rPr>
                    <w:noProof/>
                    <w:webHidden/>
                  </w:rPr>
                </w:r>
                <w:r>
                  <w:rPr>
                    <w:noProof/>
                    <w:webHidden/>
                  </w:rPr>
                  <w:fldChar w:fldCharType="separate"/>
                </w:r>
                <w:r>
                  <w:rPr>
                    <w:noProof/>
                    <w:webHidden/>
                  </w:rPr>
                  <w:t>32</w:t>
                </w:r>
                <w:r>
                  <w:rPr>
                    <w:noProof/>
                    <w:webHidden/>
                  </w:rPr>
                  <w:fldChar w:fldCharType="end"/>
                </w:r>
              </w:hyperlink>
            </w:p>
            <w:p w14:paraId="12A7E195" w14:textId="6C155772"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38" w:history="1">
                <w:r w:rsidRPr="00C71457">
                  <w:rPr>
                    <w:rStyle w:val="Hyperlink"/>
                    <w:noProof/>
                  </w:rPr>
                  <w:t>Technology</w:t>
                </w:r>
                <w:r>
                  <w:rPr>
                    <w:noProof/>
                    <w:webHidden/>
                  </w:rPr>
                  <w:tab/>
                </w:r>
                <w:r>
                  <w:rPr>
                    <w:noProof/>
                    <w:webHidden/>
                  </w:rPr>
                  <w:fldChar w:fldCharType="begin"/>
                </w:r>
                <w:r>
                  <w:rPr>
                    <w:noProof/>
                    <w:webHidden/>
                  </w:rPr>
                  <w:instrText xml:space="preserve"> PAGEREF _Toc170319838 \h </w:instrText>
                </w:r>
                <w:r>
                  <w:rPr>
                    <w:noProof/>
                    <w:webHidden/>
                  </w:rPr>
                </w:r>
                <w:r>
                  <w:rPr>
                    <w:noProof/>
                    <w:webHidden/>
                  </w:rPr>
                  <w:fldChar w:fldCharType="separate"/>
                </w:r>
                <w:r>
                  <w:rPr>
                    <w:noProof/>
                    <w:webHidden/>
                  </w:rPr>
                  <w:t>33</w:t>
                </w:r>
                <w:r>
                  <w:rPr>
                    <w:noProof/>
                    <w:webHidden/>
                  </w:rPr>
                  <w:fldChar w:fldCharType="end"/>
                </w:r>
              </w:hyperlink>
            </w:p>
            <w:p w14:paraId="4D85C43B" w14:textId="49A10F88"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39" w:history="1">
                <w:r w:rsidRPr="00C71457">
                  <w:rPr>
                    <w:rStyle w:val="Hyperlink"/>
                    <w:noProof/>
                  </w:rPr>
                  <w:t>Environmental risk</w:t>
                </w:r>
                <w:r>
                  <w:rPr>
                    <w:noProof/>
                    <w:webHidden/>
                  </w:rPr>
                  <w:tab/>
                </w:r>
                <w:r>
                  <w:rPr>
                    <w:noProof/>
                    <w:webHidden/>
                  </w:rPr>
                  <w:fldChar w:fldCharType="begin"/>
                </w:r>
                <w:r>
                  <w:rPr>
                    <w:noProof/>
                    <w:webHidden/>
                  </w:rPr>
                  <w:instrText xml:space="preserve"> PAGEREF _Toc170319839 \h </w:instrText>
                </w:r>
                <w:r>
                  <w:rPr>
                    <w:noProof/>
                    <w:webHidden/>
                  </w:rPr>
                </w:r>
                <w:r>
                  <w:rPr>
                    <w:noProof/>
                    <w:webHidden/>
                  </w:rPr>
                  <w:fldChar w:fldCharType="separate"/>
                </w:r>
                <w:r>
                  <w:rPr>
                    <w:noProof/>
                    <w:webHidden/>
                  </w:rPr>
                  <w:t>33</w:t>
                </w:r>
                <w:r>
                  <w:rPr>
                    <w:noProof/>
                    <w:webHidden/>
                  </w:rPr>
                  <w:fldChar w:fldCharType="end"/>
                </w:r>
              </w:hyperlink>
            </w:p>
            <w:p w14:paraId="1FC5E0A1" w14:textId="2BD44A67"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40" w:history="1">
                <w:r w:rsidRPr="00C71457">
                  <w:rPr>
                    <w:rStyle w:val="Hyperlink"/>
                    <w:noProof/>
                  </w:rPr>
                  <w:t>Social Risk</w:t>
                </w:r>
                <w:r>
                  <w:rPr>
                    <w:noProof/>
                    <w:webHidden/>
                  </w:rPr>
                  <w:tab/>
                </w:r>
                <w:r>
                  <w:rPr>
                    <w:noProof/>
                    <w:webHidden/>
                  </w:rPr>
                  <w:fldChar w:fldCharType="begin"/>
                </w:r>
                <w:r>
                  <w:rPr>
                    <w:noProof/>
                    <w:webHidden/>
                  </w:rPr>
                  <w:instrText xml:space="preserve"> PAGEREF _Toc170319840 \h </w:instrText>
                </w:r>
                <w:r>
                  <w:rPr>
                    <w:noProof/>
                    <w:webHidden/>
                  </w:rPr>
                </w:r>
                <w:r>
                  <w:rPr>
                    <w:noProof/>
                    <w:webHidden/>
                  </w:rPr>
                  <w:fldChar w:fldCharType="separate"/>
                </w:r>
                <w:r>
                  <w:rPr>
                    <w:noProof/>
                    <w:webHidden/>
                  </w:rPr>
                  <w:t>33</w:t>
                </w:r>
                <w:r>
                  <w:rPr>
                    <w:noProof/>
                    <w:webHidden/>
                  </w:rPr>
                  <w:fldChar w:fldCharType="end"/>
                </w:r>
              </w:hyperlink>
            </w:p>
            <w:p w14:paraId="05474820" w14:textId="132F37F4"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41" w:history="1">
                <w:r w:rsidRPr="00C71457">
                  <w:rPr>
                    <w:rStyle w:val="Hyperlink"/>
                    <w:noProof/>
                  </w:rPr>
                  <w:t>Financial risk</w:t>
                </w:r>
                <w:r>
                  <w:rPr>
                    <w:noProof/>
                    <w:webHidden/>
                  </w:rPr>
                  <w:tab/>
                </w:r>
                <w:r>
                  <w:rPr>
                    <w:noProof/>
                    <w:webHidden/>
                  </w:rPr>
                  <w:fldChar w:fldCharType="begin"/>
                </w:r>
                <w:r>
                  <w:rPr>
                    <w:noProof/>
                    <w:webHidden/>
                  </w:rPr>
                  <w:instrText xml:space="preserve"> PAGEREF _Toc170319841 \h </w:instrText>
                </w:r>
                <w:r>
                  <w:rPr>
                    <w:noProof/>
                    <w:webHidden/>
                  </w:rPr>
                </w:r>
                <w:r>
                  <w:rPr>
                    <w:noProof/>
                    <w:webHidden/>
                  </w:rPr>
                  <w:fldChar w:fldCharType="separate"/>
                </w:r>
                <w:r>
                  <w:rPr>
                    <w:noProof/>
                    <w:webHidden/>
                  </w:rPr>
                  <w:t>33</w:t>
                </w:r>
                <w:r>
                  <w:rPr>
                    <w:noProof/>
                    <w:webHidden/>
                  </w:rPr>
                  <w:fldChar w:fldCharType="end"/>
                </w:r>
              </w:hyperlink>
            </w:p>
            <w:p w14:paraId="1AA6999E" w14:textId="6DC5337C"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42" w:history="1">
                <w:r w:rsidRPr="00C71457">
                  <w:rPr>
                    <w:rStyle w:val="Hyperlink"/>
                    <w:noProof/>
                    <w:lang w:val="en-GB"/>
                  </w:rPr>
                  <w:t>Absorptive capacity for REI Program and associated investments</w:t>
                </w:r>
                <w:r>
                  <w:rPr>
                    <w:noProof/>
                    <w:webHidden/>
                  </w:rPr>
                  <w:tab/>
                </w:r>
                <w:r>
                  <w:rPr>
                    <w:noProof/>
                    <w:webHidden/>
                  </w:rPr>
                  <w:fldChar w:fldCharType="begin"/>
                </w:r>
                <w:r>
                  <w:rPr>
                    <w:noProof/>
                    <w:webHidden/>
                  </w:rPr>
                  <w:instrText xml:space="preserve"> PAGEREF _Toc170319842 \h </w:instrText>
                </w:r>
                <w:r>
                  <w:rPr>
                    <w:noProof/>
                    <w:webHidden/>
                  </w:rPr>
                </w:r>
                <w:r>
                  <w:rPr>
                    <w:noProof/>
                    <w:webHidden/>
                  </w:rPr>
                  <w:fldChar w:fldCharType="separate"/>
                </w:r>
                <w:r>
                  <w:rPr>
                    <w:noProof/>
                    <w:webHidden/>
                  </w:rPr>
                  <w:t>33</w:t>
                </w:r>
                <w:r>
                  <w:rPr>
                    <w:noProof/>
                    <w:webHidden/>
                  </w:rPr>
                  <w:fldChar w:fldCharType="end"/>
                </w:r>
              </w:hyperlink>
            </w:p>
            <w:p w14:paraId="045FF966" w14:textId="6CEE6062" w:rsidR="007C03F8" w:rsidRDefault="007C03F8">
              <w:pPr>
                <w:pStyle w:val="TOC1"/>
                <w:rPr>
                  <w:rFonts w:eastAsiaTheme="minorEastAsia"/>
                  <w:b w:val="0"/>
                  <w:bCs w:val="0"/>
                  <w:caps w:val="0"/>
                  <w:kern w:val="2"/>
                  <w:sz w:val="22"/>
                  <w:szCs w:val="22"/>
                  <w14:ligatures w14:val="standardContextual"/>
                </w:rPr>
              </w:pPr>
              <w:hyperlink w:anchor="_Toc170319843" w:history="1">
                <w:r w:rsidRPr="00C71457">
                  <w:rPr>
                    <w:rStyle w:val="Hyperlink"/>
                    <w:lang w:val="en-GB"/>
                  </w:rPr>
                  <w:t>VII. Monitoring and Evaluation</w:t>
                </w:r>
                <w:r>
                  <w:rPr>
                    <w:webHidden/>
                  </w:rPr>
                  <w:tab/>
                </w:r>
                <w:r>
                  <w:rPr>
                    <w:webHidden/>
                  </w:rPr>
                  <w:fldChar w:fldCharType="begin"/>
                </w:r>
                <w:r>
                  <w:rPr>
                    <w:webHidden/>
                  </w:rPr>
                  <w:instrText xml:space="preserve"> PAGEREF _Toc170319843 \h </w:instrText>
                </w:r>
                <w:r>
                  <w:rPr>
                    <w:webHidden/>
                  </w:rPr>
                </w:r>
                <w:r>
                  <w:rPr>
                    <w:webHidden/>
                  </w:rPr>
                  <w:fldChar w:fldCharType="separate"/>
                </w:r>
                <w:r>
                  <w:rPr>
                    <w:webHidden/>
                  </w:rPr>
                  <w:t>34</w:t>
                </w:r>
                <w:r>
                  <w:rPr>
                    <w:webHidden/>
                  </w:rPr>
                  <w:fldChar w:fldCharType="end"/>
                </w:r>
              </w:hyperlink>
            </w:p>
            <w:p w14:paraId="70EF7DF7" w14:textId="08D0E48C"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44" w:history="1">
                <w:r w:rsidRPr="00C71457">
                  <w:rPr>
                    <w:rStyle w:val="Hyperlink"/>
                    <w:noProof/>
                    <w:lang w:val="en-GB"/>
                  </w:rPr>
                  <w:t>Integrated Results Framework</w:t>
                </w:r>
                <w:r>
                  <w:rPr>
                    <w:noProof/>
                    <w:webHidden/>
                  </w:rPr>
                  <w:tab/>
                </w:r>
                <w:r>
                  <w:rPr>
                    <w:noProof/>
                    <w:webHidden/>
                  </w:rPr>
                  <w:fldChar w:fldCharType="begin"/>
                </w:r>
                <w:r>
                  <w:rPr>
                    <w:noProof/>
                    <w:webHidden/>
                  </w:rPr>
                  <w:instrText xml:space="preserve"> PAGEREF _Toc170319844 \h </w:instrText>
                </w:r>
                <w:r>
                  <w:rPr>
                    <w:noProof/>
                    <w:webHidden/>
                  </w:rPr>
                </w:r>
                <w:r>
                  <w:rPr>
                    <w:noProof/>
                    <w:webHidden/>
                  </w:rPr>
                  <w:fldChar w:fldCharType="separate"/>
                </w:r>
                <w:r>
                  <w:rPr>
                    <w:noProof/>
                    <w:webHidden/>
                  </w:rPr>
                  <w:t>34</w:t>
                </w:r>
                <w:r>
                  <w:rPr>
                    <w:noProof/>
                    <w:webHidden/>
                  </w:rPr>
                  <w:fldChar w:fldCharType="end"/>
                </w:r>
              </w:hyperlink>
            </w:p>
            <w:p w14:paraId="2EC06A9D" w14:textId="30B470AE"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45" w:history="1">
                <w:r w:rsidRPr="00C71457">
                  <w:rPr>
                    <w:rStyle w:val="Hyperlink"/>
                    <w:noProof/>
                    <w:lang w:val="en-GB"/>
                  </w:rPr>
                  <w:t>CIF Level Impacts</w:t>
                </w:r>
                <w:r>
                  <w:rPr>
                    <w:noProof/>
                    <w:webHidden/>
                  </w:rPr>
                  <w:tab/>
                </w:r>
                <w:r>
                  <w:rPr>
                    <w:noProof/>
                    <w:webHidden/>
                  </w:rPr>
                  <w:fldChar w:fldCharType="begin"/>
                </w:r>
                <w:r>
                  <w:rPr>
                    <w:noProof/>
                    <w:webHidden/>
                  </w:rPr>
                  <w:instrText xml:space="preserve"> PAGEREF _Toc170319845 \h </w:instrText>
                </w:r>
                <w:r>
                  <w:rPr>
                    <w:noProof/>
                    <w:webHidden/>
                  </w:rPr>
                </w:r>
                <w:r>
                  <w:rPr>
                    <w:noProof/>
                    <w:webHidden/>
                  </w:rPr>
                  <w:fldChar w:fldCharType="separate"/>
                </w:r>
                <w:r>
                  <w:rPr>
                    <w:noProof/>
                    <w:webHidden/>
                  </w:rPr>
                  <w:t>34</w:t>
                </w:r>
                <w:r>
                  <w:rPr>
                    <w:noProof/>
                    <w:webHidden/>
                  </w:rPr>
                  <w:fldChar w:fldCharType="end"/>
                </w:r>
              </w:hyperlink>
            </w:p>
            <w:p w14:paraId="26C6C282" w14:textId="3340A971"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46" w:history="1">
                <w:r w:rsidRPr="00C71457">
                  <w:rPr>
                    <w:rStyle w:val="Hyperlink"/>
                    <w:noProof/>
                  </w:rPr>
                  <w:t>REI Program Level Impacts</w:t>
                </w:r>
                <w:r>
                  <w:rPr>
                    <w:noProof/>
                    <w:webHidden/>
                  </w:rPr>
                  <w:tab/>
                </w:r>
                <w:r>
                  <w:rPr>
                    <w:noProof/>
                    <w:webHidden/>
                  </w:rPr>
                  <w:fldChar w:fldCharType="begin"/>
                </w:r>
                <w:r>
                  <w:rPr>
                    <w:noProof/>
                    <w:webHidden/>
                  </w:rPr>
                  <w:instrText xml:space="preserve"> PAGEREF _Toc170319846 \h </w:instrText>
                </w:r>
                <w:r>
                  <w:rPr>
                    <w:noProof/>
                    <w:webHidden/>
                  </w:rPr>
                </w:r>
                <w:r>
                  <w:rPr>
                    <w:noProof/>
                    <w:webHidden/>
                  </w:rPr>
                  <w:fldChar w:fldCharType="separate"/>
                </w:r>
                <w:r>
                  <w:rPr>
                    <w:noProof/>
                    <w:webHidden/>
                  </w:rPr>
                  <w:t>34</w:t>
                </w:r>
                <w:r>
                  <w:rPr>
                    <w:noProof/>
                    <w:webHidden/>
                  </w:rPr>
                  <w:fldChar w:fldCharType="end"/>
                </w:r>
              </w:hyperlink>
            </w:p>
            <w:p w14:paraId="3220B4EB" w14:textId="4CEDD1A3" w:rsidR="007C03F8" w:rsidRDefault="007C03F8">
              <w:pPr>
                <w:pStyle w:val="TOC2"/>
                <w:tabs>
                  <w:tab w:val="right" w:leader="dot" w:pos="9350"/>
                </w:tabs>
                <w:rPr>
                  <w:rFonts w:eastAsiaTheme="minorEastAsia"/>
                  <w:b w:val="0"/>
                  <w:bCs w:val="0"/>
                  <w:noProof/>
                  <w:kern w:val="2"/>
                  <w:sz w:val="22"/>
                  <w:szCs w:val="22"/>
                  <w14:ligatures w14:val="standardContextual"/>
                </w:rPr>
              </w:pPr>
              <w:hyperlink w:anchor="_Toc170319847" w:history="1">
                <w:r w:rsidRPr="00C71457">
                  <w:rPr>
                    <w:rStyle w:val="Hyperlink"/>
                    <w:noProof/>
                  </w:rPr>
                  <w:t>Program Outcome Results</w:t>
                </w:r>
                <w:r>
                  <w:rPr>
                    <w:noProof/>
                    <w:webHidden/>
                  </w:rPr>
                  <w:tab/>
                </w:r>
                <w:r>
                  <w:rPr>
                    <w:noProof/>
                    <w:webHidden/>
                  </w:rPr>
                  <w:fldChar w:fldCharType="begin"/>
                </w:r>
                <w:r>
                  <w:rPr>
                    <w:noProof/>
                    <w:webHidden/>
                  </w:rPr>
                  <w:instrText xml:space="preserve"> PAGEREF _Toc170319847 \h </w:instrText>
                </w:r>
                <w:r>
                  <w:rPr>
                    <w:noProof/>
                    <w:webHidden/>
                  </w:rPr>
                </w:r>
                <w:r>
                  <w:rPr>
                    <w:noProof/>
                    <w:webHidden/>
                  </w:rPr>
                  <w:fldChar w:fldCharType="separate"/>
                </w:r>
                <w:r>
                  <w:rPr>
                    <w:noProof/>
                    <w:webHidden/>
                  </w:rPr>
                  <w:t>35</w:t>
                </w:r>
                <w:r>
                  <w:rPr>
                    <w:noProof/>
                    <w:webHidden/>
                  </w:rPr>
                  <w:fldChar w:fldCharType="end"/>
                </w:r>
              </w:hyperlink>
            </w:p>
            <w:p w14:paraId="2BC95DFC" w14:textId="6C606275" w:rsidR="007C03F8" w:rsidRDefault="007C03F8">
              <w:pPr>
                <w:pStyle w:val="TOC2"/>
                <w:tabs>
                  <w:tab w:val="right" w:leader="dot" w:pos="9350"/>
                </w:tabs>
                <w:rPr>
                  <w:rStyle w:val="Hyperlink"/>
                  <w:noProof/>
                </w:rPr>
              </w:pPr>
              <w:hyperlink w:anchor="_Toc170319848" w:history="1">
                <w:r w:rsidRPr="00C71457">
                  <w:rPr>
                    <w:rStyle w:val="Hyperlink"/>
                    <w:noProof/>
                  </w:rPr>
                  <w:t>Program Output Results</w:t>
                </w:r>
                <w:r>
                  <w:rPr>
                    <w:noProof/>
                    <w:webHidden/>
                  </w:rPr>
                  <w:tab/>
                </w:r>
                <w:r>
                  <w:rPr>
                    <w:noProof/>
                    <w:webHidden/>
                  </w:rPr>
                  <w:fldChar w:fldCharType="begin"/>
                </w:r>
                <w:r>
                  <w:rPr>
                    <w:noProof/>
                    <w:webHidden/>
                  </w:rPr>
                  <w:instrText xml:space="preserve"> PAGEREF _Toc170319848 \h </w:instrText>
                </w:r>
                <w:r>
                  <w:rPr>
                    <w:noProof/>
                    <w:webHidden/>
                  </w:rPr>
                </w:r>
                <w:r>
                  <w:rPr>
                    <w:noProof/>
                    <w:webHidden/>
                  </w:rPr>
                  <w:fldChar w:fldCharType="separate"/>
                </w:r>
                <w:r>
                  <w:rPr>
                    <w:noProof/>
                    <w:webHidden/>
                  </w:rPr>
                  <w:t>37</w:t>
                </w:r>
                <w:r>
                  <w:rPr>
                    <w:noProof/>
                    <w:webHidden/>
                  </w:rPr>
                  <w:fldChar w:fldCharType="end"/>
                </w:r>
              </w:hyperlink>
            </w:p>
            <w:p w14:paraId="0F148730" w14:textId="77777777" w:rsidR="00C603AE" w:rsidRPr="00C603AE" w:rsidRDefault="00C603AE" w:rsidP="00C603AE"/>
            <w:p w14:paraId="67275261" w14:textId="29D933A3" w:rsidR="007C03F8" w:rsidRDefault="007C03F8">
              <w:pPr>
                <w:pStyle w:val="TOC3"/>
                <w:tabs>
                  <w:tab w:val="right" w:leader="dot" w:pos="9350"/>
                </w:tabs>
                <w:rPr>
                  <w:rFonts w:eastAsiaTheme="minorEastAsia"/>
                  <w:noProof/>
                  <w:kern w:val="2"/>
                  <w:sz w:val="22"/>
                  <w:szCs w:val="22"/>
                  <w14:ligatures w14:val="standardContextual"/>
                </w:rPr>
              </w:pPr>
              <w:hyperlink w:anchor="_Toc170319849" w:history="1">
                <w:r w:rsidRPr="00C71457">
                  <w:rPr>
                    <w:rStyle w:val="Hyperlink"/>
                    <w:rFonts w:cstheme="minorHAnsi"/>
                    <w:noProof/>
                  </w:rPr>
                  <w:t>ANNEX 1: Assessment of country’s absorptive capacity for integration activities</w:t>
                </w:r>
                <w:r>
                  <w:rPr>
                    <w:noProof/>
                    <w:webHidden/>
                  </w:rPr>
                  <w:tab/>
                </w:r>
                <w:r>
                  <w:rPr>
                    <w:noProof/>
                    <w:webHidden/>
                  </w:rPr>
                  <w:fldChar w:fldCharType="begin"/>
                </w:r>
                <w:r>
                  <w:rPr>
                    <w:noProof/>
                    <w:webHidden/>
                  </w:rPr>
                  <w:instrText xml:space="preserve"> PAGEREF _Toc170319849 \h </w:instrText>
                </w:r>
                <w:r>
                  <w:rPr>
                    <w:noProof/>
                    <w:webHidden/>
                  </w:rPr>
                </w:r>
                <w:r>
                  <w:rPr>
                    <w:noProof/>
                    <w:webHidden/>
                  </w:rPr>
                  <w:fldChar w:fldCharType="separate"/>
                </w:r>
                <w:r>
                  <w:rPr>
                    <w:noProof/>
                    <w:webHidden/>
                  </w:rPr>
                  <w:t>39</w:t>
                </w:r>
                <w:r>
                  <w:rPr>
                    <w:noProof/>
                    <w:webHidden/>
                  </w:rPr>
                  <w:fldChar w:fldCharType="end"/>
                </w:r>
              </w:hyperlink>
            </w:p>
            <w:p w14:paraId="6A90382A" w14:textId="67894C75" w:rsidR="007C03F8" w:rsidRDefault="007C03F8">
              <w:pPr>
                <w:pStyle w:val="TOC3"/>
                <w:tabs>
                  <w:tab w:val="right" w:leader="dot" w:pos="9350"/>
                </w:tabs>
                <w:rPr>
                  <w:rFonts w:eastAsiaTheme="minorEastAsia"/>
                  <w:noProof/>
                  <w:kern w:val="2"/>
                  <w:sz w:val="22"/>
                  <w:szCs w:val="22"/>
                  <w14:ligatures w14:val="standardContextual"/>
                </w:rPr>
              </w:pPr>
              <w:hyperlink w:anchor="_Toc170319850" w:history="1">
                <w:r w:rsidRPr="00C71457">
                  <w:rPr>
                    <w:rStyle w:val="Hyperlink"/>
                    <w:rFonts w:cstheme="minorHAnsi"/>
                    <w:noProof/>
                  </w:rPr>
                  <w:t>ANNEX 2: RE Legislation and the Executing Authorities</w:t>
                </w:r>
                <w:r>
                  <w:rPr>
                    <w:noProof/>
                    <w:webHidden/>
                  </w:rPr>
                  <w:tab/>
                </w:r>
                <w:r>
                  <w:rPr>
                    <w:noProof/>
                    <w:webHidden/>
                  </w:rPr>
                  <w:fldChar w:fldCharType="begin"/>
                </w:r>
                <w:r>
                  <w:rPr>
                    <w:noProof/>
                    <w:webHidden/>
                  </w:rPr>
                  <w:instrText xml:space="preserve"> PAGEREF _Toc170319850 \h </w:instrText>
                </w:r>
                <w:r>
                  <w:rPr>
                    <w:noProof/>
                    <w:webHidden/>
                  </w:rPr>
                </w:r>
                <w:r>
                  <w:rPr>
                    <w:noProof/>
                    <w:webHidden/>
                  </w:rPr>
                  <w:fldChar w:fldCharType="separate"/>
                </w:r>
                <w:r>
                  <w:rPr>
                    <w:noProof/>
                    <w:webHidden/>
                  </w:rPr>
                  <w:t>42</w:t>
                </w:r>
                <w:r>
                  <w:rPr>
                    <w:noProof/>
                    <w:webHidden/>
                  </w:rPr>
                  <w:fldChar w:fldCharType="end"/>
                </w:r>
              </w:hyperlink>
            </w:p>
            <w:p w14:paraId="39C796CC" w14:textId="667005E5" w:rsidR="007C03F8" w:rsidRDefault="007C03F8">
              <w:pPr>
                <w:pStyle w:val="TOC3"/>
                <w:tabs>
                  <w:tab w:val="right" w:leader="dot" w:pos="9350"/>
                </w:tabs>
                <w:rPr>
                  <w:rFonts w:eastAsiaTheme="minorEastAsia"/>
                  <w:noProof/>
                  <w:kern w:val="2"/>
                  <w:sz w:val="22"/>
                  <w:szCs w:val="22"/>
                  <w14:ligatures w14:val="standardContextual"/>
                </w:rPr>
              </w:pPr>
              <w:hyperlink w:anchor="_Toc170319851" w:history="1">
                <w:r w:rsidRPr="00C71457">
                  <w:rPr>
                    <w:rStyle w:val="Hyperlink"/>
                    <w:rFonts w:cstheme="minorHAnsi"/>
                    <w:noProof/>
                  </w:rPr>
                  <w:t>ANNEX 3: Overview of the Power Sector</w:t>
                </w:r>
                <w:r>
                  <w:rPr>
                    <w:noProof/>
                    <w:webHidden/>
                  </w:rPr>
                  <w:tab/>
                </w:r>
                <w:r>
                  <w:rPr>
                    <w:noProof/>
                    <w:webHidden/>
                  </w:rPr>
                  <w:fldChar w:fldCharType="begin"/>
                </w:r>
                <w:r>
                  <w:rPr>
                    <w:noProof/>
                    <w:webHidden/>
                  </w:rPr>
                  <w:instrText xml:space="preserve"> PAGEREF _Toc170319851 \h </w:instrText>
                </w:r>
                <w:r>
                  <w:rPr>
                    <w:noProof/>
                    <w:webHidden/>
                  </w:rPr>
                </w:r>
                <w:r>
                  <w:rPr>
                    <w:noProof/>
                    <w:webHidden/>
                  </w:rPr>
                  <w:fldChar w:fldCharType="separate"/>
                </w:r>
                <w:r>
                  <w:rPr>
                    <w:noProof/>
                    <w:webHidden/>
                  </w:rPr>
                  <w:t>43</w:t>
                </w:r>
                <w:r>
                  <w:rPr>
                    <w:noProof/>
                    <w:webHidden/>
                  </w:rPr>
                  <w:fldChar w:fldCharType="end"/>
                </w:r>
              </w:hyperlink>
            </w:p>
            <w:p w14:paraId="38F0ED65" w14:textId="316677DF" w:rsidR="007C03F8" w:rsidRDefault="007C03F8">
              <w:pPr>
                <w:pStyle w:val="TOC3"/>
                <w:tabs>
                  <w:tab w:val="right" w:leader="dot" w:pos="9350"/>
                </w:tabs>
                <w:rPr>
                  <w:rFonts w:eastAsiaTheme="minorEastAsia"/>
                  <w:noProof/>
                  <w:kern w:val="2"/>
                  <w:sz w:val="22"/>
                  <w:szCs w:val="22"/>
                  <w14:ligatures w14:val="standardContextual"/>
                </w:rPr>
              </w:pPr>
              <w:hyperlink w:anchor="_Toc170319852" w:history="1">
                <w:r w:rsidRPr="00C71457">
                  <w:rPr>
                    <w:rStyle w:val="Hyperlink"/>
                    <w:rFonts w:cstheme="minorHAnsi"/>
                    <w:noProof/>
                  </w:rPr>
                  <w:t>ANNEX 4: Previous CIF / CTF Program in Türkiye</w:t>
                </w:r>
                <w:r>
                  <w:rPr>
                    <w:noProof/>
                    <w:webHidden/>
                  </w:rPr>
                  <w:tab/>
                </w:r>
                <w:r>
                  <w:rPr>
                    <w:noProof/>
                    <w:webHidden/>
                  </w:rPr>
                  <w:fldChar w:fldCharType="begin"/>
                </w:r>
                <w:r>
                  <w:rPr>
                    <w:noProof/>
                    <w:webHidden/>
                  </w:rPr>
                  <w:instrText xml:space="preserve"> PAGEREF _Toc170319852 \h </w:instrText>
                </w:r>
                <w:r>
                  <w:rPr>
                    <w:noProof/>
                    <w:webHidden/>
                  </w:rPr>
                </w:r>
                <w:r>
                  <w:rPr>
                    <w:noProof/>
                    <w:webHidden/>
                  </w:rPr>
                  <w:fldChar w:fldCharType="separate"/>
                </w:r>
                <w:r>
                  <w:rPr>
                    <w:noProof/>
                    <w:webHidden/>
                  </w:rPr>
                  <w:t>47</w:t>
                </w:r>
                <w:r>
                  <w:rPr>
                    <w:noProof/>
                    <w:webHidden/>
                  </w:rPr>
                  <w:fldChar w:fldCharType="end"/>
                </w:r>
              </w:hyperlink>
            </w:p>
            <w:p w14:paraId="0DD01B01" w14:textId="52D38E74" w:rsidR="007C03F8" w:rsidRDefault="007C03F8">
              <w:pPr>
                <w:pStyle w:val="TOC3"/>
                <w:tabs>
                  <w:tab w:val="right" w:leader="dot" w:pos="9350"/>
                </w:tabs>
                <w:rPr>
                  <w:rFonts w:eastAsiaTheme="minorEastAsia"/>
                  <w:noProof/>
                  <w:kern w:val="2"/>
                  <w:sz w:val="22"/>
                  <w:szCs w:val="22"/>
                  <w14:ligatures w14:val="standardContextual"/>
                </w:rPr>
              </w:pPr>
              <w:hyperlink w:anchor="_Toc170319853" w:history="1">
                <w:r w:rsidRPr="00C71457">
                  <w:rPr>
                    <w:rStyle w:val="Hyperlink"/>
                    <w:rFonts w:cstheme="minorHAnsi"/>
                    <w:noProof/>
                  </w:rPr>
                  <w:t>ANNEX 5: Development Co-Benefits</w:t>
                </w:r>
                <w:r>
                  <w:rPr>
                    <w:noProof/>
                    <w:webHidden/>
                  </w:rPr>
                  <w:tab/>
                </w:r>
                <w:r>
                  <w:rPr>
                    <w:noProof/>
                    <w:webHidden/>
                  </w:rPr>
                  <w:fldChar w:fldCharType="begin"/>
                </w:r>
                <w:r>
                  <w:rPr>
                    <w:noProof/>
                    <w:webHidden/>
                  </w:rPr>
                  <w:instrText xml:space="preserve"> PAGEREF _Toc170319853 \h </w:instrText>
                </w:r>
                <w:r>
                  <w:rPr>
                    <w:noProof/>
                    <w:webHidden/>
                  </w:rPr>
                </w:r>
                <w:r>
                  <w:rPr>
                    <w:noProof/>
                    <w:webHidden/>
                  </w:rPr>
                  <w:fldChar w:fldCharType="separate"/>
                </w:r>
                <w:r>
                  <w:rPr>
                    <w:noProof/>
                    <w:webHidden/>
                  </w:rPr>
                  <w:t>49</w:t>
                </w:r>
                <w:r>
                  <w:rPr>
                    <w:noProof/>
                    <w:webHidden/>
                  </w:rPr>
                  <w:fldChar w:fldCharType="end"/>
                </w:r>
              </w:hyperlink>
            </w:p>
            <w:p w14:paraId="03A8AAA4" w14:textId="2E4C9005" w:rsidR="007C03F8" w:rsidRDefault="007C03F8">
              <w:pPr>
                <w:pStyle w:val="TOC3"/>
                <w:tabs>
                  <w:tab w:val="right" w:leader="dot" w:pos="9350"/>
                </w:tabs>
                <w:rPr>
                  <w:rFonts w:eastAsiaTheme="minorEastAsia"/>
                  <w:noProof/>
                  <w:kern w:val="2"/>
                  <w:sz w:val="22"/>
                  <w:szCs w:val="22"/>
                  <w14:ligatures w14:val="standardContextual"/>
                </w:rPr>
              </w:pPr>
              <w:hyperlink w:anchor="_Toc170319854" w:history="1">
                <w:r w:rsidRPr="00C71457">
                  <w:rPr>
                    <w:rStyle w:val="Hyperlink"/>
                    <w:rFonts w:cstheme="minorHAnsi"/>
                    <w:noProof/>
                  </w:rPr>
                  <w:t>ANNEX 6: Stakeholder Consultations</w:t>
                </w:r>
                <w:r>
                  <w:rPr>
                    <w:noProof/>
                    <w:webHidden/>
                  </w:rPr>
                  <w:tab/>
                </w:r>
                <w:r>
                  <w:rPr>
                    <w:noProof/>
                    <w:webHidden/>
                  </w:rPr>
                  <w:fldChar w:fldCharType="begin"/>
                </w:r>
                <w:r>
                  <w:rPr>
                    <w:noProof/>
                    <w:webHidden/>
                  </w:rPr>
                  <w:instrText xml:space="preserve"> PAGEREF _Toc170319854 \h </w:instrText>
                </w:r>
                <w:r>
                  <w:rPr>
                    <w:noProof/>
                    <w:webHidden/>
                  </w:rPr>
                </w:r>
                <w:r>
                  <w:rPr>
                    <w:noProof/>
                    <w:webHidden/>
                  </w:rPr>
                  <w:fldChar w:fldCharType="separate"/>
                </w:r>
                <w:r>
                  <w:rPr>
                    <w:noProof/>
                    <w:webHidden/>
                  </w:rPr>
                  <w:t>50</w:t>
                </w:r>
                <w:r>
                  <w:rPr>
                    <w:noProof/>
                    <w:webHidden/>
                  </w:rPr>
                  <w:fldChar w:fldCharType="end"/>
                </w:r>
              </w:hyperlink>
            </w:p>
            <w:p w14:paraId="78A70EAC" w14:textId="4D8B8B08" w:rsidR="007C03F8" w:rsidRDefault="007C03F8">
              <w:pPr>
                <w:pStyle w:val="TOC3"/>
                <w:tabs>
                  <w:tab w:val="right" w:leader="dot" w:pos="9350"/>
                </w:tabs>
                <w:rPr>
                  <w:rFonts w:eastAsiaTheme="minorEastAsia"/>
                  <w:noProof/>
                  <w:kern w:val="2"/>
                  <w:sz w:val="22"/>
                  <w:szCs w:val="22"/>
                  <w14:ligatures w14:val="standardContextual"/>
                </w:rPr>
              </w:pPr>
              <w:hyperlink w:anchor="_Toc170319855" w:history="1">
                <w:r w:rsidRPr="00C71457">
                  <w:rPr>
                    <w:rStyle w:val="Hyperlink"/>
                    <w:rFonts w:cstheme="minorHAnsi"/>
                    <w:noProof/>
                  </w:rPr>
                  <w:t>ANNEX 7: Existing activities in the field of renewable energy, particularly activities of other development partners</w:t>
                </w:r>
                <w:r>
                  <w:rPr>
                    <w:noProof/>
                    <w:webHidden/>
                  </w:rPr>
                  <w:tab/>
                </w:r>
                <w:r>
                  <w:rPr>
                    <w:noProof/>
                    <w:webHidden/>
                  </w:rPr>
                  <w:fldChar w:fldCharType="begin"/>
                </w:r>
                <w:r>
                  <w:rPr>
                    <w:noProof/>
                    <w:webHidden/>
                  </w:rPr>
                  <w:instrText xml:space="preserve"> PAGEREF _Toc170319855 \h </w:instrText>
                </w:r>
                <w:r>
                  <w:rPr>
                    <w:noProof/>
                    <w:webHidden/>
                  </w:rPr>
                </w:r>
                <w:r>
                  <w:rPr>
                    <w:noProof/>
                    <w:webHidden/>
                  </w:rPr>
                  <w:fldChar w:fldCharType="separate"/>
                </w:r>
                <w:r>
                  <w:rPr>
                    <w:noProof/>
                    <w:webHidden/>
                  </w:rPr>
                  <w:t>58</w:t>
                </w:r>
                <w:r>
                  <w:rPr>
                    <w:noProof/>
                    <w:webHidden/>
                  </w:rPr>
                  <w:fldChar w:fldCharType="end"/>
                </w:r>
              </w:hyperlink>
            </w:p>
            <w:p w14:paraId="3BEAC60F" w14:textId="010CD221" w:rsidR="007C03F8" w:rsidRDefault="007C03F8">
              <w:pPr>
                <w:pStyle w:val="TOC3"/>
                <w:tabs>
                  <w:tab w:val="right" w:leader="dot" w:pos="9350"/>
                </w:tabs>
                <w:rPr>
                  <w:rFonts w:eastAsiaTheme="minorEastAsia"/>
                  <w:noProof/>
                  <w:kern w:val="2"/>
                  <w:sz w:val="22"/>
                  <w:szCs w:val="22"/>
                  <w14:ligatures w14:val="standardContextual"/>
                </w:rPr>
              </w:pPr>
              <w:hyperlink w:anchor="_Toc170319856" w:history="1">
                <w:r w:rsidRPr="00C71457">
                  <w:rPr>
                    <w:rStyle w:val="Hyperlink"/>
                    <w:rFonts w:cstheme="minorHAnsi"/>
                    <w:noProof/>
                  </w:rPr>
                  <w:t>ANNEX 8. Component 1 Brief: Transforming the Power System for REI</w:t>
                </w:r>
                <w:r>
                  <w:rPr>
                    <w:noProof/>
                    <w:webHidden/>
                  </w:rPr>
                  <w:tab/>
                </w:r>
                <w:r>
                  <w:rPr>
                    <w:noProof/>
                    <w:webHidden/>
                  </w:rPr>
                  <w:fldChar w:fldCharType="begin"/>
                </w:r>
                <w:r>
                  <w:rPr>
                    <w:noProof/>
                    <w:webHidden/>
                  </w:rPr>
                  <w:instrText xml:space="preserve"> PAGEREF _Toc170319856 \h </w:instrText>
                </w:r>
                <w:r>
                  <w:rPr>
                    <w:noProof/>
                    <w:webHidden/>
                  </w:rPr>
                </w:r>
                <w:r>
                  <w:rPr>
                    <w:noProof/>
                    <w:webHidden/>
                  </w:rPr>
                  <w:fldChar w:fldCharType="separate"/>
                </w:r>
                <w:r>
                  <w:rPr>
                    <w:noProof/>
                    <w:webHidden/>
                  </w:rPr>
                  <w:t>61</w:t>
                </w:r>
                <w:r>
                  <w:rPr>
                    <w:noProof/>
                    <w:webHidden/>
                  </w:rPr>
                  <w:fldChar w:fldCharType="end"/>
                </w:r>
              </w:hyperlink>
            </w:p>
            <w:p w14:paraId="77695E94" w14:textId="2A055624" w:rsidR="007C03F8" w:rsidRPr="00C603AE" w:rsidRDefault="007C03F8" w:rsidP="00C603AE">
              <w:pPr>
                <w:pStyle w:val="TOC3"/>
                <w:tabs>
                  <w:tab w:val="right" w:leader="dot" w:pos="9350"/>
                </w:tabs>
                <w:rPr>
                  <w:rFonts w:eastAsiaTheme="minorEastAsia"/>
                  <w:noProof/>
                  <w:kern w:val="2"/>
                  <w:sz w:val="22"/>
                  <w:szCs w:val="22"/>
                  <w14:ligatures w14:val="standardContextual"/>
                </w:rPr>
              </w:pPr>
              <w:hyperlink w:anchor="_Toc170319857" w:history="1">
                <w:r w:rsidRPr="00C71457">
                  <w:rPr>
                    <w:rStyle w:val="Hyperlink"/>
                    <w:rFonts w:cstheme="minorHAnsi"/>
                    <w:noProof/>
                  </w:rPr>
                  <w:t>ANNEX 9: Component 2 Brief: Power System Flexibility, Balancing and Stability and Strengthening Power Infrastructure</w:t>
                </w:r>
                <w:r>
                  <w:rPr>
                    <w:noProof/>
                    <w:webHidden/>
                  </w:rPr>
                  <w:tab/>
                </w:r>
                <w:r>
                  <w:rPr>
                    <w:noProof/>
                    <w:webHidden/>
                  </w:rPr>
                  <w:fldChar w:fldCharType="begin"/>
                </w:r>
                <w:r>
                  <w:rPr>
                    <w:noProof/>
                    <w:webHidden/>
                  </w:rPr>
                  <w:instrText xml:space="preserve"> PAGEREF _Toc170319857 \h </w:instrText>
                </w:r>
                <w:r>
                  <w:rPr>
                    <w:noProof/>
                    <w:webHidden/>
                  </w:rPr>
                </w:r>
                <w:r>
                  <w:rPr>
                    <w:noProof/>
                    <w:webHidden/>
                  </w:rPr>
                  <w:fldChar w:fldCharType="separate"/>
                </w:r>
                <w:r>
                  <w:rPr>
                    <w:noProof/>
                    <w:webHidden/>
                  </w:rPr>
                  <w:t>64</w:t>
                </w:r>
                <w:r>
                  <w:rPr>
                    <w:noProof/>
                    <w:webHidden/>
                  </w:rPr>
                  <w:fldChar w:fldCharType="end"/>
                </w:r>
              </w:hyperlink>
            </w:p>
            <w:p w14:paraId="205E50FA" w14:textId="369A2DA5" w:rsidR="007C03F8" w:rsidRDefault="007C03F8">
              <w:pPr>
                <w:pStyle w:val="TOC3"/>
                <w:tabs>
                  <w:tab w:val="right" w:leader="dot" w:pos="9350"/>
                </w:tabs>
                <w:rPr>
                  <w:rFonts w:eastAsiaTheme="minorEastAsia"/>
                  <w:noProof/>
                  <w:kern w:val="2"/>
                  <w:sz w:val="22"/>
                  <w:szCs w:val="22"/>
                  <w14:ligatures w14:val="standardContextual"/>
                </w:rPr>
              </w:pPr>
              <w:hyperlink w:anchor="_Toc170319875" w:history="1">
                <w:r w:rsidRPr="00C71457">
                  <w:rPr>
                    <w:rStyle w:val="Hyperlink"/>
                    <w:rFonts w:cstheme="minorHAnsi"/>
                    <w:noProof/>
                  </w:rPr>
                  <w:t>ANNEX 10. The Correspondence on the Government’s Final Decision on the Components 1 and 3:</w:t>
                </w:r>
                <w:r>
                  <w:rPr>
                    <w:noProof/>
                    <w:webHidden/>
                  </w:rPr>
                  <w:tab/>
                </w:r>
                <w:r>
                  <w:rPr>
                    <w:noProof/>
                    <w:webHidden/>
                  </w:rPr>
                  <w:fldChar w:fldCharType="begin"/>
                </w:r>
                <w:r>
                  <w:rPr>
                    <w:noProof/>
                    <w:webHidden/>
                  </w:rPr>
                  <w:instrText xml:space="preserve"> PAGEREF _Toc170319875 \h </w:instrText>
                </w:r>
                <w:r>
                  <w:rPr>
                    <w:noProof/>
                    <w:webHidden/>
                  </w:rPr>
                </w:r>
                <w:r>
                  <w:rPr>
                    <w:noProof/>
                    <w:webHidden/>
                  </w:rPr>
                  <w:fldChar w:fldCharType="separate"/>
                </w:r>
                <w:r>
                  <w:rPr>
                    <w:noProof/>
                    <w:webHidden/>
                  </w:rPr>
                  <w:t>69</w:t>
                </w:r>
                <w:r>
                  <w:rPr>
                    <w:noProof/>
                    <w:webHidden/>
                  </w:rPr>
                  <w:fldChar w:fldCharType="end"/>
                </w:r>
              </w:hyperlink>
            </w:p>
            <w:p w14:paraId="2A5C7F44" w14:textId="1C904D76" w:rsidR="007C03F8" w:rsidRDefault="007C03F8">
              <w:pPr>
                <w:pStyle w:val="TOC3"/>
                <w:tabs>
                  <w:tab w:val="right" w:leader="dot" w:pos="9350"/>
                </w:tabs>
                <w:rPr>
                  <w:rFonts w:eastAsiaTheme="minorEastAsia"/>
                  <w:noProof/>
                  <w:kern w:val="2"/>
                  <w:sz w:val="22"/>
                  <w:szCs w:val="22"/>
                  <w14:ligatures w14:val="standardContextual"/>
                </w:rPr>
              </w:pPr>
              <w:hyperlink w:anchor="_Toc170319877" w:history="1">
                <w:r w:rsidRPr="00C71457">
                  <w:rPr>
                    <w:rStyle w:val="Hyperlink"/>
                    <w:noProof/>
                  </w:rPr>
                  <w:t>ANNEX 1</w:t>
                </w:r>
                <w:r w:rsidR="00C603AE">
                  <w:rPr>
                    <w:rStyle w:val="Hyperlink"/>
                    <w:noProof/>
                  </w:rPr>
                  <w:t>1</w:t>
                </w:r>
                <w:r w:rsidRPr="00C71457">
                  <w:rPr>
                    <w:rStyle w:val="Hyperlink"/>
                    <w:noProof/>
                  </w:rPr>
                  <w:t>: CIF Integrated Results Framework Toolkit- Renewable Energy Integration Program</w:t>
                </w:r>
                <w:r>
                  <w:rPr>
                    <w:noProof/>
                    <w:webHidden/>
                  </w:rPr>
                  <w:tab/>
                </w:r>
                <w:r>
                  <w:rPr>
                    <w:noProof/>
                    <w:webHidden/>
                  </w:rPr>
                  <w:fldChar w:fldCharType="begin"/>
                </w:r>
                <w:r>
                  <w:rPr>
                    <w:noProof/>
                    <w:webHidden/>
                  </w:rPr>
                  <w:instrText xml:space="preserve"> PAGEREF _Toc170319877 \h </w:instrText>
                </w:r>
                <w:r>
                  <w:rPr>
                    <w:noProof/>
                    <w:webHidden/>
                  </w:rPr>
                </w:r>
                <w:r>
                  <w:rPr>
                    <w:noProof/>
                    <w:webHidden/>
                  </w:rPr>
                  <w:fldChar w:fldCharType="separate"/>
                </w:r>
                <w:r>
                  <w:rPr>
                    <w:noProof/>
                    <w:webHidden/>
                  </w:rPr>
                  <w:t>75</w:t>
                </w:r>
                <w:r>
                  <w:rPr>
                    <w:noProof/>
                    <w:webHidden/>
                  </w:rPr>
                  <w:fldChar w:fldCharType="end"/>
                </w:r>
              </w:hyperlink>
            </w:p>
            <w:p w14:paraId="75F6F1AC" w14:textId="398B13C4" w:rsidR="004D285C" w:rsidRDefault="004D285C" w:rsidP="004D285C">
              <w:pPr>
                <w:rPr>
                  <w:rFonts w:ascii="Calibri" w:hAnsi="Calibri" w:cs="Calibri"/>
                  <w:b/>
                  <w:bCs/>
                  <w:kern w:val="2"/>
                  <w14:ligatures w14:val="standardContextual"/>
                </w:rPr>
              </w:pPr>
              <w:r w:rsidRPr="002548A3">
                <w:rPr>
                  <w:rFonts w:ascii="Calibri" w:hAnsi="Calibri" w:cs="Calibri"/>
                  <w:b/>
                  <w:bCs/>
                  <w:noProof/>
                  <w:sz w:val="20"/>
                  <w:szCs w:val="20"/>
                </w:rPr>
                <w:fldChar w:fldCharType="end"/>
              </w:r>
              <w:r w:rsidR="007E067A">
                <w:rPr>
                  <w:rFonts w:ascii="Calibri" w:hAnsi="Calibri" w:cs="Calibri"/>
                  <w:b/>
                  <w:bCs/>
                  <w:kern w:val="2"/>
                  <w14:ligatures w14:val="standardContextual"/>
                </w:rPr>
                <w:t xml:space="preserve"> </w:t>
              </w:r>
            </w:p>
          </w:sdtContent>
        </w:sdt>
        <w:p w14:paraId="3277548E" w14:textId="1DA252DD" w:rsidR="00FC4FCC" w:rsidRDefault="00A908AC" w:rsidP="004D285C">
          <w:pPr>
            <w:pStyle w:val="TOCHeading"/>
            <w:jc w:val="center"/>
            <w:rPr>
              <w:rFonts w:ascii="Calibri" w:hAnsi="Calibri" w:cs="Calibri"/>
              <w:b/>
              <w:bCs/>
              <w:kern w:val="2"/>
              <w14:ligatures w14:val="standardContextual"/>
            </w:rPr>
          </w:pPr>
        </w:p>
      </w:sdtContent>
    </w:sdt>
    <w:p w14:paraId="13FD3544" w14:textId="4B7918D4" w:rsidR="00DD51BE" w:rsidRDefault="00DD51BE">
      <w:pPr>
        <w:rPr>
          <w:rFonts w:ascii="Calibri" w:hAnsi="Calibri" w:cs="Calibri"/>
          <w:b/>
        </w:rPr>
      </w:pPr>
    </w:p>
    <w:p w14:paraId="6B5A9A3F" w14:textId="77777777" w:rsidR="00FC4FCC" w:rsidRDefault="00FC4FCC" w:rsidP="000D198D">
      <w:pPr>
        <w:rPr>
          <w:rFonts w:ascii="Calibri" w:hAnsi="Calibri" w:cs="Calibri"/>
          <w:b/>
          <w:bCs/>
          <w:sz w:val="24"/>
          <w:szCs w:val="24"/>
        </w:rPr>
      </w:pPr>
    </w:p>
    <w:p w14:paraId="59B5B35E" w14:textId="77777777" w:rsidR="00FC4FCC" w:rsidRDefault="00FC4FCC" w:rsidP="000D198D">
      <w:pPr>
        <w:rPr>
          <w:rFonts w:ascii="Calibri" w:hAnsi="Calibri" w:cs="Calibri"/>
          <w:b/>
          <w:bCs/>
          <w:sz w:val="24"/>
          <w:szCs w:val="24"/>
        </w:rPr>
      </w:pPr>
    </w:p>
    <w:p w14:paraId="18B2D224" w14:textId="77777777" w:rsidR="00FC4FCC" w:rsidRDefault="00FC4FCC" w:rsidP="000D198D">
      <w:pPr>
        <w:rPr>
          <w:rFonts w:ascii="Calibri" w:hAnsi="Calibri" w:cs="Calibri"/>
          <w:b/>
          <w:bCs/>
          <w:sz w:val="24"/>
          <w:szCs w:val="24"/>
        </w:rPr>
      </w:pPr>
    </w:p>
    <w:p w14:paraId="1EA14159" w14:textId="7353E6AC" w:rsidR="000D198D" w:rsidRDefault="00386CF7" w:rsidP="000D198D">
      <w:pPr>
        <w:rPr>
          <w:rFonts w:ascii="Calibri" w:hAnsi="Calibri" w:cs="Calibri"/>
          <w:b/>
          <w:bCs/>
          <w:sz w:val="24"/>
          <w:szCs w:val="24"/>
        </w:rPr>
      </w:pPr>
      <w:r w:rsidRPr="00651A98">
        <w:rPr>
          <w:rFonts w:ascii="Calibri" w:hAnsi="Calibri" w:cs="Calibri"/>
          <w:b/>
          <w:bCs/>
          <w:sz w:val="24"/>
          <w:szCs w:val="24"/>
        </w:rPr>
        <w:lastRenderedPageBreak/>
        <w:t>List of Abbreviations</w:t>
      </w:r>
    </w:p>
    <w:p w14:paraId="432E7A7E" w14:textId="77777777" w:rsidR="00D50D57" w:rsidRDefault="00D50D57" w:rsidP="00D12CDA">
      <w:pPr>
        <w:rPr>
          <w:rFonts w:eastAsia="Calibri" w:cstheme="minorHAnsi"/>
          <w:sz w:val="16"/>
          <w:szCs w:val="16"/>
        </w:rPr>
        <w:sectPr w:rsidR="00D50D57" w:rsidSect="0023566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530" w:left="1440" w:header="720" w:footer="720" w:gutter="0"/>
          <w:cols w:space="720"/>
          <w:docGrid w:linePitch="360"/>
        </w:sectPr>
      </w:pPr>
      <w:bookmarkStart w:id="1" w:name="_Hlk168402151"/>
    </w:p>
    <w:tbl>
      <w:tblPr>
        <w:tblStyle w:val="TableGrid"/>
        <w:tblW w:w="45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90"/>
        <w:gridCol w:w="3690"/>
      </w:tblGrid>
      <w:tr w:rsidR="00CD499A" w:rsidRPr="00C81439" w14:paraId="6842A39D" w14:textId="77777777" w:rsidTr="007367F4">
        <w:trPr>
          <w:trHeight w:val="300"/>
        </w:trPr>
        <w:tc>
          <w:tcPr>
            <w:tcW w:w="890" w:type="dxa"/>
            <w:tcMar>
              <w:left w:w="108" w:type="dxa"/>
              <w:right w:w="108" w:type="dxa"/>
            </w:tcMar>
          </w:tcPr>
          <w:p w14:paraId="725AF751" w14:textId="77777777" w:rsidR="00CD499A" w:rsidRPr="00C81439" w:rsidRDefault="00CD499A" w:rsidP="009B295F">
            <w:pPr>
              <w:jc w:val="center"/>
              <w:rPr>
                <w:rFonts w:eastAsia="Calibri" w:cstheme="minorHAnsi"/>
                <w:sz w:val="16"/>
                <w:szCs w:val="16"/>
              </w:rPr>
            </w:pPr>
            <w:r w:rsidRPr="00C81439">
              <w:rPr>
                <w:rFonts w:eastAsia="Calibri" w:cstheme="minorHAnsi"/>
                <w:sz w:val="16"/>
                <w:szCs w:val="16"/>
              </w:rPr>
              <w:t>AKP</w:t>
            </w:r>
          </w:p>
        </w:tc>
        <w:tc>
          <w:tcPr>
            <w:tcW w:w="3690" w:type="dxa"/>
            <w:tcMar>
              <w:left w:w="108" w:type="dxa"/>
              <w:right w:w="108" w:type="dxa"/>
            </w:tcMar>
          </w:tcPr>
          <w:p w14:paraId="26CED809" w14:textId="77777777" w:rsidR="00CD499A" w:rsidRPr="00C81439" w:rsidRDefault="00CD499A" w:rsidP="009B295F">
            <w:pPr>
              <w:rPr>
                <w:rFonts w:eastAsia="Calibri" w:cstheme="minorHAnsi"/>
                <w:sz w:val="16"/>
                <w:szCs w:val="16"/>
              </w:rPr>
            </w:pPr>
            <w:r w:rsidRPr="00C81439">
              <w:rPr>
                <w:rFonts w:eastAsia="Calibri" w:cstheme="minorHAnsi"/>
                <w:sz w:val="16"/>
                <w:szCs w:val="16"/>
              </w:rPr>
              <w:t xml:space="preserve">Justice and Development Party </w:t>
            </w:r>
          </w:p>
        </w:tc>
      </w:tr>
      <w:tr w:rsidR="00CD499A" w:rsidRPr="00C81439" w14:paraId="036D1EE0" w14:textId="77777777" w:rsidTr="007367F4">
        <w:trPr>
          <w:trHeight w:val="300"/>
        </w:trPr>
        <w:tc>
          <w:tcPr>
            <w:tcW w:w="890" w:type="dxa"/>
            <w:tcMar>
              <w:left w:w="108" w:type="dxa"/>
              <w:right w:w="108" w:type="dxa"/>
            </w:tcMar>
          </w:tcPr>
          <w:p w14:paraId="5F8BAFC6" w14:textId="77777777" w:rsidR="00CD499A" w:rsidRPr="00C81439" w:rsidRDefault="00CD499A" w:rsidP="009B295F">
            <w:pPr>
              <w:jc w:val="center"/>
              <w:rPr>
                <w:rFonts w:eastAsia="Calibri" w:cstheme="minorHAnsi"/>
                <w:sz w:val="16"/>
                <w:szCs w:val="16"/>
              </w:rPr>
            </w:pPr>
            <w:r w:rsidRPr="00C81439">
              <w:rPr>
                <w:rFonts w:cstheme="minorHAnsi"/>
                <w:sz w:val="16"/>
                <w:szCs w:val="16"/>
              </w:rPr>
              <w:t>AMI</w:t>
            </w:r>
          </w:p>
        </w:tc>
        <w:tc>
          <w:tcPr>
            <w:tcW w:w="3690" w:type="dxa"/>
            <w:tcMar>
              <w:left w:w="108" w:type="dxa"/>
              <w:right w:w="108" w:type="dxa"/>
            </w:tcMar>
          </w:tcPr>
          <w:p w14:paraId="0CE334CC" w14:textId="77777777" w:rsidR="00CD499A" w:rsidRPr="00C81439" w:rsidRDefault="00CD499A" w:rsidP="009B295F">
            <w:pPr>
              <w:rPr>
                <w:rFonts w:eastAsia="Calibri" w:cstheme="minorHAnsi"/>
                <w:sz w:val="16"/>
                <w:szCs w:val="16"/>
              </w:rPr>
            </w:pPr>
            <w:r w:rsidRPr="00C81439">
              <w:rPr>
                <w:rFonts w:cstheme="minorHAnsi"/>
                <w:sz w:val="16"/>
                <w:szCs w:val="16"/>
                <w:shd w:val="clear" w:color="auto" w:fill="FFFFFF"/>
              </w:rPr>
              <w:t>Advanced Metering Infrastructure</w:t>
            </w:r>
            <w:r w:rsidRPr="00C81439">
              <w:rPr>
                <w:rFonts w:cstheme="minorHAnsi"/>
                <w:sz w:val="16"/>
                <w:szCs w:val="16"/>
              </w:rPr>
              <w:t xml:space="preserve">  </w:t>
            </w:r>
          </w:p>
        </w:tc>
      </w:tr>
      <w:tr w:rsidR="00CD499A" w:rsidRPr="00C81439" w14:paraId="26CD6E89" w14:textId="77777777" w:rsidTr="007367F4">
        <w:trPr>
          <w:trHeight w:val="300"/>
        </w:trPr>
        <w:tc>
          <w:tcPr>
            <w:tcW w:w="890" w:type="dxa"/>
            <w:tcMar>
              <w:left w:w="108" w:type="dxa"/>
              <w:right w:w="108" w:type="dxa"/>
            </w:tcMar>
          </w:tcPr>
          <w:p w14:paraId="0C4623A9" w14:textId="77777777" w:rsidR="00CD499A" w:rsidRPr="00C81439" w:rsidRDefault="00CD499A" w:rsidP="009B295F">
            <w:pPr>
              <w:jc w:val="center"/>
              <w:rPr>
                <w:rFonts w:eastAsia="Calibri" w:cstheme="minorHAnsi"/>
                <w:sz w:val="16"/>
                <w:szCs w:val="16"/>
              </w:rPr>
            </w:pPr>
            <w:r w:rsidRPr="00C81439">
              <w:rPr>
                <w:rFonts w:eastAsia="Calibri" w:cstheme="minorHAnsi"/>
                <w:sz w:val="16"/>
                <w:szCs w:val="16"/>
              </w:rPr>
              <w:t>ASA</w:t>
            </w:r>
          </w:p>
        </w:tc>
        <w:tc>
          <w:tcPr>
            <w:tcW w:w="3690" w:type="dxa"/>
            <w:tcMar>
              <w:left w:w="108" w:type="dxa"/>
              <w:right w:w="108" w:type="dxa"/>
            </w:tcMar>
          </w:tcPr>
          <w:p w14:paraId="79D2CB47" w14:textId="73B6A5C6" w:rsidR="00CD499A" w:rsidRPr="00C81439" w:rsidRDefault="00CD499A" w:rsidP="009B295F">
            <w:pPr>
              <w:rPr>
                <w:rFonts w:eastAsia="Calibri"/>
                <w:sz w:val="16"/>
                <w:szCs w:val="16"/>
              </w:rPr>
            </w:pPr>
            <w:r w:rsidRPr="5D406507">
              <w:rPr>
                <w:rFonts w:eastAsia="Calibri"/>
                <w:sz w:val="16"/>
                <w:szCs w:val="16"/>
              </w:rPr>
              <w:t xml:space="preserve">Advisory Services and </w:t>
            </w:r>
            <w:r w:rsidR="487673EE" w:rsidRPr="29A87474">
              <w:rPr>
                <w:rFonts w:eastAsia="Calibri"/>
                <w:sz w:val="16"/>
                <w:szCs w:val="16"/>
              </w:rPr>
              <w:t>Analytics</w:t>
            </w:r>
          </w:p>
        </w:tc>
      </w:tr>
      <w:tr w:rsidR="00CD499A" w:rsidRPr="00C81439" w14:paraId="03E30BB4" w14:textId="77777777" w:rsidTr="007367F4">
        <w:trPr>
          <w:trHeight w:val="300"/>
        </w:trPr>
        <w:tc>
          <w:tcPr>
            <w:tcW w:w="890" w:type="dxa"/>
            <w:tcMar>
              <w:left w:w="108" w:type="dxa"/>
              <w:right w:w="108" w:type="dxa"/>
            </w:tcMar>
          </w:tcPr>
          <w:p w14:paraId="32164E78" w14:textId="77777777" w:rsidR="00CD499A" w:rsidRPr="00C81439" w:rsidRDefault="00CD499A" w:rsidP="00B30284">
            <w:pPr>
              <w:jc w:val="center"/>
              <w:rPr>
                <w:rFonts w:eastAsia="Calibri" w:cstheme="minorHAnsi"/>
                <w:sz w:val="16"/>
                <w:szCs w:val="16"/>
              </w:rPr>
            </w:pPr>
            <w:r w:rsidRPr="00C81439">
              <w:rPr>
                <w:rFonts w:eastAsia="Calibri" w:cstheme="minorHAnsi"/>
                <w:sz w:val="16"/>
                <w:szCs w:val="16"/>
              </w:rPr>
              <w:t>BAU</w:t>
            </w:r>
          </w:p>
        </w:tc>
        <w:tc>
          <w:tcPr>
            <w:tcW w:w="3690" w:type="dxa"/>
            <w:tcMar>
              <w:left w:w="108" w:type="dxa"/>
              <w:right w:w="108" w:type="dxa"/>
            </w:tcMar>
          </w:tcPr>
          <w:p w14:paraId="1CCD1D20" w14:textId="77777777" w:rsidR="00CD499A" w:rsidRPr="00C81439" w:rsidRDefault="00CD499A" w:rsidP="00B30284">
            <w:pPr>
              <w:rPr>
                <w:rFonts w:eastAsia="Calibri" w:cstheme="minorHAnsi"/>
                <w:sz w:val="16"/>
                <w:szCs w:val="16"/>
              </w:rPr>
            </w:pPr>
            <w:r w:rsidRPr="00C81439">
              <w:rPr>
                <w:rFonts w:eastAsia="Calibri" w:cstheme="minorHAnsi"/>
                <w:sz w:val="16"/>
                <w:szCs w:val="16"/>
              </w:rPr>
              <w:t xml:space="preserve">business-as-usual </w:t>
            </w:r>
          </w:p>
        </w:tc>
      </w:tr>
      <w:tr w:rsidR="00CD499A" w:rsidRPr="00C81439" w14:paraId="4BADBDD7" w14:textId="77777777" w:rsidTr="007367F4">
        <w:trPr>
          <w:trHeight w:val="300"/>
        </w:trPr>
        <w:tc>
          <w:tcPr>
            <w:tcW w:w="890" w:type="dxa"/>
            <w:tcMar>
              <w:left w:w="108" w:type="dxa"/>
              <w:right w:w="108" w:type="dxa"/>
            </w:tcMar>
          </w:tcPr>
          <w:p w14:paraId="384498E9" w14:textId="77777777" w:rsidR="00CD499A" w:rsidRPr="00C81439" w:rsidRDefault="00CD499A" w:rsidP="009B295F">
            <w:pPr>
              <w:jc w:val="center"/>
              <w:rPr>
                <w:rFonts w:eastAsia="Calibri" w:cstheme="minorHAnsi"/>
                <w:sz w:val="16"/>
                <w:szCs w:val="16"/>
              </w:rPr>
            </w:pPr>
            <w:r w:rsidRPr="00C81439">
              <w:rPr>
                <w:rFonts w:eastAsia="Calibri" w:cstheme="minorHAnsi"/>
                <w:sz w:val="16"/>
                <w:szCs w:val="16"/>
              </w:rPr>
              <w:t>BESS</w:t>
            </w:r>
          </w:p>
        </w:tc>
        <w:tc>
          <w:tcPr>
            <w:tcW w:w="3690" w:type="dxa"/>
            <w:tcMar>
              <w:left w:w="108" w:type="dxa"/>
              <w:right w:w="108" w:type="dxa"/>
            </w:tcMar>
          </w:tcPr>
          <w:p w14:paraId="3AAAF60A" w14:textId="77777777" w:rsidR="00CD499A" w:rsidRPr="00C81439" w:rsidRDefault="00CD499A" w:rsidP="009B295F">
            <w:pPr>
              <w:rPr>
                <w:rFonts w:eastAsia="Calibri" w:cstheme="minorHAnsi"/>
                <w:sz w:val="16"/>
                <w:szCs w:val="16"/>
              </w:rPr>
            </w:pPr>
            <w:r w:rsidRPr="00C81439">
              <w:rPr>
                <w:rFonts w:eastAsia="Calibri" w:cstheme="minorHAnsi"/>
                <w:sz w:val="16"/>
                <w:szCs w:val="16"/>
              </w:rPr>
              <w:t>Battery Energy Storage System</w:t>
            </w:r>
          </w:p>
        </w:tc>
      </w:tr>
      <w:tr w:rsidR="00CD499A" w:rsidRPr="00C81439" w14:paraId="04F9FA34" w14:textId="77777777" w:rsidTr="007367F4">
        <w:trPr>
          <w:trHeight w:val="300"/>
        </w:trPr>
        <w:tc>
          <w:tcPr>
            <w:tcW w:w="890" w:type="dxa"/>
            <w:tcMar>
              <w:left w:w="108" w:type="dxa"/>
              <w:right w:w="108" w:type="dxa"/>
            </w:tcMar>
          </w:tcPr>
          <w:p w14:paraId="6358C3A2" w14:textId="77777777" w:rsidR="00CD499A" w:rsidRPr="00C81439" w:rsidRDefault="00CD499A" w:rsidP="00B30284">
            <w:pPr>
              <w:jc w:val="center"/>
              <w:rPr>
                <w:rFonts w:eastAsia="Calibri" w:cstheme="minorHAnsi"/>
                <w:sz w:val="16"/>
                <w:szCs w:val="16"/>
              </w:rPr>
            </w:pPr>
            <w:r w:rsidRPr="00C81439">
              <w:rPr>
                <w:rFonts w:eastAsia="Calibri" w:cstheme="minorHAnsi"/>
                <w:sz w:val="16"/>
                <w:szCs w:val="16"/>
              </w:rPr>
              <w:t>BOT</w:t>
            </w:r>
          </w:p>
        </w:tc>
        <w:tc>
          <w:tcPr>
            <w:tcW w:w="3690" w:type="dxa"/>
            <w:tcMar>
              <w:left w:w="108" w:type="dxa"/>
              <w:right w:w="108" w:type="dxa"/>
            </w:tcMar>
          </w:tcPr>
          <w:p w14:paraId="5F561895" w14:textId="77777777" w:rsidR="00CD499A" w:rsidRPr="00C81439" w:rsidRDefault="00CD499A" w:rsidP="00B30284">
            <w:pPr>
              <w:rPr>
                <w:rFonts w:eastAsia="Calibri" w:cstheme="minorHAnsi"/>
                <w:sz w:val="16"/>
                <w:szCs w:val="16"/>
              </w:rPr>
            </w:pPr>
            <w:r w:rsidRPr="00C81439">
              <w:rPr>
                <w:rFonts w:eastAsia="Calibri" w:cstheme="minorHAnsi"/>
                <w:sz w:val="16"/>
                <w:szCs w:val="16"/>
              </w:rPr>
              <w:t>Build Operate Transfer</w:t>
            </w:r>
          </w:p>
        </w:tc>
      </w:tr>
      <w:tr w:rsidR="00CD499A" w:rsidRPr="00C81439" w14:paraId="509D1031" w14:textId="77777777" w:rsidTr="007367F4">
        <w:trPr>
          <w:trHeight w:val="300"/>
        </w:trPr>
        <w:tc>
          <w:tcPr>
            <w:tcW w:w="890" w:type="dxa"/>
            <w:tcMar>
              <w:left w:w="108" w:type="dxa"/>
              <w:right w:w="108" w:type="dxa"/>
            </w:tcMar>
          </w:tcPr>
          <w:p w14:paraId="050049DA" w14:textId="77777777" w:rsidR="00CD499A" w:rsidRPr="00C81439" w:rsidRDefault="00CD499A" w:rsidP="00B30284">
            <w:pPr>
              <w:jc w:val="center"/>
              <w:rPr>
                <w:rFonts w:eastAsia="Calibri" w:cstheme="minorHAnsi"/>
                <w:sz w:val="16"/>
                <w:szCs w:val="16"/>
              </w:rPr>
            </w:pPr>
            <w:r w:rsidRPr="00C81439">
              <w:rPr>
                <w:rFonts w:eastAsia="Calibri" w:cstheme="minorHAnsi"/>
                <w:sz w:val="16"/>
                <w:szCs w:val="16"/>
              </w:rPr>
              <w:t>BOTAS</w:t>
            </w:r>
          </w:p>
        </w:tc>
        <w:tc>
          <w:tcPr>
            <w:tcW w:w="3690" w:type="dxa"/>
            <w:tcMar>
              <w:left w:w="108" w:type="dxa"/>
              <w:right w:w="108" w:type="dxa"/>
            </w:tcMar>
          </w:tcPr>
          <w:p w14:paraId="771DE312" w14:textId="77777777" w:rsidR="00CD499A" w:rsidRPr="00C81439" w:rsidRDefault="00CD499A" w:rsidP="00B30284">
            <w:pPr>
              <w:rPr>
                <w:rFonts w:eastAsia="Calibri" w:cstheme="minorHAnsi"/>
                <w:sz w:val="16"/>
                <w:szCs w:val="16"/>
              </w:rPr>
            </w:pPr>
            <w:r w:rsidRPr="00C81439">
              <w:rPr>
                <w:rFonts w:eastAsia="Calibri" w:cstheme="minorHAnsi"/>
                <w:sz w:val="16"/>
                <w:szCs w:val="16"/>
              </w:rPr>
              <w:t>Petroleum Pipeline Company</w:t>
            </w:r>
          </w:p>
        </w:tc>
      </w:tr>
      <w:tr w:rsidR="00CD499A" w:rsidRPr="00C81439" w14:paraId="795B7AF2" w14:textId="77777777" w:rsidTr="007367F4">
        <w:trPr>
          <w:trHeight w:val="300"/>
        </w:trPr>
        <w:tc>
          <w:tcPr>
            <w:tcW w:w="890" w:type="dxa"/>
            <w:tcMar>
              <w:left w:w="108" w:type="dxa"/>
              <w:right w:w="108" w:type="dxa"/>
            </w:tcMar>
          </w:tcPr>
          <w:p w14:paraId="3482FBF2" w14:textId="77777777" w:rsidR="00CD499A" w:rsidRPr="00C81439" w:rsidRDefault="00CD499A" w:rsidP="00B30284">
            <w:pPr>
              <w:jc w:val="center"/>
              <w:rPr>
                <w:rFonts w:eastAsia="Calibri" w:cstheme="minorHAnsi"/>
                <w:sz w:val="16"/>
                <w:szCs w:val="16"/>
              </w:rPr>
            </w:pPr>
            <w:r w:rsidRPr="00C81439">
              <w:rPr>
                <w:rFonts w:cstheme="minorHAnsi"/>
                <w:sz w:val="16"/>
                <w:szCs w:val="16"/>
              </w:rPr>
              <w:t>bps</w:t>
            </w:r>
          </w:p>
        </w:tc>
        <w:tc>
          <w:tcPr>
            <w:tcW w:w="3690" w:type="dxa"/>
            <w:tcMar>
              <w:left w:w="108" w:type="dxa"/>
              <w:right w:w="108" w:type="dxa"/>
            </w:tcMar>
          </w:tcPr>
          <w:p w14:paraId="20084C15" w14:textId="77777777" w:rsidR="00CD499A" w:rsidRPr="00C81439" w:rsidRDefault="00CD499A" w:rsidP="00B30284">
            <w:pPr>
              <w:rPr>
                <w:rFonts w:eastAsia="Calibri" w:cstheme="minorHAnsi"/>
                <w:sz w:val="16"/>
                <w:szCs w:val="16"/>
              </w:rPr>
            </w:pPr>
            <w:r w:rsidRPr="00C81439">
              <w:rPr>
                <w:rFonts w:cstheme="minorHAnsi"/>
                <w:sz w:val="16"/>
                <w:szCs w:val="16"/>
              </w:rPr>
              <w:t xml:space="preserve">basis points </w:t>
            </w:r>
          </w:p>
        </w:tc>
      </w:tr>
      <w:tr w:rsidR="00CD499A" w:rsidRPr="00C81439" w14:paraId="72F50CF1" w14:textId="77777777" w:rsidTr="007367F4">
        <w:trPr>
          <w:trHeight w:val="300"/>
        </w:trPr>
        <w:tc>
          <w:tcPr>
            <w:tcW w:w="890" w:type="dxa"/>
            <w:tcMar>
              <w:left w:w="108" w:type="dxa"/>
              <w:right w:w="108" w:type="dxa"/>
            </w:tcMar>
          </w:tcPr>
          <w:p w14:paraId="45889465" w14:textId="77777777" w:rsidR="00CD499A" w:rsidRPr="00C81439" w:rsidRDefault="00CD499A" w:rsidP="00B30284">
            <w:pPr>
              <w:jc w:val="center"/>
              <w:rPr>
                <w:rFonts w:eastAsia="Calibri" w:cstheme="minorHAnsi"/>
                <w:color w:val="000000" w:themeColor="text1"/>
                <w:sz w:val="16"/>
                <w:szCs w:val="16"/>
              </w:rPr>
            </w:pPr>
            <w:r w:rsidRPr="00C81439">
              <w:rPr>
                <w:rFonts w:eastAsia="Calibri" w:cstheme="minorHAnsi"/>
                <w:sz w:val="16"/>
                <w:szCs w:val="16"/>
              </w:rPr>
              <w:t>C&amp;I</w:t>
            </w:r>
          </w:p>
        </w:tc>
        <w:tc>
          <w:tcPr>
            <w:tcW w:w="3690" w:type="dxa"/>
            <w:tcMar>
              <w:left w:w="108" w:type="dxa"/>
              <w:right w:w="108" w:type="dxa"/>
            </w:tcMar>
          </w:tcPr>
          <w:p w14:paraId="23B1B18C" w14:textId="77777777" w:rsidR="00CD499A" w:rsidRPr="00C81439" w:rsidRDefault="00CD499A" w:rsidP="00B30284">
            <w:pPr>
              <w:rPr>
                <w:rFonts w:eastAsia="Calibri" w:cstheme="minorHAnsi"/>
                <w:sz w:val="16"/>
                <w:szCs w:val="16"/>
              </w:rPr>
            </w:pPr>
            <w:r w:rsidRPr="00C81439">
              <w:rPr>
                <w:rFonts w:eastAsia="Calibri" w:cstheme="minorHAnsi"/>
                <w:sz w:val="16"/>
                <w:szCs w:val="16"/>
              </w:rPr>
              <w:t>commerce and industry</w:t>
            </w:r>
          </w:p>
        </w:tc>
      </w:tr>
      <w:tr w:rsidR="00CD499A" w:rsidRPr="00C81439" w14:paraId="3043D3CD" w14:textId="77777777" w:rsidTr="007367F4">
        <w:trPr>
          <w:trHeight w:val="300"/>
        </w:trPr>
        <w:tc>
          <w:tcPr>
            <w:tcW w:w="890" w:type="dxa"/>
            <w:tcMar>
              <w:left w:w="108" w:type="dxa"/>
              <w:right w:w="108" w:type="dxa"/>
            </w:tcMar>
          </w:tcPr>
          <w:p w14:paraId="3DFE6586" w14:textId="77777777" w:rsidR="00CD499A" w:rsidRPr="00C81439" w:rsidRDefault="00CD499A" w:rsidP="00B30284">
            <w:pPr>
              <w:jc w:val="center"/>
              <w:rPr>
                <w:rFonts w:eastAsia="Calibri" w:cstheme="minorHAnsi"/>
                <w:sz w:val="16"/>
                <w:szCs w:val="16"/>
              </w:rPr>
            </w:pPr>
            <w:r w:rsidRPr="00C81439">
              <w:rPr>
                <w:rFonts w:eastAsia="Calibri" w:cstheme="minorHAnsi"/>
                <w:sz w:val="16"/>
                <w:szCs w:val="16"/>
              </w:rPr>
              <w:t>CAGR</w:t>
            </w:r>
          </w:p>
        </w:tc>
        <w:tc>
          <w:tcPr>
            <w:tcW w:w="3690" w:type="dxa"/>
            <w:tcMar>
              <w:left w:w="108" w:type="dxa"/>
              <w:right w:w="108" w:type="dxa"/>
            </w:tcMar>
          </w:tcPr>
          <w:p w14:paraId="638995C7" w14:textId="77777777" w:rsidR="00CD499A" w:rsidRPr="00C81439" w:rsidRDefault="00CD499A" w:rsidP="00B30284">
            <w:pPr>
              <w:rPr>
                <w:rFonts w:eastAsia="Calibri" w:cstheme="minorHAnsi"/>
                <w:sz w:val="16"/>
                <w:szCs w:val="16"/>
              </w:rPr>
            </w:pPr>
            <w:r w:rsidRPr="00C81439">
              <w:rPr>
                <w:rFonts w:eastAsia="Calibri" w:cstheme="minorHAnsi"/>
                <w:sz w:val="16"/>
                <w:szCs w:val="16"/>
              </w:rPr>
              <w:t>Compound annual growth rate</w:t>
            </w:r>
          </w:p>
        </w:tc>
      </w:tr>
      <w:tr w:rsidR="00CD499A" w:rsidRPr="00C81439" w14:paraId="1050AF50" w14:textId="77777777" w:rsidTr="007367F4">
        <w:trPr>
          <w:trHeight w:val="300"/>
        </w:trPr>
        <w:tc>
          <w:tcPr>
            <w:tcW w:w="890" w:type="dxa"/>
            <w:tcMar>
              <w:left w:w="108" w:type="dxa"/>
              <w:right w:w="108" w:type="dxa"/>
            </w:tcMar>
          </w:tcPr>
          <w:p w14:paraId="35213784" w14:textId="77777777" w:rsidR="00CD499A" w:rsidRPr="00C81439" w:rsidRDefault="00CD499A" w:rsidP="00B30284">
            <w:pPr>
              <w:jc w:val="center"/>
              <w:rPr>
                <w:rFonts w:eastAsia="Calibri" w:cstheme="minorHAnsi"/>
                <w:sz w:val="16"/>
                <w:szCs w:val="16"/>
              </w:rPr>
            </w:pPr>
            <w:r w:rsidRPr="00C81439">
              <w:rPr>
                <w:rFonts w:eastAsia="Calibri" w:cstheme="minorHAnsi"/>
                <w:sz w:val="16"/>
                <w:szCs w:val="16"/>
              </w:rPr>
              <w:t>CBAM</w:t>
            </w:r>
          </w:p>
        </w:tc>
        <w:tc>
          <w:tcPr>
            <w:tcW w:w="3690" w:type="dxa"/>
            <w:tcMar>
              <w:left w:w="108" w:type="dxa"/>
              <w:right w:w="108" w:type="dxa"/>
            </w:tcMar>
          </w:tcPr>
          <w:p w14:paraId="565B86D6" w14:textId="77777777" w:rsidR="00CD499A" w:rsidRPr="00C81439" w:rsidRDefault="00CD499A" w:rsidP="00B30284">
            <w:pPr>
              <w:rPr>
                <w:rFonts w:eastAsia="Calibri" w:cstheme="minorHAnsi"/>
                <w:sz w:val="16"/>
                <w:szCs w:val="16"/>
              </w:rPr>
            </w:pPr>
            <w:r w:rsidRPr="00C81439">
              <w:rPr>
                <w:rFonts w:eastAsia="Calibri" w:cstheme="minorHAnsi"/>
                <w:sz w:val="16"/>
                <w:szCs w:val="16"/>
              </w:rPr>
              <w:t>Carbon Border Adjustment Mechanism</w:t>
            </w:r>
          </w:p>
        </w:tc>
      </w:tr>
      <w:tr w:rsidR="00CD499A" w:rsidRPr="00C81439" w14:paraId="6DFE7E50" w14:textId="77777777" w:rsidTr="007367F4">
        <w:trPr>
          <w:trHeight w:val="300"/>
        </w:trPr>
        <w:tc>
          <w:tcPr>
            <w:tcW w:w="890" w:type="dxa"/>
            <w:tcMar>
              <w:left w:w="108" w:type="dxa"/>
              <w:right w:w="108" w:type="dxa"/>
            </w:tcMar>
          </w:tcPr>
          <w:p w14:paraId="0262554D" w14:textId="77777777" w:rsidR="00CD499A" w:rsidRPr="00C81439" w:rsidRDefault="00CD499A" w:rsidP="00B30284">
            <w:pPr>
              <w:jc w:val="center"/>
              <w:rPr>
                <w:rFonts w:eastAsia="Calibri" w:cstheme="minorHAnsi"/>
                <w:sz w:val="16"/>
                <w:szCs w:val="16"/>
              </w:rPr>
            </w:pPr>
            <w:r w:rsidRPr="00C81439">
              <w:rPr>
                <w:rFonts w:eastAsia="Calibri" w:cstheme="minorHAnsi"/>
                <w:sz w:val="16"/>
                <w:szCs w:val="16"/>
              </w:rPr>
              <w:t>CBRT</w:t>
            </w:r>
          </w:p>
        </w:tc>
        <w:tc>
          <w:tcPr>
            <w:tcW w:w="3690" w:type="dxa"/>
            <w:tcMar>
              <w:left w:w="108" w:type="dxa"/>
              <w:right w:w="108" w:type="dxa"/>
            </w:tcMar>
          </w:tcPr>
          <w:p w14:paraId="116F1828" w14:textId="77777777" w:rsidR="00CD499A" w:rsidRPr="00C81439" w:rsidRDefault="00CD499A" w:rsidP="00B30284">
            <w:pPr>
              <w:rPr>
                <w:rFonts w:eastAsia="Calibri" w:cstheme="minorHAnsi"/>
                <w:sz w:val="16"/>
                <w:szCs w:val="16"/>
              </w:rPr>
            </w:pPr>
            <w:r w:rsidRPr="00C81439">
              <w:rPr>
                <w:rFonts w:eastAsia="Calibri" w:cstheme="minorHAnsi"/>
                <w:sz w:val="16"/>
                <w:szCs w:val="16"/>
              </w:rPr>
              <w:t>Central Bank of Republic of Türkiye</w:t>
            </w:r>
          </w:p>
        </w:tc>
      </w:tr>
      <w:tr w:rsidR="00CD499A" w:rsidRPr="00C81439" w14:paraId="72D6C105" w14:textId="77777777" w:rsidTr="007367F4">
        <w:trPr>
          <w:trHeight w:val="300"/>
        </w:trPr>
        <w:tc>
          <w:tcPr>
            <w:tcW w:w="890" w:type="dxa"/>
            <w:tcMar>
              <w:left w:w="108" w:type="dxa"/>
              <w:right w:w="108" w:type="dxa"/>
            </w:tcMar>
          </w:tcPr>
          <w:p w14:paraId="5740B45A" w14:textId="77777777" w:rsidR="00CD499A" w:rsidRPr="00C81439" w:rsidRDefault="00CD499A" w:rsidP="00B30284">
            <w:pPr>
              <w:jc w:val="center"/>
              <w:rPr>
                <w:rFonts w:eastAsia="Calibri" w:cstheme="minorHAnsi"/>
                <w:sz w:val="16"/>
                <w:szCs w:val="16"/>
              </w:rPr>
            </w:pPr>
            <w:r w:rsidRPr="00C81439">
              <w:rPr>
                <w:rFonts w:eastAsia="Calibri" w:cstheme="minorHAnsi"/>
                <w:sz w:val="16"/>
                <w:szCs w:val="16"/>
              </w:rPr>
              <w:t>CCDR</w:t>
            </w:r>
          </w:p>
        </w:tc>
        <w:tc>
          <w:tcPr>
            <w:tcW w:w="3690" w:type="dxa"/>
            <w:tcMar>
              <w:left w:w="108" w:type="dxa"/>
              <w:right w:w="108" w:type="dxa"/>
            </w:tcMar>
          </w:tcPr>
          <w:p w14:paraId="6853D31C" w14:textId="77777777" w:rsidR="00CD499A" w:rsidRPr="00C81439" w:rsidRDefault="00CD499A" w:rsidP="00B30284">
            <w:pPr>
              <w:rPr>
                <w:rFonts w:eastAsia="Calibri" w:cstheme="minorHAnsi"/>
                <w:sz w:val="16"/>
                <w:szCs w:val="16"/>
              </w:rPr>
            </w:pPr>
            <w:r w:rsidRPr="00C81439">
              <w:rPr>
                <w:rFonts w:eastAsia="Calibri" w:cstheme="minorHAnsi"/>
                <w:sz w:val="16"/>
                <w:szCs w:val="16"/>
              </w:rPr>
              <w:t>Country Climate and Development Report</w:t>
            </w:r>
          </w:p>
        </w:tc>
      </w:tr>
      <w:tr w:rsidR="00CD499A" w:rsidRPr="00C81439" w14:paraId="68738872" w14:textId="77777777" w:rsidTr="007367F4">
        <w:trPr>
          <w:trHeight w:val="300"/>
        </w:trPr>
        <w:tc>
          <w:tcPr>
            <w:tcW w:w="890" w:type="dxa"/>
            <w:tcMar>
              <w:left w:w="108" w:type="dxa"/>
              <w:right w:w="108" w:type="dxa"/>
            </w:tcMar>
          </w:tcPr>
          <w:p w14:paraId="33B7D394" w14:textId="77777777" w:rsidR="00CD499A" w:rsidRPr="00C81439" w:rsidRDefault="00CD499A" w:rsidP="00B30284">
            <w:pPr>
              <w:jc w:val="center"/>
              <w:rPr>
                <w:rFonts w:eastAsia="Calibri" w:cstheme="minorHAnsi"/>
                <w:sz w:val="16"/>
                <w:szCs w:val="16"/>
              </w:rPr>
            </w:pPr>
            <w:r w:rsidRPr="00C81439">
              <w:rPr>
                <w:rFonts w:eastAsia="Calibri" w:cstheme="minorHAnsi"/>
                <w:color w:val="000000" w:themeColor="text1"/>
                <w:sz w:val="16"/>
                <w:szCs w:val="16"/>
              </w:rPr>
              <w:t>CIF</w:t>
            </w:r>
          </w:p>
        </w:tc>
        <w:tc>
          <w:tcPr>
            <w:tcW w:w="3690" w:type="dxa"/>
            <w:tcMar>
              <w:left w:w="108" w:type="dxa"/>
              <w:right w:w="108" w:type="dxa"/>
            </w:tcMar>
          </w:tcPr>
          <w:p w14:paraId="2E3CAADC" w14:textId="77777777" w:rsidR="00CD499A" w:rsidRPr="00C81439" w:rsidRDefault="00CD499A" w:rsidP="00B30284">
            <w:pPr>
              <w:rPr>
                <w:rFonts w:eastAsia="Calibri" w:cstheme="minorHAnsi"/>
                <w:sz w:val="16"/>
                <w:szCs w:val="16"/>
              </w:rPr>
            </w:pPr>
            <w:r w:rsidRPr="00C81439">
              <w:rPr>
                <w:rFonts w:eastAsia="Calibri" w:cstheme="minorHAnsi"/>
                <w:sz w:val="16"/>
                <w:szCs w:val="16"/>
              </w:rPr>
              <w:t xml:space="preserve">Climate Investment Fund </w:t>
            </w:r>
          </w:p>
        </w:tc>
      </w:tr>
      <w:tr w:rsidR="00CD499A" w:rsidRPr="00C81439" w14:paraId="279527CB" w14:textId="77777777" w:rsidTr="007367F4">
        <w:trPr>
          <w:trHeight w:val="300"/>
        </w:trPr>
        <w:tc>
          <w:tcPr>
            <w:tcW w:w="890" w:type="dxa"/>
            <w:tcMar>
              <w:left w:w="108" w:type="dxa"/>
              <w:right w:w="108" w:type="dxa"/>
            </w:tcMar>
          </w:tcPr>
          <w:p w14:paraId="3346650A" w14:textId="77777777" w:rsidR="00CD499A" w:rsidRPr="00C81439" w:rsidRDefault="00CD499A" w:rsidP="00B30284">
            <w:pPr>
              <w:jc w:val="center"/>
              <w:rPr>
                <w:rFonts w:eastAsia="Calibri" w:cstheme="minorHAnsi"/>
                <w:color w:val="000000" w:themeColor="text1"/>
                <w:sz w:val="16"/>
                <w:szCs w:val="16"/>
              </w:rPr>
            </w:pPr>
            <w:r w:rsidRPr="00C81439">
              <w:rPr>
                <w:rFonts w:eastAsia="Calibri" w:cstheme="minorHAnsi"/>
                <w:color w:val="000000" w:themeColor="text1"/>
                <w:sz w:val="16"/>
                <w:szCs w:val="16"/>
              </w:rPr>
              <w:t>COP28</w:t>
            </w:r>
          </w:p>
        </w:tc>
        <w:tc>
          <w:tcPr>
            <w:tcW w:w="3690" w:type="dxa"/>
            <w:tcMar>
              <w:left w:w="108" w:type="dxa"/>
              <w:right w:w="108" w:type="dxa"/>
            </w:tcMar>
          </w:tcPr>
          <w:p w14:paraId="2E9F127E" w14:textId="77777777" w:rsidR="00CD499A" w:rsidRPr="00C81439" w:rsidRDefault="00CD499A" w:rsidP="00B30284">
            <w:pPr>
              <w:rPr>
                <w:rFonts w:eastAsia="Calibri" w:cstheme="minorHAnsi"/>
                <w:sz w:val="16"/>
                <w:szCs w:val="16"/>
              </w:rPr>
            </w:pPr>
            <w:r w:rsidRPr="00C81439">
              <w:rPr>
                <w:rFonts w:cstheme="minorHAnsi"/>
                <w:sz w:val="16"/>
                <w:szCs w:val="16"/>
              </w:rPr>
              <w:t>United Nations Climate Change Conference</w:t>
            </w:r>
          </w:p>
        </w:tc>
      </w:tr>
      <w:tr w:rsidR="00CD499A" w:rsidRPr="00C81439" w14:paraId="563C8EF7" w14:textId="77777777" w:rsidTr="007367F4">
        <w:trPr>
          <w:trHeight w:val="300"/>
        </w:trPr>
        <w:tc>
          <w:tcPr>
            <w:tcW w:w="890" w:type="dxa"/>
            <w:tcMar>
              <w:left w:w="108" w:type="dxa"/>
              <w:right w:w="108" w:type="dxa"/>
            </w:tcMar>
          </w:tcPr>
          <w:p w14:paraId="20245D2E" w14:textId="77777777" w:rsidR="00CD499A" w:rsidRPr="00C81439" w:rsidRDefault="00CD499A" w:rsidP="00B30284">
            <w:pPr>
              <w:jc w:val="center"/>
              <w:rPr>
                <w:rFonts w:eastAsia="Calibri" w:cstheme="minorHAnsi"/>
                <w:sz w:val="16"/>
                <w:szCs w:val="16"/>
              </w:rPr>
            </w:pPr>
            <w:r w:rsidRPr="00C81439">
              <w:rPr>
                <w:rFonts w:eastAsia="Calibri" w:cstheme="minorHAnsi"/>
                <w:color w:val="000000" w:themeColor="text1"/>
                <w:sz w:val="16"/>
                <w:szCs w:val="16"/>
              </w:rPr>
              <w:t xml:space="preserve">  COVID-19</w:t>
            </w:r>
          </w:p>
        </w:tc>
        <w:tc>
          <w:tcPr>
            <w:tcW w:w="3690" w:type="dxa"/>
            <w:tcMar>
              <w:left w:w="108" w:type="dxa"/>
              <w:right w:w="108" w:type="dxa"/>
            </w:tcMar>
          </w:tcPr>
          <w:p w14:paraId="2E177DA9" w14:textId="77777777" w:rsidR="00CD499A" w:rsidRPr="00C81439" w:rsidRDefault="00CD499A" w:rsidP="00B30284">
            <w:pPr>
              <w:rPr>
                <w:rFonts w:eastAsia="Calibri" w:cstheme="minorHAnsi"/>
                <w:sz w:val="16"/>
                <w:szCs w:val="16"/>
              </w:rPr>
            </w:pPr>
            <w:r w:rsidRPr="00C81439">
              <w:rPr>
                <w:rFonts w:eastAsia="Calibri" w:cstheme="minorHAnsi"/>
                <w:sz w:val="16"/>
                <w:szCs w:val="16"/>
              </w:rPr>
              <w:t>Coronavirus Disease 2019</w:t>
            </w:r>
          </w:p>
        </w:tc>
      </w:tr>
      <w:tr w:rsidR="00CD499A" w:rsidRPr="00C81439" w14:paraId="3E44A71B" w14:textId="77777777" w:rsidTr="007367F4">
        <w:trPr>
          <w:trHeight w:val="300"/>
        </w:trPr>
        <w:tc>
          <w:tcPr>
            <w:tcW w:w="890" w:type="dxa"/>
            <w:tcMar>
              <w:left w:w="108" w:type="dxa"/>
              <w:right w:w="108" w:type="dxa"/>
            </w:tcMar>
          </w:tcPr>
          <w:p w14:paraId="6C457A03" w14:textId="77777777" w:rsidR="00CD499A" w:rsidRPr="00C81439" w:rsidRDefault="00CD499A" w:rsidP="00B30284">
            <w:pPr>
              <w:jc w:val="center"/>
              <w:rPr>
                <w:rFonts w:eastAsia="Calibri" w:cstheme="minorHAnsi"/>
                <w:color w:val="000000" w:themeColor="text1"/>
                <w:sz w:val="16"/>
                <w:szCs w:val="16"/>
              </w:rPr>
            </w:pPr>
            <w:r w:rsidRPr="00C81439">
              <w:rPr>
                <w:rFonts w:eastAsia="Calibri" w:cstheme="minorHAnsi"/>
                <w:color w:val="000000" w:themeColor="text1"/>
                <w:sz w:val="16"/>
                <w:szCs w:val="16"/>
              </w:rPr>
              <w:t>CPF</w:t>
            </w:r>
          </w:p>
        </w:tc>
        <w:tc>
          <w:tcPr>
            <w:tcW w:w="3690" w:type="dxa"/>
            <w:tcMar>
              <w:left w:w="108" w:type="dxa"/>
              <w:right w:w="108" w:type="dxa"/>
            </w:tcMar>
          </w:tcPr>
          <w:p w14:paraId="4066AE97" w14:textId="77777777" w:rsidR="00CD499A" w:rsidRPr="00C81439" w:rsidRDefault="00CD499A" w:rsidP="00B30284">
            <w:pPr>
              <w:rPr>
                <w:rFonts w:eastAsia="Calibri" w:cstheme="minorHAnsi"/>
                <w:sz w:val="16"/>
                <w:szCs w:val="16"/>
              </w:rPr>
            </w:pPr>
            <w:r w:rsidRPr="00C81439">
              <w:rPr>
                <w:rFonts w:eastAsia="Calibri" w:cstheme="minorHAnsi"/>
                <w:sz w:val="16"/>
                <w:szCs w:val="16"/>
              </w:rPr>
              <w:t>Country Partnership Framework</w:t>
            </w:r>
          </w:p>
        </w:tc>
      </w:tr>
      <w:tr w:rsidR="00CD499A" w:rsidRPr="00C81439" w14:paraId="0C1DA533" w14:textId="77777777" w:rsidTr="007367F4">
        <w:trPr>
          <w:trHeight w:val="300"/>
        </w:trPr>
        <w:tc>
          <w:tcPr>
            <w:tcW w:w="890" w:type="dxa"/>
            <w:tcMar>
              <w:left w:w="108" w:type="dxa"/>
              <w:right w:w="108" w:type="dxa"/>
            </w:tcMar>
          </w:tcPr>
          <w:p w14:paraId="6ACB7EE3" w14:textId="77777777" w:rsidR="00CD499A" w:rsidRPr="00C81439" w:rsidRDefault="00CD499A" w:rsidP="00B30284">
            <w:pPr>
              <w:jc w:val="center"/>
              <w:rPr>
                <w:rFonts w:eastAsia="Calibri" w:cstheme="minorHAnsi"/>
                <w:color w:val="000000" w:themeColor="text1"/>
                <w:sz w:val="16"/>
                <w:szCs w:val="16"/>
              </w:rPr>
            </w:pPr>
            <w:r w:rsidRPr="00C81439">
              <w:rPr>
                <w:rFonts w:eastAsia="Calibri" w:cstheme="minorHAnsi"/>
                <w:color w:val="000000" w:themeColor="text1"/>
                <w:sz w:val="16"/>
                <w:szCs w:val="16"/>
              </w:rPr>
              <w:t>CPI</w:t>
            </w:r>
          </w:p>
        </w:tc>
        <w:tc>
          <w:tcPr>
            <w:tcW w:w="3690" w:type="dxa"/>
            <w:tcMar>
              <w:left w:w="108" w:type="dxa"/>
              <w:right w:w="108" w:type="dxa"/>
            </w:tcMar>
          </w:tcPr>
          <w:p w14:paraId="1BCFC0A1" w14:textId="77777777" w:rsidR="00CD499A" w:rsidRPr="00C81439" w:rsidRDefault="00CD499A" w:rsidP="00B30284">
            <w:pPr>
              <w:rPr>
                <w:rFonts w:eastAsia="Calibri" w:cstheme="minorHAnsi"/>
                <w:sz w:val="16"/>
                <w:szCs w:val="16"/>
              </w:rPr>
            </w:pPr>
            <w:r w:rsidRPr="00C81439">
              <w:rPr>
                <w:rFonts w:eastAsia="Calibri" w:cstheme="minorHAnsi"/>
                <w:sz w:val="16"/>
                <w:szCs w:val="16"/>
              </w:rPr>
              <w:t>Consumer Price Index</w:t>
            </w:r>
          </w:p>
        </w:tc>
      </w:tr>
      <w:tr w:rsidR="00CD499A" w:rsidRPr="00C81439" w14:paraId="2D7F2610" w14:textId="77777777" w:rsidTr="007367F4">
        <w:trPr>
          <w:trHeight w:val="300"/>
        </w:trPr>
        <w:tc>
          <w:tcPr>
            <w:tcW w:w="890" w:type="dxa"/>
            <w:tcMar>
              <w:left w:w="108" w:type="dxa"/>
              <w:right w:w="108" w:type="dxa"/>
            </w:tcMar>
          </w:tcPr>
          <w:p w14:paraId="68575EA8" w14:textId="77777777" w:rsidR="00CD499A" w:rsidRPr="00C81439" w:rsidRDefault="00CD499A" w:rsidP="00B30284">
            <w:pPr>
              <w:jc w:val="center"/>
              <w:rPr>
                <w:rFonts w:eastAsia="Calibri" w:cstheme="minorHAnsi"/>
                <w:color w:val="000000" w:themeColor="text1"/>
                <w:sz w:val="16"/>
                <w:szCs w:val="16"/>
              </w:rPr>
            </w:pPr>
            <w:r w:rsidRPr="00C81439">
              <w:rPr>
                <w:rFonts w:eastAsia="Calibri" w:cstheme="minorHAnsi"/>
                <w:color w:val="000000" w:themeColor="text1"/>
                <w:sz w:val="16"/>
                <w:szCs w:val="16"/>
              </w:rPr>
              <w:t xml:space="preserve">CTF </w:t>
            </w:r>
          </w:p>
        </w:tc>
        <w:tc>
          <w:tcPr>
            <w:tcW w:w="3690" w:type="dxa"/>
            <w:tcMar>
              <w:left w:w="108" w:type="dxa"/>
              <w:right w:w="108" w:type="dxa"/>
            </w:tcMar>
          </w:tcPr>
          <w:p w14:paraId="7AD737A8" w14:textId="77777777" w:rsidR="00CD499A" w:rsidRPr="00C81439" w:rsidRDefault="00CD499A" w:rsidP="00B30284">
            <w:pPr>
              <w:rPr>
                <w:rFonts w:eastAsia="Calibri" w:cstheme="minorHAnsi"/>
                <w:sz w:val="16"/>
                <w:szCs w:val="16"/>
              </w:rPr>
            </w:pPr>
            <w:r w:rsidRPr="00C81439">
              <w:rPr>
                <w:rFonts w:eastAsia="Calibri" w:cstheme="minorHAnsi"/>
                <w:sz w:val="16"/>
                <w:szCs w:val="16"/>
              </w:rPr>
              <w:t>Clean Technology Fund</w:t>
            </w:r>
          </w:p>
        </w:tc>
      </w:tr>
      <w:tr w:rsidR="00CD499A" w:rsidRPr="00C81439" w14:paraId="0773A2AE" w14:textId="77777777" w:rsidTr="007367F4">
        <w:trPr>
          <w:trHeight w:val="300"/>
        </w:trPr>
        <w:tc>
          <w:tcPr>
            <w:tcW w:w="890" w:type="dxa"/>
            <w:tcMar>
              <w:left w:w="108" w:type="dxa"/>
              <w:right w:w="108" w:type="dxa"/>
            </w:tcMar>
          </w:tcPr>
          <w:p w14:paraId="01E3FB60" w14:textId="77777777" w:rsidR="00CD499A" w:rsidRPr="00C81439" w:rsidRDefault="00CD499A" w:rsidP="00B30284">
            <w:pPr>
              <w:jc w:val="center"/>
              <w:rPr>
                <w:rFonts w:eastAsia="Calibri" w:cstheme="minorHAnsi"/>
                <w:sz w:val="16"/>
                <w:szCs w:val="16"/>
              </w:rPr>
            </w:pPr>
            <w:r w:rsidRPr="00C81439">
              <w:rPr>
                <w:rFonts w:cstheme="minorHAnsi"/>
                <w:sz w:val="16"/>
                <w:szCs w:val="16"/>
                <w:lang w:val="en-US"/>
              </w:rPr>
              <w:t>DSI</w:t>
            </w:r>
          </w:p>
        </w:tc>
        <w:tc>
          <w:tcPr>
            <w:tcW w:w="3690" w:type="dxa"/>
            <w:tcMar>
              <w:left w:w="108" w:type="dxa"/>
              <w:right w:w="108" w:type="dxa"/>
            </w:tcMar>
          </w:tcPr>
          <w:p w14:paraId="222F30E6" w14:textId="77777777" w:rsidR="00CD499A" w:rsidRPr="00C81439" w:rsidRDefault="00CD499A" w:rsidP="00B30284">
            <w:pPr>
              <w:rPr>
                <w:rFonts w:eastAsia="Calibri" w:cstheme="minorHAnsi"/>
                <w:sz w:val="16"/>
                <w:szCs w:val="16"/>
              </w:rPr>
            </w:pPr>
            <w:r w:rsidRPr="00C81439">
              <w:rPr>
                <w:rFonts w:cstheme="minorHAnsi"/>
                <w:sz w:val="16"/>
                <w:szCs w:val="16"/>
                <w:lang w:val="en-US"/>
              </w:rPr>
              <w:t xml:space="preserve">State Hydraulic Works </w:t>
            </w:r>
            <w:r w:rsidRPr="00C81439">
              <w:rPr>
                <w:rFonts w:cstheme="minorHAnsi"/>
                <w:sz w:val="16"/>
                <w:szCs w:val="16"/>
              </w:rPr>
              <w:t>General</w:t>
            </w:r>
            <w:r w:rsidRPr="00C81439">
              <w:rPr>
                <w:rFonts w:cstheme="minorHAnsi"/>
                <w:sz w:val="16"/>
                <w:szCs w:val="16"/>
                <w:lang w:val="en-US"/>
              </w:rPr>
              <w:t xml:space="preserve"> Directorate</w:t>
            </w:r>
          </w:p>
        </w:tc>
      </w:tr>
      <w:tr w:rsidR="00CD499A" w:rsidRPr="00C81439" w14:paraId="02FE7407" w14:textId="77777777" w:rsidTr="007367F4">
        <w:trPr>
          <w:trHeight w:val="300"/>
        </w:trPr>
        <w:tc>
          <w:tcPr>
            <w:tcW w:w="890" w:type="dxa"/>
            <w:tcMar>
              <w:left w:w="108" w:type="dxa"/>
              <w:right w:w="108" w:type="dxa"/>
            </w:tcMar>
          </w:tcPr>
          <w:p w14:paraId="7A349D63" w14:textId="77777777" w:rsidR="00CD499A" w:rsidRPr="00C81439" w:rsidRDefault="00CD499A" w:rsidP="00B30284">
            <w:pPr>
              <w:jc w:val="center"/>
              <w:rPr>
                <w:rFonts w:eastAsia="Calibri" w:cstheme="minorHAnsi"/>
                <w:color w:val="000000" w:themeColor="text1"/>
                <w:sz w:val="16"/>
                <w:szCs w:val="16"/>
              </w:rPr>
            </w:pPr>
            <w:r w:rsidRPr="00C81439">
              <w:rPr>
                <w:rFonts w:eastAsia="Calibri" w:cstheme="minorHAnsi"/>
                <w:color w:val="000000" w:themeColor="text1"/>
                <w:sz w:val="16"/>
                <w:szCs w:val="16"/>
              </w:rPr>
              <w:t>EBRD</w:t>
            </w:r>
          </w:p>
        </w:tc>
        <w:tc>
          <w:tcPr>
            <w:tcW w:w="3690" w:type="dxa"/>
            <w:tcMar>
              <w:left w:w="108" w:type="dxa"/>
              <w:right w:w="108" w:type="dxa"/>
            </w:tcMar>
          </w:tcPr>
          <w:p w14:paraId="4F86D74D" w14:textId="77777777" w:rsidR="00CD499A" w:rsidRPr="00C81439" w:rsidRDefault="00CD499A" w:rsidP="00B30284">
            <w:pPr>
              <w:rPr>
                <w:rFonts w:eastAsia="Calibri" w:cstheme="minorHAnsi"/>
                <w:sz w:val="16"/>
                <w:szCs w:val="16"/>
              </w:rPr>
            </w:pPr>
            <w:r w:rsidRPr="00C81439">
              <w:rPr>
                <w:rFonts w:eastAsia="Calibri" w:cstheme="minorHAnsi"/>
                <w:sz w:val="16"/>
                <w:szCs w:val="16"/>
              </w:rPr>
              <w:t>European Bank for Reconstruction and Development</w:t>
            </w:r>
          </w:p>
        </w:tc>
      </w:tr>
      <w:tr w:rsidR="00CD499A" w:rsidRPr="00C81439" w14:paraId="22BB2F78" w14:textId="77777777" w:rsidTr="007367F4">
        <w:trPr>
          <w:trHeight w:val="300"/>
        </w:trPr>
        <w:tc>
          <w:tcPr>
            <w:tcW w:w="890" w:type="dxa"/>
            <w:tcMar>
              <w:left w:w="108" w:type="dxa"/>
              <w:right w:w="108" w:type="dxa"/>
            </w:tcMar>
          </w:tcPr>
          <w:p w14:paraId="76B5D5DB" w14:textId="77777777" w:rsidR="00CD499A" w:rsidRPr="00C81439" w:rsidRDefault="00CD499A" w:rsidP="00B30284">
            <w:pPr>
              <w:jc w:val="center"/>
              <w:rPr>
                <w:rFonts w:eastAsia="Calibri" w:cstheme="minorHAnsi"/>
                <w:color w:val="000000" w:themeColor="text1"/>
                <w:sz w:val="16"/>
                <w:szCs w:val="16"/>
              </w:rPr>
            </w:pPr>
            <w:r w:rsidRPr="00C81439">
              <w:rPr>
                <w:rFonts w:eastAsia="Calibri" w:cstheme="minorHAnsi"/>
                <w:color w:val="000000" w:themeColor="text1"/>
                <w:sz w:val="16"/>
                <w:szCs w:val="16"/>
              </w:rPr>
              <w:t>ECA</w:t>
            </w:r>
          </w:p>
        </w:tc>
        <w:tc>
          <w:tcPr>
            <w:tcW w:w="3690" w:type="dxa"/>
            <w:tcMar>
              <w:left w:w="108" w:type="dxa"/>
              <w:right w:w="108" w:type="dxa"/>
            </w:tcMar>
          </w:tcPr>
          <w:p w14:paraId="38DA1DEF" w14:textId="77777777" w:rsidR="00CD499A" w:rsidRPr="00C81439" w:rsidRDefault="00CD499A" w:rsidP="00B30284">
            <w:pPr>
              <w:rPr>
                <w:rFonts w:eastAsia="Calibri" w:cstheme="minorHAnsi"/>
                <w:sz w:val="16"/>
                <w:szCs w:val="16"/>
              </w:rPr>
            </w:pPr>
            <w:r w:rsidRPr="00C81439">
              <w:rPr>
                <w:rFonts w:eastAsia="Calibri" w:cstheme="minorHAnsi"/>
                <w:sz w:val="16"/>
                <w:szCs w:val="16"/>
              </w:rPr>
              <w:t>Europe and Central Asia</w:t>
            </w:r>
          </w:p>
        </w:tc>
      </w:tr>
      <w:tr w:rsidR="00CD499A" w:rsidRPr="00C81439" w14:paraId="189E8292" w14:textId="77777777" w:rsidTr="007367F4">
        <w:trPr>
          <w:trHeight w:val="300"/>
        </w:trPr>
        <w:tc>
          <w:tcPr>
            <w:tcW w:w="890" w:type="dxa"/>
            <w:tcMar>
              <w:left w:w="108" w:type="dxa"/>
              <w:right w:w="108" w:type="dxa"/>
            </w:tcMar>
          </w:tcPr>
          <w:p w14:paraId="0218D9AD" w14:textId="77777777" w:rsidR="00CD499A" w:rsidRPr="00C81439" w:rsidRDefault="00CD499A" w:rsidP="00B30284">
            <w:pPr>
              <w:jc w:val="center"/>
              <w:rPr>
                <w:rFonts w:eastAsia="Calibri" w:cstheme="minorHAnsi"/>
                <w:color w:val="000000" w:themeColor="text1"/>
                <w:sz w:val="16"/>
                <w:szCs w:val="16"/>
              </w:rPr>
            </w:pPr>
            <w:r w:rsidRPr="00C81439">
              <w:rPr>
                <w:rFonts w:eastAsia="Calibri" w:cstheme="minorHAnsi"/>
                <w:color w:val="000000" w:themeColor="text1"/>
                <w:sz w:val="16"/>
                <w:szCs w:val="16"/>
              </w:rPr>
              <w:t>ECARES</w:t>
            </w:r>
          </w:p>
        </w:tc>
        <w:tc>
          <w:tcPr>
            <w:tcW w:w="3690" w:type="dxa"/>
            <w:tcMar>
              <w:left w:w="108" w:type="dxa"/>
              <w:right w:w="108" w:type="dxa"/>
            </w:tcMar>
          </w:tcPr>
          <w:p w14:paraId="0E63757A" w14:textId="77777777" w:rsidR="00CD499A" w:rsidRPr="00C81439" w:rsidRDefault="00CD499A" w:rsidP="00B30284">
            <w:pPr>
              <w:rPr>
                <w:rFonts w:eastAsia="Calibri" w:cstheme="minorHAnsi"/>
                <w:sz w:val="16"/>
                <w:szCs w:val="16"/>
              </w:rPr>
            </w:pPr>
            <w:r w:rsidRPr="00C81439">
              <w:rPr>
                <w:rFonts w:eastAsia="Times New Roman" w:cstheme="minorHAnsi"/>
                <w:color w:val="000000" w:themeColor="text1"/>
                <w:sz w:val="16"/>
                <w:szCs w:val="16"/>
              </w:rPr>
              <w:t xml:space="preserve">Europe and Central Asia Renewable Energy Scale-Up </w:t>
            </w:r>
          </w:p>
        </w:tc>
      </w:tr>
      <w:tr w:rsidR="00CD499A" w:rsidRPr="00C81439" w14:paraId="4B4E27A1" w14:textId="77777777" w:rsidTr="007367F4">
        <w:trPr>
          <w:trHeight w:val="300"/>
        </w:trPr>
        <w:tc>
          <w:tcPr>
            <w:tcW w:w="890" w:type="dxa"/>
            <w:tcMar>
              <w:left w:w="108" w:type="dxa"/>
              <w:right w:w="108" w:type="dxa"/>
            </w:tcMar>
          </w:tcPr>
          <w:p w14:paraId="1403DCD4" w14:textId="77777777" w:rsidR="00CD499A" w:rsidRPr="00C81439" w:rsidRDefault="00CD499A" w:rsidP="00B30284">
            <w:pPr>
              <w:jc w:val="center"/>
              <w:rPr>
                <w:rFonts w:eastAsia="Calibri" w:cstheme="minorHAnsi"/>
                <w:bCs/>
                <w:color w:val="000000" w:themeColor="text1"/>
                <w:sz w:val="16"/>
                <w:szCs w:val="16"/>
              </w:rPr>
            </w:pPr>
            <w:r w:rsidRPr="00C81439">
              <w:rPr>
                <w:rStyle w:val="eop"/>
                <w:rFonts w:eastAsia="Times New Roman" w:cstheme="minorHAnsi"/>
                <w:bCs/>
                <w:color w:val="000000" w:themeColor="text1"/>
                <w:sz w:val="16"/>
                <w:szCs w:val="16"/>
              </w:rPr>
              <w:t>EEPB-2</w:t>
            </w:r>
          </w:p>
        </w:tc>
        <w:tc>
          <w:tcPr>
            <w:tcW w:w="3690" w:type="dxa"/>
            <w:tcMar>
              <w:left w:w="108" w:type="dxa"/>
              <w:right w:w="108" w:type="dxa"/>
            </w:tcMar>
          </w:tcPr>
          <w:p w14:paraId="733B76EC" w14:textId="77777777" w:rsidR="00CD499A" w:rsidRPr="00C81439" w:rsidRDefault="00CD499A" w:rsidP="00B30284">
            <w:pPr>
              <w:rPr>
                <w:rFonts w:eastAsia="Calibri" w:cstheme="minorHAnsi"/>
                <w:bCs/>
                <w:sz w:val="16"/>
                <w:szCs w:val="16"/>
              </w:rPr>
            </w:pPr>
            <w:r w:rsidRPr="00C81439">
              <w:rPr>
                <w:rStyle w:val="eop"/>
                <w:rFonts w:eastAsia="Times New Roman" w:cstheme="minorHAnsi"/>
                <w:bCs/>
                <w:color w:val="000000" w:themeColor="text1"/>
                <w:sz w:val="16"/>
                <w:szCs w:val="16"/>
              </w:rPr>
              <w:t xml:space="preserve">Second Energy Efficiency in Public Buildings </w:t>
            </w:r>
          </w:p>
        </w:tc>
      </w:tr>
      <w:tr w:rsidR="00CD499A" w:rsidRPr="00C81439" w14:paraId="168F0057" w14:textId="77777777" w:rsidTr="007367F4">
        <w:trPr>
          <w:trHeight w:val="300"/>
        </w:trPr>
        <w:tc>
          <w:tcPr>
            <w:tcW w:w="890" w:type="dxa"/>
            <w:tcMar>
              <w:left w:w="108" w:type="dxa"/>
              <w:right w:w="108" w:type="dxa"/>
            </w:tcMar>
          </w:tcPr>
          <w:p w14:paraId="10533AE9" w14:textId="77777777" w:rsidR="00CD499A" w:rsidRPr="00C81439" w:rsidRDefault="00CD499A" w:rsidP="00B30284">
            <w:pPr>
              <w:jc w:val="center"/>
              <w:rPr>
                <w:rFonts w:eastAsia="Calibri" w:cstheme="minorHAnsi"/>
                <w:color w:val="000000" w:themeColor="text1"/>
                <w:sz w:val="16"/>
                <w:szCs w:val="16"/>
              </w:rPr>
            </w:pPr>
            <w:r w:rsidRPr="00C81439">
              <w:rPr>
                <w:rFonts w:eastAsia="Calibri" w:cstheme="minorHAnsi"/>
                <w:color w:val="000000" w:themeColor="text1"/>
                <w:sz w:val="16"/>
                <w:szCs w:val="16"/>
              </w:rPr>
              <w:t>EEX</w:t>
            </w:r>
          </w:p>
        </w:tc>
        <w:tc>
          <w:tcPr>
            <w:tcW w:w="3690" w:type="dxa"/>
            <w:tcMar>
              <w:left w:w="108" w:type="dxa"/>
              <w:right w:w="108" w:type="dxa"/>
            </w:tcMar>
          </w:tcPr>
          <w:p w14:paraId="6407B3F1" w14:textId="77777777" w:rsidR="00CD499A" w:rsidRPr="00C81439" w:rsidRDefault="00CD499A" w:rsidP="00B30284">
            <w:pPr>
              <w:rPr>
                <w:rFonts w:eastAsia="Calibri" w:cstheme="minorHAnsi"/>
                <w:sz w:val="16"/>
                <w:szCs w:val="16"/>
              </w:rPr>
            </w:pPr>
            <w:r w:rsidRPr="00C81439">
              <w:rPr>
                <w:rFonts w:eastAsia="Calibri" w:cstheme="minorHAnsi"/>
                <w:sz w:val="16"/>
                <w:szCs w:val="16"/>
              </w:rPr>
              <w:t>European Energy Exchange</w:t>
            </w:r>
          </w:p>
        </w:tc>
      </w:tr>
      <w:tr w:rsidR="00CD499A" w:rsidRPr="00C81439" w14:paraId="2FE278D4" w14:textId="77777777" w:rsidTr="007367F4">
        <w:trPr>
          <w:trHeight w:val="300"/>
        </w:trPr>
        <w:tc>
          <w:tcPr>
            <w:tcW w:w="890" w:type="dxa"/>
            <w:tcMar>
              <w:left w:w="108" w:type="dxa"/>
              <w:right w:w="108" w:type="dxa"/>
            </w:tcMar>
          </w:tcPr>
          <w:p w14:paraId="070CD0A4" w14:textId="77777777" w:rsidR="00CD499A" w:rsidRPr="00C81439" w:rsidRDefault="00CD499A" w:rsidP="00B30284">
            <w:pPr>
              <w:ind w:left="-113"/>
              <w:jc w:val="center"/>
              <w:rPr>
                <w:rFonts w:eastAsia="Calibri" w:cstheme="minorHAnsi"/>
                <w:color w:val="000000" w:themeColor="text1"/>
                <w:sz w:val="16"/>
                <w:szCs w:val="16"/>
              </w:rPr>
            </w:pPr>
            <w:r w:rsidRPr="00C81439">
              <w:rPr>
                <w:rFonts w:eastAsia="Calibri" w:cstheme="minorHAnsi"/>
                <w:color w:val="000000" w:themeColor="text1"/>
                <w:sz w:val="16"/>
                <w:szCs w:val="16"/>
              </w:rPr>
              <w:t>EIIE</w:t>
            </w:r>
          </w:p>
        </w:tc>
        <w:tc>
          <w:tcPr>
            <w:tcW w:w="3690" w:type="dxa"/>
            <w:tcMar>
              <w:left w:w="108" w:type="dxa"/>
              <w:right w:w="108" w:type="dxa"/>
            </w:tcMar>
          </w:tcPr>
          <w:p w14:paraId="11ACDE8D" w14:textId="77777777" w:rsidR="00CD499A" w:rsidRPr="00C81439" w:rsidRDefault="00CD499A" w:rsidP="00B30284">
            <w:pPr>
              <w:rPr>
                <w:rFonts w:eastAsia="Calibri" w:cstheme="minorHAnsi"/>
                <w:sz w:val="16"/>
                <w:szCs w:val="16"/>
              </w:rPr>
            </w:pPr>
            <w:r w:rsidRPr="00C81439">
              <w:rPr>
                <w:rFonts w:eastAsia="Calibri" w:cstheme="minorHAnsi"/>
                <w:sz w:val="16"/>
                <w:szCs w:val="16"/>
              </w:rPr>
              <w:t>Implementing Entities</w:t>
            </w:r>
          </w:p>
        </w:tc>
      </w:tr>
      <w:tr w:rsidR="00CD499A" w:rsidRPr="00C81439" w14:paraId="688AA406" w14:textId="77777777" w:rsidTr="007367F4">
        <w:trPr>
          <w:trHeight w:val="300"/>
        </w:trPr>
        <w:tc>
          <w:tcPr>
            <w:tcW w:w="890" w:type="dxa"/>
            <w:tcMar>
              <w:left w:w="108" w:type="dxa"/>
              <w:right w:w="108" w:type="dxa"/>
            </w:tcMar>
          </w:tcPr>
          <w:p w14:paraId="1E4219EF" w14:textId="77777777" w:rsidR="00CD499A" w:rsidRPr="00C81439" w:rsidRDefault="00CD499A" w:rsidP="00B30284">
            <w:pPr>
              <w:jc w:val="center"/>
              <w:rPr>
                <w:rFonts w:eastAsia="Calibri" w:cstheme="minorHAnsi"/>
                <w:color w:val="000000" w:themeColor="text1"/>
                <w:sz w:val="16"/>
                <w:szCs w:val="16"/>
              </w:rPr>
            </w:pPr>
            <w:r w:rsidRPr="00C81439">
              <w:rPr>
                <w:rFonts w:eastAsia="Calibri" w:cstheme="minorHAnsi"/>
                <w:color w:val="000000" w:themeColor="text1"/>
                <w:sz w:val="16"/>
                <w:szCs w:val="16"/>
              </w:rPr>
              <w:t>EML</w:t>
            </w:r>
          </w:p>
        </w:tc>
        <w:tc>
          <w:tcPr>
            <w:tcW w:w="3690" w:type="dxa"/>
            <w:tcMar>
              <w:left w:w="108" w:type="dxa"/>
              <w:right w:w="108" w:type="dxa"/>
            </w:tcMar>
          </w:tcPr>
          <w:p w14:paraId="68E9B326" w14:textId="77777777" w:rsidR="00CD499A" w:rsidRPr="00C81439" w:rsidRDefault="00CD499A" w:rsidP="00B30284">
            <w:pPr>
              <w:rPr>
                <w:rFonts w:eastAsia="Calibri" w:cstheme="minorHAnsi"/>
                <w:sz w:val="16"/>
                <w:szCs w:val="16"/>
              </w:rPr>
            </w:pPr>
            <w:r w:rsidRPr="00C81439">
              <w:rPr>
                <w:rFonts w:eastAsia="Calibri" w:cstheme="minorHAnsi"/>
                <w:sz w:val="16"/>
                <w:szCs w:val="16"/>
              </w:rPr>
              <w:t>Electricity Market Law</w:t>
            </w:r>
          </w:p>
        </w:tc>
      </w:tr>
      <w:tr w:rsidR="00CD499A" w:rsidRPr="00C81439" w14:paraId="3A9AAFDE" w14:textId="77777777" w:rsidTr="007367F4">
        <w:trPr>
          <w:trHeight w:val="300"/>
        </w:trPr>
        <w:tc>
          <w:tcPr>
            <w:tcW w:w="890" w:type="dxa"/>
            <w:tcMar>
              <w:left w:w="108" w:type="dxa"/>
              <w:right w:w="108" w:type="dxa"/>
            </w:tcMar>
          </w:tcPr>
          <w:p w14:paraId="29C3779C" w14:textId="77777777" w:rsidR="00CD499A" w:rsidRPr="00C81439" w:rsidRDefault="00CD499A" w:rsidP="00B30284">
            <w:pPr>
              <w:jc w:val="center"/>
              <w:rPr>
                <w:rFonts w:eastAsia="Calibri" w:cstheme="minorHAnsi"/>
                <w:color w:val="000000" w:themeColor="text1"/>
                <w:sz w:val="16"/>
                <w:szCs w:val="16"/>
              </w:rPr>
            </w:pPr>
            <w:r w:rsidRPr="00C81439">
              <w:rPr>
                <w:rFonts w:eastAsia="Calibri" w:cstheme="minorHAnsi"/>
                <w:color w:val="000000" w:themeColor="text1"/>
                <w:sz w:val="16"/>
                <w:szCs w:val="16"/>
              </w:rPr>
              <w:t>EMRA</w:t>
            </w:r>
          </w:p>
        </w:tc>
        <w:tc>
          <w:tcPr>
            <w:tcW w:w="3690" w:type="dxa"/>
            <w:tcMar>
              <w:left w:w="108" w:type="dxa"/>
              <w:right w:w="108" w:type="dxa"/>
            </w:tcMar>
          </w:tcPr>
          <w:p w14:paraId="4AD0780F" w14:textId="77777777" w:rsidR="00CD499A" w:rsidRPr="00C81439" w:rsidRDefault="00CD499A" w:rsidP="00B30284">
            <w:pPr>
              <w:rPr>
                <w:rFonts w:eastAsia="Calibri" w:cstheme="minorHAnsi"/>
                <w:sz w:val="16"/>
                <w:szCs w:val="16"/>
              </w:rPr>
            </w:pPr>
            <w:r w:rsidRPr="00C81439">
              <w:rPr>
                <w:rFonts w:eastAsia="Calibri" w:cstheme="minorHAnsi"/>
                <w:color w:val="000000" w:themeColor="text1"/>
                <w:sz w:val="16"/>
                <w:szCs w:val="16"/>
              </w:rPr>
              <w:t>Energy Market Regulation Authority</w:t>
            </w:r>
          </w:p>
        </w:tc>
      </w:tr>
      <w:tr w:rsidR="00CD499A" w:rsidRPr="00C81439" w14:paraId="2F088E32" w14:textId="77777777" w:rsidTr="007367F4">
        <w:trPr>
          <w:trHeight w:val="300"/>
        </w:trPr>
        <w:tc>
          <w:tcPr>
            <w:tcW w:w="890" w:type="dxa"/>
            <w:tcMar>
              <w:left w:w="108" w:type="dxa"/>
              <w:right w:w="108" w:type="dxa"/>
            </w:tcMar>
          </w:tcPr>
          <w:p w14:paraId="5B599803" w14:textId="77777777" w:rsidR="00CD499A" w:rsidRPr="00C81439" w:rsidRDefault="00CD499A" w:rsidP="00B30284">
            <w:pPr>
              <w:jc w:val="center"/>
              <w:rPr>
                <w:rFonts w:eastAsia="Calibri" w:cstheme="minorHAnsi"/>
                <w:color w:val="000000" w:themeColor="text1"/>
                <w:sz w:val="16"/>
                <w:szCs w:val="16"/>
              </w:rPr>
            </w:pPr>
            <w:r w:rsidRPr="00C81439">
              <w:rPr>
                <w:rFonts w:cstheme="minorHAnsi"/>
                <w:sz w:val="16"/>
                <w:szCs w:val="16"/>
              </w:rPr>
              <w:t>ENTSO-E</w:t>
            </w:r>
          </w:p>
        </w:tc>
        <w:tc>
          <w:tcPr>
            <w:tcW w:w="3690" w:type="dxa"/>
            <w:tcMar>
              <w:left w:w="108" w:type="dxa"/>
              <w:right w:w="108" w:type="dxa"/>
            </w:tcMar>
          </w:tcPr>
          <w:p w14:paraId="1729860E" w14:textId="77777777" w:rsidR="00CD499A" w:rsidRPr="00C81439" w:rsidRDefault="00CD499A" w:rsidP="00B30284">
            <w:pPr>
              <w:rPr>
                <w:rFonts w:eastAsia="Times New Roman" w:cstheme="minorHAnsi"/>
                <w:color w:val="000000" w:themeColor="text1"/>
                <w:sz w:val="16"/>
                <w:szCs w:val="16"/>
              </w:rPr>
            </w:pPr>
            <w:r w:rsidRPr="00C81439">
              <w:rPr>
                <w:rFonts w:cstheme="minorHAnsi"/>
                <w:sz w:val="16"/>
                <w:szCs w:val="16"/>
              </w:rPr>
              <w:t xml:space="preserve">European Network of Electricity Transmission System Operators </w:t>
            </w:r>
          </w:p>
        </w:tc>
      </w:tr>
      <w:tr w:rsidR="00CD499A" w:rsidRPr="00C81439" w14:paraId="05E2359E" w14:textId="77777777" w:rsidTr="007367F4">
        <w:trPr>
          <w:trHeight w:val="300"/>
        </w:trPr>
        <w:tc>
          <w:tcPr>
            <w:tcW w:w="890" w:type="dxa"/>
            <w:tcMar>
              <w:left w:w="108" w:type="dxa"/>
              <w:right w:w="108" w:type="dxa"/>
            </w:tcMar>
          </w:tcPr>
          <w:p w14:paraId="7643D619" w14:textId="77777777" w:rsidR="00CD499A" w:rsidRPr="00C81439" w:rsidRDefault="00CD499A" w:rsidP="00B30284">
            <w:pPr>
              <w:jc w:val="center"/>
              <w:rPr>
                <w:rFonts w:eastAsia="Calibri" w:cstheme="minorHAnsi"/>
                <w:color w:val="000000" w:themeColor="text1"/>
                <w:sz w:val="16"/>
                <w:szCs w:val="16"/>
              </w:rPr>
            </w:pPr>
            <w:r w:rsidRPr="00C81439">
              <w:rPr>
                <w:rFonts w:eastAsia="Calibri" w:cstheme="minorHAnsi"/>
                <w:color w:val="000000" w:themeColor="text1"/>
                <w:sz w:val="16"/>
                <w:szCs w:val="16"/>
              </w:rPr>
              <w:t>EPIAS</w:t>
            </w:r>
          </w:p>
        </w:tc>
        <w:tc>
          <w:tcPr>
            <w:tcW w:w="3690" w:type="dxa"/>
            <w:tcMar>
              <w:left w:w="108" w:type="dxa"/>
              <w:right w:w="108" w:type="dxa"/>
            </w:tcMar>
          </w:tcPr>
          <w:p w14:paraId="2379774B" w14:textId="77777777" w:rsidR="00CD499A" w:rsidRPr="00C81439" w:rsidRDefault="00CD499A" w:rsidP="00B30284">
            <w:pPr>
              <w:rPr>
                <w:rFonts w:eastAsia="Calibri" w:cstheme="minorHAnsi"/>
                <w:color w:val="000000" w:themeColor="text1"/>
                <w:sz w:val="16"/>
                <w:szCs w:val="16"/>
              </w:rPr>
            </w:pPr>
            <w:r w:rsidRPr="00C81439">
              <w:rPr>
                <w:rFonts w:eastAsia="Calibri" w:cstheme="minorHAnsi"/>
                <w:sz w:val="16"/>
                <w:szCs w:val="16"/>
              </w:rPr>
              <w:t>Energy Exchange Istanbul (EXIST)</w:t>
            </w:r>
          </w:p>
        </w:tc>
      </w:tr>
      <w:tr w:rsidR="00CD499A" w:rsidRPr="00C81439" w14:paraId="0E94F8FB" w14:textId="77777777" w:rsidTr="007367F4">
        <w:trPr>
          <w:trHeight w:val="300"/>
        </w:trPr>
        <w:tc>
          <w:tcPr>
            <w:tcW w:w="890" w:type="dxa"/>
            <w:tcMar>
              <w:left w:w="108" w:type="dxa"/>
              <w:right w:w="108" w:type="dxa"/>
            </w:tcMar>
          </w:tcPr>
          <w:p w14:paraId="522F98CF" w14:textId="77777777" w:rsidR="00CD499A" w:rsidRPr="00C81439" w:rsidRDefault="00CD499A" w:rsidP="00B30284">
            <w:pPr>
              <w:jc w:val="center"/>
              <w:rPr>
                <w:rFonts w:eastAsia="Calibri" w:cstheme="minorHAnsi"/>
                <w:color w:val="000000" w:themeColor="text1"/>
                <w:sz w:val="16"/>
                <w:szCs w:val="16"/>
              </w:rPr>
            </w:pPr>
            <w:r w:rsidRPr="00C81439">
              <w:rPr>
                <w:rFonts w:eastAsia="Calibri" w:cstheme="minorHAnsi"/>
                <w:sz w:val="16"/>
                <w:szCs w:val="16"/>
              </w:rPr>
              <w:t>ETL</w:t>
            </w:r>
          </w:p>
        </w:tc>
        <w:tc>
          <w:tcPr>
            <w:tcW w:w="3690" w:type="dxa"/>
            <w:tcMar>
              <w:left w:w="108" w:type="dxa"/>
              <w:right w:w="108" w:type="dxa"/>
            </w:tcMar>
          </w:tcPr>
          <w:p w14:paraId="07060FB3" w14:textId="77777777" w:rsidR="00CD499A" w:rsidRPr="00C81439" w:rsidRDefault="00CD499A" w:rsidP="00B30284">
            <w:pPr>
              <w:rPr>
                <w:rFonts w:eastAsia="Calibri" w:cstheme="minorHAnsi"/>
                <w:sz w:val="16"/>
                <w:szCs w:val="16"/>
              </w:rPr>
            </w:pPr>
            <w:r w:rsidRPr="00C81439">
              <w:rPr>
                <w:rFonts w:eastAsia="Calibri" w:cstheme="minorHAnsi"/>
                <w:sz w:val="16"/>
                <w:szCs w:val="16"/>
              </w:rPr>
              <w:t xml:space="preserve">electricity transmission lines </w:t>
            </w:r>
          </w:p>
        </w:tc>
      </w:tr>
      <w:tr w:rsidR="00CD499A" w:rsidRPr="00C81439" w14:paraId="1C3FB1B4" w14:textId="77777777" w:rsidTr="007367F4">
        <w:trPr>
          <w:trHeight w:val="300"/>
        </w:trPr>
        <w:tc>
          <w:tcPr>
            <w:tcW w:w="890" w:type="dxa"/>
            <w:tcMar>
              <w:left w:w="108" w:type="dxa"/>
              <w:right w:w="108" w:type="dxa"/>
            </w:tcMar>
          </w:tcPr>
          <w:p w14:paraId="04207C72" w14:textId="77777777" w:rsidR="00CD499A" w:rsidRPr="00C81439" w:rsidRDefault="00CD499A" w:rsidP="00B30284">
            <w:pPr>
              <w:jc w:val="center"/>
              <w:rPr>
                <w:rFonts w:eastAsia="Calibri" w:cstheme="minorHAnsi"/>
                <w:color w:val="000000" w:themeColor="text1"/>
                <w:sz w:val="16"/>
                <w:szCs w:val="16"/>
              </w:rPr>
            </w:pPr>
            <w:r w:rsidRPr="00C81439">
              <w:rPr>
                <w:rFonts w:eastAsia="Calibri" w:cstheme="minorHAnsi"/>
                <w:color w:val="000000" w:themeColor="text1"/>
                <w:sz w:val="16"/>
                <w:szCs w:val="16"/>
              </w:rPr>
              <w:t>ETS</w:t>
            </w:r>
          </w:p>
        </w:tc>
        <w:tc>
          <w:tcPr>
            <w:tcW w:w="3690" w:type="dxa"/>
            <w:tcMar>
              <w:left w:w="108" w:type="dxa"/>
              <w:right w:w="108" w:type="dxa"/>
            </w:tcMar>
          </w:tcPr>
          <w:p w14:paraId="6D52CAEC" w14:textId="77777777" w:rsidR="00CD499A" w:rsidRPr="00C81439" w:rsidRDefault="00CD499A" w:rsidP="00B30284">
            <w:pPr>
              <w:rPr>
                <w:rFonts w:eastAsia="Calibri" w:cstheme="minorHAnsi"/>
                <w:sz w:val="16"/>
                <w:szCs w:val="16"/>
              </w:rPr>
            </w:pPr>
            <w:r w:rsidRPr="00C81439">
              <w:rPr>
                <w:rFonts w:eastAsia="Calibri" w:cstheme="minorHAnsi"/>
                <w:sz w:val="16"/>
                <w:szCs w:val="16"/>
              </w:rPr>
              <w:t>Emission Trading System</w:t>
            </w:r>
          </w:p>
        </w:tc>
      </w:tr>
      <w:tr w:rsidR="00CD499A" w:rsidRPr="00C81439" w14:paraId="1FD25EA8" w14:textId="77777777" w:rsidTr="007367F4">
        <w:trPr>
          <w:trHeight w:val="300"/>
        </w:trPr>
        <w:tc>
          <w:tcPr>
            <w:tcW w:w="890" w:type="dxa"/>
            <w:tcMar>
              <w:left w:w="108" w:type="dxa"/>
              <w:right w:w="108" w:type="dxa"/>
            </w:tcMar>
          </w:tcPr>
          <w:p w14:paraId="52910481" w14:textId="77777777" w:rsidR="00CD499A" w:rsidRPr="00C81439" w:rsidRDefault="00CD499A" w:rsidP="00B30284">
            <w:pPr>
              <w:jc w:val="center"/>
              <w:rPr>
                <w:rFonts w:eastAsia="Calibri" w:cstheme="minorHAnsi"/>
                <w:color w:val="000000" w:themeColor="text1"/>
                <w:sz w:val="16"/>
                <w:szCs w:val="16"/>
              </w:rPr>
            </w:pPr>
            <w:r w:rsidRPr="00C81439">
              <w:rPr>
                <w:rFonts w:eastAsia="Calibri" w:cstheme="minorHAnsi"/>
                <w:color w:val="000000" w:themeColor="text1"/>
                <w:sz w:val="16"/>
                <w:szCs w:val="16"/>
              </w:rPr>
              <w:t xml:space="preserve">EU </w:t>
            </w:r>
          </w:p>
        </w:tc>
        <w:tc>
          <w:tcPr>
            <w:tcW w:w="3690" w:type="dxa"/>
            <w:tcMar>
              <w:left w:w="108" w:type="dxa"/>
              <w:right w:w="108" w:type="dxa"/>
            </w:tcMar>
          </w:tcPr>
          <w:p w14:paraId="2066B8F5" w14:textId="77777777" w:rsidR="00CD499A" w:rsidRPr="00C81439" w:rsidRDefault="00CD499A" w:rsidP="00B30284">
            <w:pPr>
              <w:rPr>
                <w:rFonts w:eastAsia="Calibri" w:cstheme="minorHAnsi"/>
                <w:sz w:val="16"/>
                <w:szCs w:val="16"/>
              </w:rPr>
            </w:pPr>
            <w:r w:rsidRPr="00C81439">
              <w:rPr>
                <w:rFonts w:eastAsia="Calibri" w:cstheme="minorHAnsi"/>
                <w:sz w:val="16"/>
                <w:szCs w:val="16"/>
              </w:rPr>
              <w:t>European Union</w:t>
            </w:r>
          </w:p>
        </w:tc>
      </w:tr>
      <w:tr w:rsidR="00CD499A" w:rsidRPr="00C81439" w14:paraId="20AF6C3F" w14:textId="77777777" w:rsidTr="007367F4">
        <w:trPr>
          <w:trHeight w:val="300"/>
        </w:trPr>
        <w:tc>
          <w:tcPr>
            <w:tcW w:w="890" w:type="dxa"/>
            <w:tcMar>
              <w:left w:w="108" w:type="dxa"/>
              <w:right w:w="108" w:type="dxa"/>
            </w:tcMar>
          </w:tcPr>
          <w:p w14:paraId="648609BA" w14:textId="77777777" w:rsidR="00CD499A" w:rsidRPr="00C81439" w:rsidRDefault="00CD499A" w:rsidP="00B30284">
            <w:pPr>
              <w:jc w:val="center"/>
              <w:rPr>
                <w:rFonts w:eastAsia="Calibri" w:cstheme="minorHAnsi"/>
                <w:color w:val="000000" w:themeColor="text1"/>
                <w:sz w:val="16"/>
                <w:szCs w:val="16"/>
              </w:rPr>
            </w:pPr>
            <w:r w:rsidRPr="00C81439">
              <w:rPr>
                <w:rFonts w:eastAsia="Calibri" w:cstheme="minorHAnsi"/>
                <w:color w:val="000000" w:themeColor="text1"/>
                <w:sz w:val="16"/>
                <w:szCs w:val="16"/>
              </w:rPr>
              <w:t>EUAS</w:t>
            </w:r>
          </w:p>
        </w:tc>
        <w:tc>
          <w:tcPr>
            <w:tcW w:w="3690" w:type="dxa"/>
            <w:tcMar>
              <w:left w:w="108" w:type="dxa"/>
              <w:right w:w="108" w:type="dxa"/>
            </w:tcMar>
          </w:tcPr>
          <w:p w14:paraId="05301557" w14:textId="77777777" w:rsidR="00CD499A" w:rsidRPr="00C81439" w:rsidRDefault="00CD499A" w:rsidP="00B30284">
            <w:pPr>
              <w:rPr>
                <w:rFonts w:eastAsia="Calibri" w:cstheme="minorHAnsi"/>
                <w:sz w:val="16"/>
                <w:szCs w:val="16"/>
              </w:rPr>
            </w:pPr>
            <w:r w:rsidRPr="00C81439">
              <w:rPr>
                <w:rFonts w:cstheme="minorHAnsi"/>
                <w:sz w:val="16"/>
                <w:szCs w:val="16"/>
              </w:rPr>
              <w:t xml:space="preserve"> Electric Generation Corporation</w:t>
            </w:r>
          </w:p>
        </w:tc>
      </w:tr>
      <w:tr w:rsidR="00CD499A" w:rsidRPr="00C81439" w14:paraId="71C0B055" w14:textId="77777777" w:rsidTr="007367F4">
        <w:trPr>
          <w:trHeight w:val="300"/>
        </w:trPr>
        <w:tc>
          <w:tcPr>
            <w:tcW w:w="890" w:type="dxa"/>
            <w:tcMar>
              <w:left w:w="108" w:type="dxa"/>
              <w:right w:w="108" w:type="dxa"/>
            </w:tcMar>
          </w:tcPr>
          <w:p w14:paraId="04D864DD" w14:textId="77777777" w:rsidR="00CD499A" w:rsidRPr="00C81439" w:rsidRDefault="00CD499A" w:rsidP="00B30284">
            <w:pPr>
              <w:jc w:val="center"/>
              <w:rPr>
                <w:rFonts w:eastAsia="Calibri" w:cstheme="minorHAnsi"/>
                <w:color w:val="000000" w:themeColor="text1"/>
                <w:sz w:val="16"/>
                <w:szCs w:val="16"/>
              </w:rPr>
            </w:pPr>
            <w:r w:rsidRPr="00C81439">
              <w:rPr>
                <w:rFonts w:eastAsia="Calibri" w:cstheme="minorHAnsi"/>
                <w:color w:val="000000" w:themeColor="text1"/>
                <w:sz w:val="16"/>
                <w:szCs w:val="16"/>
              </w:rPr>
              <w:t>EUAS</w:t>
            </w:r>
          </w:p>
        </w:tc>
        <w:tc>
          <w:tcPr>
            <w:tcW w:w="3690" w:type="dxa"/>
            <w:tcMar>
              <w:left w:w="108" w:type="dxa"/>
              <w:right w:w="108" w:type="dxa"/>
            </w:tcMar>
          </w:tcPr>
          <w:p w14:paraId="7CA219B2" w14:textId="77777777" w:rsidR="00CD499A" w:rsidRPr="00C81439" w:rsidRDefault="00CD499A" w:rsidP="00B30284">
            <w:pPr>
              <w:rPr>
                <w:rFonts w:eastAsia="Calibri" w:cstheme="minorHAnsi"/>
                <w:color w:val="000000" w:themeColor="text1"/>
                <w:sz w:val="16"/>
                <w:szCs w:val="16"/>
              </w:rPr>
            </w:pPr>
            <w:r w:rsidRPr="00C81439">
              <w:rPr>
                <w:rFonts w:eastAsia="Calibri" w:cstheme="minorHAnsi"/>
                <w:sz w:val="16"/>
                <w:szCs w:val="16"/>
              </w:rPr>
              <w:t>Electricity Generation Corporation</w:t>
            </w:r>
          </w:p>
        </w:tc>
      </w:tr>
      <w:tr w:rsidR="00CD499A" w:rsidRPr="00C81439" w14:paraId="42E86F40" w14:textId="77777777" w:rsidTr="007367F4">
        <w:trPr>
          <w:trHeight w:val="300"/>
        </w:trPr>
        <w:tc>
          <w:tcPr>
            <w:tcW w:w="890" w:type="dxa"/>
            <w:tcMar>
              <w:left w:w="108" w:type="dxa"/>
              <w:right w:w="108" w:type="dxa"/>
            </w:tcMar>
          </w:tcPr>
          <w:p w14:paraId="083991A9" w14:textId="77777777" w:rsidR="00CD499A" w:rsidRPr="00C81439" w:rsidRDefault="00CD499A" w:rsidP="00B30284">
            <w:pPr>
              <w:jc w:val="center"/>
              <w:rPr>
                <w:rFonts w:eastAsia="Calibri" w:cstheme="minorHAnsi"/>
                <w:color w:val="000000" w:themeColor="text1"/>
                <w:sz w:val="16"/>
                <w:szCs w:val="16"/>
              </w:rPr>
            </w:pPr>
            <w:r w:rsidRPr="00C81439">
              <w:rPr>
                <w:rFonts w:eastAsia="Calibri" w:cstheme="minorHAnsi"/>
                <w:color w:val="000000" w:themeColor="text1"/>
                <w:sz w:val="16"/>
                <w:szCs w:val="16"/>
              </w:rPr>
              <w:t>EV</w:t>
            </w:r>
          </w:p>
        </w:tc>
        <w:tc>
          <w:tcPr>
            <w:tcW w:w="3690" w:type="dxa"/>
            <w:tcMar>
              <w:left w:w="108" w:type="dxa"/>
              <w:right w:w="108" w:type="dxa"/>
            </w:tcMar>
          </w:tcPr>
          <w:p w14:paraId="2395BFB6" w14:textId="77777777" w:rsidR="00CD499A" w:rsidRPr="00C81439" w:rsidRDefault="00CD499A" w:rsidP="00B30284">
            <w:pPr>
              <w:rPr>
                <w:rFonts w:eastAsia="Calibri" w:cstheme="minorHAnsi"/>
                <w:sz w:val="16"/>
                <w:szCs w:val="16"/>
              </w:rPr>
            </w:pPr>
            <w:r w:rsidRPr="00C81439">
              <w:rPr>
                <w:rFonts w:eastAsia="Calibri" w:cstheme="minorHAnsi"/>
                <w:sz w:val="16"/>
                <w:szCs w:val="16"/>
              </w:rPr>
              <w:t>Electric vehicle</w:t>
            </w:r>
          </w:p>
        </w:tc>
      </w:tr>
      <w:tr w:rsidR="00CD499A" w:rsidRPr="00C81439" w14:paraId="538FCD0F" w14:textId="77777777" w:rsidTr="007367F4">
        <w:trPr>
          <w:trHeight w:val="300"/>
        </w:trPr>
        <w:tc>
          <w:tcPr>
            <w:tcW w:w="890" w:type="dxa"/>
            <w:tcMar>
              <w:left w:w="108" w:type="dxa"/>
              <w:right w:w="108" w:type="dxa"/>
            </w:tcMar>
          </w:tcPr>
          <w:p w14:paraId="6A00C4B0" w14:textId="77777777" w:rsidR="00CD499A" w:rsidRPr="00C81439" w:rsidRDefault="00CD499A" w:rsidP="00B30284">
            <w:pPr>
              <w:jc w:val="center"/>
              <w:rPr>
                <w:rFonts w:eastAsia="Calibri" w:cstheme="minorHAnsi"/>
                <w:color w:val="000000" w:themeColor="text1"/>
                <w:sz w:val="16"/>
                <w:szCs w:val="16"/>
              </w:rPr>
            </w:pPr>
            <w:r w:rsidRPr="00C81439">
              <w:rPr>
                <w:rFonts w:eastAsia="Calibri" w:cstheme="minorHAnsi"/>
                <w:color w:val="000000" w:themeColor="text1"/>
                <w:sz w:val="16"/>
                <w:szCs w:val="16"/>
              </w:rPr>
              <w:t>EXIST</w:t>
            </w:r>
          </w:p>
        </w:tc>
        <w:tc>
          <w:tcPr>
            <w:tcW w:w="3690" w:type="dxa"/>
            <w:tcMar>
              <w:left w:w="108" w:type="dxa"/>
              <w:right w:w="108" w:type="dxa"/>
            </w:tcMar>
          </w:tcPr>
          <w:p w14:paraId="3A8676FE" w14:textId="77777777" w:rsidR="00CD499A" w:rsidRPr="00C81439" w:rsidRDefault="00CD499A" w:rsidP="00B30284">
            <w:pPr>
              <w:rPr>
                <w:rFonts w:eastAsia="Calibri" w:cstheme="minorHAnsi"/>
                <w:sz w:val="16"/>
                <w:szCs w:val="16"/>
              </w:rPr>
            </w:pPr>
            <w:r w:rsidRPr="00C81439">
              <w:rPr>
                <w:rFonts w:eastAsia="Calibri" w:cstheme="minorHAnsi"/>
                <w:sz w:val="16"/>
                <w:szCs w:val="16"/>
              </w:rPr>
              <w:t>Energy Exchange Istanbul</w:t>
            </w:r>
          </w:p>
        </w:tc>
      </w:tr>
      <w:bookmarkEnd w:id="1"/>
      <w:tr w:rsidR="00CD499A" w:rsidRPr="00C81439" w14:paraId="71E6798C" w14:textId="77777777" w:rsidTr="007367F4">
        <w:trPr>
          <w:trHeight w:val="300"/>
        </w:trPr>
        <w:tc>
          <w:tcPr>
            <w:tcW w:w="890" w:type="dxa"/>
          </w:tcPr>
          <w:p w14:paraId="4EBA89AC"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FIT</w:t>
            </w:r>
          </w:p>
        </w:tc>
        <w:tc>
          <w:tcPr>
            <w:tcW w:w="3690" w:type="dxa"/>
          </w:tcPr>
          <w:p w14:paraId="6540616D" w14:textId="77777777" w:rsidR="00CD499A" w:rsidRPr="00C81439" w:rsidRDefault="00CD499A" w:rsidP="00651F36">
            <w:pPr>
              <w:rPr>
                <w:rFonts w:eastAsia="Calibri" w:cstheme="minorHAnsi"/>
                <w:sz w:val="16"/>
                <w:szCs w:val="16"/>
              </w:rPr>
            </w:pPr>
            <w:r w:rsidRPr="00C81439">
              <w:rPr>
                <w:rFonts w:eastAsia="Calibri" w:cstheme="minorHAnsi"/>
                <w:color w:val="000000" w:themeColor="text1"/>
                <w:sz w:val="16"/>
                <w:szCs w:val="16"/>
              </w:rPr>
              <w:t>Feed-in-Tarif</w:t>
            </w:r>
          </w:p>
        </w:tc>
      </w:tr>
      <w:tr w:rsidR="00CD499A" w:rsidRPr="00C81439" w14:paraId="75E28D24" w14:textId="77777777" w:rsidTr="007367F4">
        <w:trPr>
          <w:trHeight w:val="300"/>
        </w:trPr>
        <w:tc>
          <w:tcPr>
            <w:tcW w:w="890" w:type="dxa"/>
          </w:tcPr>
          <w:p w14:paraId="31D1DFBA"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FX</w:t>
            </w:r>
          </w:p>
        </w:tc>
        <w:tc>
          <w:tcPr>
            <w:tcW w:w="3690" w:type="dxa"/>
          </w:tcPr>
          <w:p w14:paraId="5B80C3C0" w14:textId="77777777" w:rsidR="00CD499A" w:rsidRPr="00C81439" w:rsidRDefault="00CD499A" w:rsidP="00651F36">
            <w:pPr>
              <w:rPr>
                <w:rFonts w:eastAsia="Calibri" w:cstheme="minorHAnsi"/>
                <w:sz w:val="16"/>
                <w:szCs w:val="16"/>
              </w:rPr>
            </w:pPr>
            <w:r w:rsidRPr="00C81439">
              <w:rPr>
                <w:rFonts w:eastAsia="Calibri" w:cstheme="minorHAnsi"/>
                <w:sz w:val="16"/>
                <w:szCs w:val="16"/>
              </w:rPr>
              <w:t>Foreign Exchange Market</w:t>
            </w:r>
          </w:p>
        </w:tc>
      </w:tr>
      <w:tr w:rsidR="00CD499A" w:rsidRPr="00C81439" w14:paraId="4371B174" w14:textId="77777777" w:rsidTr="007367F4">
        <w:trPr>
          <w:trHeight w:val="300"/>
        </w:trPr>
        <w:tc>
          <w:tcPr>
            <w:tcW w:w="890" w:type="dxa"/>
          </w:tcPr>
          <w:p w14:paraId="0F4D899B"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GCAP</w:t>
            </w:r>
          </w:p>
        </w:tc>
        <w:tc>
          <w:tcPr>
            <w:tcW w:w="3690" w:type="dxa"/>
          </w:tcPr>
          <w:p w14:paraId="2CA4A599" w14:textId="77777777" w:rsidR="00CD499A" w:rsidRPr="00C81439" w:rsidRDefault="00CD499A" w:rsidP="00651F36">
            <w:pPr>
              <w:rPr>
                <w:rFonts w:eastAsia="Calibri" w:cstheme="minorHAnsi"/>
                <w:sz w:val="16"/>
                <w:szCs w:val="16"/>
              </w:rPr>
            </w:pPr>
            <w:r w:rsidRPr="00C81439">
              <w:rPr>
                <w:rFonts w:eastAsia="Calibri" w:cstheme="minorHAnsi"/>
                <w:sz w:val="16"/>
                <w:szCs w:val="16"/>
              </w:rPr>
              <w:t>Global Climate Action Program</w:t>
            </w:r>
          </w:p>
        </w:tc>
      </w:tr>
      <w:tr w:rsidR="00CD499A" w:rsidRPr="00C81439" w14:paraId="5DC512DA" w14:textId="77777777" w:rsidTr="007367F4">
        <w:trPr>
          <w:trHeight w:val="300"/>
        </w:trPr>
        <w:tc>
          <w:tcPr>
            <w:tcW w:w="890" w:type="dxa"/>
          </w:tcPr>
          <w:p w14:paraId="7BB184EE"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gCO2</w:t>
            </w:r>
          </w:p>
        </w:tc>
        <w:tc>
          <w:tcPr>
            <w:tcW w:w="3690" w:type="dxa"/>
          </w:tcPr>
          <w:p w14:paraId="64459DD6" w14:textId="77777777" w:rsidR="00CD499A" w:rsidRPr="00C81439" w:rsidRDefault="00CD499A" w:rsidP="00651F36">
            <w:pPr>
              <w:rPr>
                <w:rFonts w:eastAsia="Calibri" w:cstheme="minorHAnsi"/>
                <w:sz w:val="16"/>
                <w:szCs w:val="16"/>
              </w:rPr>
            </w:pPr>
            <w:r w:rsidRPr="00C81439">
              <w:rPr>
                <w:rFonts w:eastAsia="Calibri" w:cstheme="minorHAnsi"/>
                <w:sz w:val="16"/>
                <w:szCs w:val="16"/>
              </w:rPr>
              <w:t xml:space="preserve">Grams of carbon dioxide equivalent </w:t>
            </w:r>
          </w:p>
        </w:tc>
      </w:tr>
      <w:tr w:rsidR="00CD499A" w:rsidRPr="00C81439" w14:paraId="5157FC81" w14:textId="77777777" w:rsidTr="007367F4">
        <w:trPr>
          <w:trHeight w:val="300"/>
        </w:trPr>
        <w:tc>
          <w:tcPr>
            <w:tcW w:w="890" w:type="dxa"/>
          </w:tcPr>
          <w:p w14:paraId="6C71158D"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gCO2</w:t>
            </w:r>
          </w:p>
        </w:tc>
        <w:tc>
          <w:tcPr>
            <w:tcW w:w="3690" w:type="dxa"/>
          </w:tcPr>
          <w:p w14:paraId="4954B2B1" w14:textId="77777777" w:rsidR="00CD499A" w:rsidRPr="00C81439" w:rsidRDefault="00CD499A" w:rsidP="00651F36">
            <w:pPr>
              <w:rPr>
                <w:rFonts w:eastAsia="Calibri" w:cstheme="minorHAnsi"/>
                <w:sz w:val="16"/>
                <w:szCs w:val="16"/>
              </w:rPr>
            </w:pPr>
            <w:r w:rsidRPr="00C81439">
              <w:rPr>
                <w:rFonts w:eastAsia="Calibri" w:cstheme="minorHAnsi"/>
                <w:sz w:val="16"/>
                <w:szCs w:val="16"/>
              </w:rPr>
              <w:t xml:space="preserve">Grams of carbon dioxide equivalent </w:t>
            </w:r>
          </w:p>
        </w:tc>
      </w:tr>
      <w:tr w:rsidR="00CD499A" w:rsidRPr="00C81439" w14:paraId="683C8966" w14:textId="77777777" w:rsidTr="007367F4">
        <w:trPr>
          <w:trHeight w:val="300"/>
        </w:trPr>
        <w:tc>
          <w:tcPr>
            <w:tcW w:w="890" w:type="dxa"/>
          </w:tcPr>
          <w:p w14:paraId="377EB04A"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GDP</w:t>
            </w:r>
          </w:p>
        </w:tc>
        <w:tc>
          <w:tcPr>
            <w:tcW w:w="3690" w:type="dxa"/>
          </w:tcPr>
          <w:p w14:paraId="123DCF0B" w14:textId="77777777" w:rsidR="00CD499A" w:rsidRPr="00C81439" w:rsidRDefault="00CD499A" w:rsidP="00651F36">
            <w:pPr>
              <w:rPr>
                <w:rFonts w:eastAsia="Calibri" w:cstheme="minorHAnsi"/>
                <w:color w:val="000000" w:themeColor="text1"/>
                <w:sz w:val="16"/>
                <w:szCs w:val="16"/>
              </w:rPr>
            </w:pPr>
            <w:r w:rsidRPr="00C81439">
              <w:rPr>
                <w:rFonts w:eastAsia="Calibri" w:cstheme="minorHAnsi"/>
                <w:sz w:val="16"/>
                <w:szCs w:val="16"/>
              </w:rPr>
              <w:t>Gross Domestic Product</w:t>
            </w:r>
          </w:p>
        </w:tc>
      </w:tr>
      <w:tr w:rsidR="00CD499A" w:rsidRPr="00C81439" w14:paraId="199CA9A7" w14:textId="77777777" w:rsidTr="007367F4">
        <w:trPr>
          <w:trHeight w:val="300"/>
        </w:trPr>
        <w:tc>
          <w:tcPr>
            <w:tcW w:w="890" w:type="dxa"/>
          </w:tcPr>
          <w:p w14:paraId="756FF4EE"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GHG</w:t>
            </w:r>
          </w:p>
        </w:tc>
        <w:tc>
          <w:tcPr>
            <w:tcW w:w="3690" w:type="dxa"/>
          </w:tcPr>
          <w:p w14:paraId="6314375C" w14:textId="77777777" w:rsidR="00CD499A" w:rsidRPr="00C81439" w:rsidRDefault="00CD499A" w:rsidP="00651F36">
            <w:pPr>
              <w:rPr>
                <w:rFonts w:eastAsia="Calibri" w:cstheme="minorHAnsi"/>
                <w:sz w:val="16"/>
                <w:szCs w:val="16"/>
              </w:rPr>
            </w:pPr>
            <w:r w:rsidRPr="00C81439">
              <w:rPr>
                <w:rFonts w:eastAsia="Calibri" w:cstheme="minorHAnsi"/>
                <w:sz w:val="16"/>
                <w:szCs w:val="16"/>
              </w:rPr>
              <w:t>Green House Gas</w:t>
            </w:r>
          </w:p>
        </w:tc>
      </w:tr>
      <w:tr w:rsidR="00CD499A" w:rsidRPr="00C81439" w14:paraId="3C6949BB" w14:textId="77777777" w:rsidTr="007367F4">
        <w:trPr>
          <w:trHeight w:val="300"/>
        </w:trPr>
        <w:tc>
          <w:tcPr>
            <w:tcW w:w="890" w:type="dxa"/>
          </w:tcPr>
          <w:p w14:paraId="2A252E5B"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GoT</w:t>
            </w:r>
          </w:p>
        </w:tc>
        <w:tc>
          <w:tcPr>
            <w:tcW w:w="3690" w:type="dxa"/>
          </w:tcPr>
          <w:p w14:paraId="6F7025DC" w14:textId="77777777" w:rsidR="00CD499A" w:rsidRPr="00C81439" w:rsidRDefault="00CD499A" w:rsidP="00651F36">
            <w:pPr>
              <w:rPr>
                <w:rFonts w:eastAsia="Calibri" w:cstheme="minorHAnsi"/>
                <w:sz w:val="16"/>
                <w:szCs w:val="16"/>
              </w:rPr>
            </w:pPr>
            <w:r w:rsidRPr="00C81439">
              <w:rPr>
                <w:rFonts w:eastAsia="Calibri" w:cstheme="minorHAnsi"/>
                <w:sz w:val="16"/>
                <w:szCs w:val="16"/>
              </w:rPr>
              <w:t>Government of Türkiye</w:t>
            </w:r>
          </w:p>
        </w:tc>
      </w:tr>
      <w:tr w:rsidR="00CD499A" w:rsidRPr="00C81439" w14:paraId="1DD60445" w14:textId="77777777" w:rsidTr="007367F4">
        <w:trPr>
          <w:trHeight w:val="300"/>
        </w:trPr>
        <w:tc>
          <w:tcPr>
            <w:tcW w:w="890" w:type="dxa"/>
          </w:tcPr>
          <w:p w14:paraId="2E3E587C"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GSEP</w:t>
            </w:r>
          </w:p>
        </w:tc>
        <w:tc>
          <w:tcPr>
            <w:tcW w:w="3690" w:type="dxa"/>
          </w:tcPr>
          <w:p w14:paraId="28D566D0" w14:textId="77777777" w:rsidR="00CD499A" w:rsidRPr="00C81439" w:rsidRDefault="00CD499A" w:rsidP="00651F36">
            <w:pPr>
              <w:rPr>
                <w:rFonts w:eastAsia="Calibri" w:cstheme="minorHAnsi"/>
                <w:sz w:val="16"/>
                <w:szCs w:val="16"/>
              </w:rPr>
            </w:pPr>
            <w:r w:rsidRPr="00C81439">
              <w:rPr>
                <w:rFonts w:eastAsia="Calibri" w:cstheme="minorHAnsi"/>
                <w:sz w:val="16"/>
                <w:szCs w:val="16"/>
              </w:rPr>
              <w:t>Gas Storage Expansion Project</w:t>
            </w:r>
          </w:p>
        </w:tc>
      </w:tr>
      <w:tr w:rsidR="00CD499A" w:rsidRPr="00C81439" w14:paraId="6231CBA7" w14:textId="77777777" w:rsidTr="007367F4">
        <w:trPr>
          <w:trHeight w:val="300"/>
        </w:trPr>
        <w:tc>
          <w:tcPr>
            <w:tcW w:w="890" w:type="dxa"/>
          </w:tcPr>
          <w:p w14:paraId="366E8237"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GW</w:t>
            </w:r>
          </w:p>
        </w:tc>
        <w:tc>
          <w:tcPr>
            <w:tcW w:w="3690" w:type="dxa"/>
          </w:tcPr>
          <w:p w14:paraId="488645D5" w14:textId="77777777" w:rsidR="00CD499A" w:rsidRPr="00C81439" w:rsidRDefault="00CD499A" w:rsidP="00651F36">
            <w:pPr>
              <w:rPr>
                <w:rFonts w:eastAsia="Calibri" w:cstheme="minorHAnsi"/>
                <w:color w:val="000000" w:themeColor="text1"/>
                <w:sz w:val="16"/>
                <w:szCs w:val="16"/>
              </w:rPr>
            </w:pPr>
            <w:r w:rsidRPr="00C81439">
              <w:rPr>
                <w:rFonts w:eastAsia="Calibri" w:cstheme="minorHAnsi"/>
                <w:sz w:val="16"/>
                <w:szCs w:val="16"/>
              </w:rPr>
              <w:t>gigawatt</w:t>
            </w:r>
          </w:p>
        </w:tc>
      </w:tr>
      <w:tr w:rsidR="00CD499A" w:rsidRPr="00C81439" w14:paraId="0FA1FE1B" w14:textId="77777777" w:rsidTr="007367F4">
        <w:trPr>
          <w:trHeight w:val="300"/>
        </w:trPr>
        <w:tc>
          <w:tcPr>
            <w:tcW w:w="890" w:type="dxa"/>
          </w:tcPr>
          <w:p w14:paraId="2B5EA641"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HPP</w:t>
            </w:r>
          </w:p>
        </w:tc>
        <w:tc>
          <w:tcPr>
            <w:tcW w:w="3690" w:type="dxa"/>
          </w:tcPr>
          <w:p w14:paraId="691CC442" w14:textId="77777777" w:rsidR="00CD499A" w:rsidRPr="00C81439" w:rsidRDefault="00CD499A" w:rsidP="00651F36">
            <w:pPr>
              <w:rPr>
                <w:rFonts w:eastAsia="Calibri" w:cstheme="minorHAnsi"/>
                <w:color w:val="0B212C"/>
                <w:sz w:val="16"/>
                <w:szCs w:val="16"/>
              </w:rPr>
            </w:pPr>
            <w:r w:rsidRPr="00C81439">
              <w:rPr>
                <w:rFonts w:eastAsia="Calibri" w:cstheme="minorHAnsi"/>
                <w:sz w:val="16"/>
                <w:szCs w:val="16"/>
              </w:rPr>
              <w:t>Hydro-electric Power Plant</w:t>
            </w:r>
          </w:p>
        </w:tc>
      </w:tr>
      <w:tr w:rsidR="00CD499A" w:rsidRPr="00C81439" w14:paraId="61689DEF" w14:textId="77777777" w:rsidTr="007367F4">
        <w:trPr>
          <w:trHeight w:val="300"/>
        </w:trPr>
        <w:tc>
          <w:tcPr>
            <w:tcW w:w="890" w:type="dxa"/>
          </w:tcPr>
          <w:p w14:paraId="549E1B63"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HPP</w:t>
            </w:r>
          </w:p>
        </w:tc>
        <w:tc>
          <w:tcPr>
            <w:tcW w:w="3690" w:type="dxa"/>
          </w:tcPr>
          <w:p w14:paraId="508D8D0A" w14:textId="77777777" w:rsidR="00CD499A" w:rsidRPr="00C81439" w:rsidRDefault="00CD499A" w:rsidP="00651F36">
            <w:pPr>
              <w:rPr>
                <w:rFonts w:eastAsia="Calibri" w:cstheme="minorHAnsi"/>
                <w:color w:val="0B212C"/>
                <w:sz w:val="16"/>
                <w:szCs w:val="16"/>
              </w:rPr>
            </w:pPr>
            <w:r w:rsidRPr="00C81439">
              <w:rPr>
                <w:rFonts w:eastAsia="Calibri" w:cstheme="minorHAnsi"/>
                <w:sz w:val="16"/>
                <w:szCs w:val="16"/>
              </w:rPr>
              <w:t>Hydro Electric Plant</w:t>
            </w:r>
          </w:p>
        </w:tc>
      </w:tr>
      <w:tr w:rsidR="00CD499A" w:rsidRPr="00C81439" w14:paraId="4DFD8EFC" w14:textId="77777777" w:rsidTr="007367F4">
        <w:trPr>
          <w:trHeight w:val="300"/>
        </w:trPr>
        <w:tc>
          <w:tcPr>
            <w:tcW w:w="890" w:type="dxa"/>
          </w:tcPr>
          <w:p w14:paraId="057FC9D9" w14:textId="77777777" w:rsidR="00CD499A" w:rsidRPr="00C81439" w:rsidRDefault="00CD499A" w:rsidP="00651F36">
            <w:pPr>
              <w:jc w:val="center"/>
              <w:rPr>
                <w:rFonts w:eastAsia="Calibri" w:cstheme="minorHAnsi"/>
                <w:color w:val="000000" w:themeColor="text1"/>
                <w:sz w:val="16"/>
                <w:szCs w:val="16"/>
              </w:rPr>
            </w:pPr>
            <w:r w:rsidRPr="00C81439">
              <w:rPr>
                <w:rFonts w:eastAsia="Times New Roman" w:cstheme="minorHAnsi"/>
                <w:sz w:val="16"/>
                <w:szCs w:val="16"/>
              </w:rPr>
              <w:t>HVAC</w:t>
            </w:r>
          </w:p>
        </w:tc>
        <w:tc>
          <w:tcPr>
            <w:tcW w:w="3690" w:type="dxa"/>
          </w:tcPr>
          <w:p w14:paraId="126F2C27" w14:textId="77777777" w:rsidR="00CD499A" w:rsidRPr="00C81439" w:rsidRDefault="00CD499A" w:rsidP="00651F36">
            <w:pPr>
              <w:rPr>
                <w:rFonts w:eastAsia="Calibri" w:cstheme="minorHAnsi"/>
                <w:sz w:val="16"/>
                <w:szCs w:val="16"/>
              </w:rPr>
            </w:pPr>
            <w:r w:rsidRPr="00C81439">
              <w:rPr>
                <w:rFonts w:cstheme="minorHAnsi"/>
                <w:sz w:val="16"/>
                <w:szCs w:val="16"/>
              </w:rPr>
              <w:t xml:space="preserve">high voltage alternating current </w:t>
            </w:r>
          </w:p>
        </w:tc>
      </w:tr>
      <w:tr w:rsidR="00CD499A" w:rsidRPr="00C81439" w14:paraId="3A4F7DB2" w14:textId="77777777" w:rsidTr="007367F4">
        <w:trPr>
          <w:trHeight w:val="300"/>
        </w:trPr>
        <w:tc>
          <w:tcPr>
            <w:tcW w:w="890" w:type="dxa"/>
          </w:tcPr>
          <w:p w14:paraId="136349F1"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HVDC</w:t>
            </w:r>
          </w:p>
        </w:tc>
        <w:tc>
          <w:tcPr>
            <w:tcW w:w="3690" w:type="dxa"/>
          </w:tcPr>
          <w:p w14:paraId="631867B5" w14:textId="77777777" w:rsidR="00CD499A" w:rsidRPr="00C81439" w:rsidRDefault="00CD499A" w:rsidP="00651F36">
            <w:pPr>
              <w:rPr>
                <w:rFonts w:cstheme="minorHAnsi"/>
                <w:sz w:val="16"/>
                <w:szCs w:val="16"/>
              </w:rPr>
            </w:pPr>
            <w:r w:rsidRPr="00C81439">
              <w:rPr>
                <w:rFonts w:eastAsia="Calibri" w:cstheme="minorHAnsi"/>
                <w:sz w:val="16"/>
                <w:szCs w:val="16"/>
              </w:rPr>
              <w:t>High Voltage Direct Current</w:t>
            </w:r>
          </w:p>
        </w:tc>
      </w:tr>
      <w:tr w:rsidR="00CD499A" w:rsidRPr="00C81439" w14:paraId="5A75E67F" w14:textId="77777777" w:rsidTr="007367F4">
        <w:trPr>
          <w:trHeight w:val="300"/>
        </w:trPr>
        <w:tc>
          <w:tcPr>
            <w:tcW w:w="890" w:type="dxa"/>
          </w:tcPr>
          <w:p w14:paraId="1695E192"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IBRD</w:t>
            </w:r>
          </w:p>
        </w:tc>
        <w:tc>
          <w:tcPr>
            <w:tcW w:w="3690" w:type="dxa"/>
          </w:tcPr>
          <w:p w14:paraId="0EFB5198" w14:textId="77777777" w:rsidR="00CD499A" w:rsidRPr="00C81439" w:rsidRDefault="00CD499A" w:rsidP="00651F36">
            <w:pPr>
              <w:rPr>
                <w:rFonts w:eastAsia="Calibri" w:cstheme="minorHAnsi"/>
                <w:color w:val="000000" w:themeColor="text1"/>
                <w:sz w:val="16"/>
                <w:szCs w:val="16"/>
              </w:rPr>
            </w:pPr>
            <w:r w:rsidRPr="00C81439">
              <w:rPr>
                <w:rFonts w:eastAsia="Calibri" w:cstheme="minorHAnsi"/>
                <w:sz w:val="16"/>
                <w:szCs w:val="16"/>
              </w:rPr>
              <w:t>International Bank for Reconstruction and Development</w:t>
            </w:r>
          </w:p>
        </w:tc>
      </w:tr>
      <w:tr w:rsidR="00CD499A" w:rsidRPr="00C81439" w14:paraId="526ECEE8" w14:textId="77777777" w:rsidTr="007367F4">
        <w:trPr>
          <w:trHeight w:val="300"/>
        </w:trPr>
        <w:tc>
          <w:tcPr>
            <w:tcW w:w="890" w:type="dxa"/>
          </w:tcPr>
          <w:p w14:paraId="78186B67"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sz w:val="16"/>
                <w:szCs w:val="16"/>
              </w:rPr>
              <w:t>IEA</w:t>
            </w:r>
          </w:p>
        </w:tc>
        <w:tc>
          <w:tcPr>
            <w:tcW w:w="3690" w:type="dxa"/>
          </w:tcPr>
          <w:p w14:paraId="5BDD4361" w14:textId="77777777" w:rsidR="00CD499A" w:rsidRPr="00C81439" w:rsidRDefault="00CD499A" w:rsidP="00651F36">
            <w:pPr>
              <w:rPr>
                <w:rFonts w:eastAsia="Calibri" w:cstheme="minorHAnsi"/>
                <w:color w:val="0B212C"/>
                <w:sz w:val="16"/>
                <w:szCs w:val="16"/>
              </w:rPr>
            </w:pPr>
            <w:r w:rsidRPr="00C81439">
              <w:rPr>
                <w:rFonts w:eastAsia="Calibri" w:cstheme="minorHAnsi"/>
                <w:sz w:val="16"/>
                <w:szCs w:val="16"/>
              </w:rPr>
              <w:t>The International Energy Agency</w:t>
            </w:r>
          </w:p>
        </w:tc>
      </w:tr>
      <w:tr w:rsidR="00CD499A" w:rsidRPr="00C81439" w14:paraId="5711965C" w14:textId="77777777" w:rsidTr="007367F4">
        <w:trPr>
          <w:trHeight w:val="300"/>
        </w:trPr>
        <w:tc>
          <w:tcPr>
            <w:tcW w:w="890" w:type="dxa"/>
          </w:tcPr>
          <w:p w14:paraId="00047EFD" w14:textId="77777777" w:rsidR="00CD499A" w:rsidRPr="00C81439" w:rsidRDefault="00CD499A" w:rsidP="00651F36">
            <w:pPr>
              <w:jc w:val="center"/>
              <w:rPr>
                <w:rFonts w:eastAsia="Times New Roman" w:cstheme="minorHAnsi"/>
                <w:color w:val="000000" w:themeColor="text1"/>
                <w:sz w:val="16"/>
                <w:szCs w:val="16"/>
              </w:rPr>
            </w:pPr>
            <w:r w:rsidRPr="00C81439">
              <w:rPr>
                <w:rFonts w:eastAsia="Calibri" w:cstheme="minorHAnsi"/>
                <w:color w:val="000000" w:themeColor="text1"/>
                <w:sz w:val="16"/>
                <w:szCs w:val="16"/>
              </w:rPr>
              <w:t>IFC</w:t>
            </w:r>
          </w:p>
        </w:tc>
        <w:tc>
          <w:tcPr>
            <w:tcW w:w="3690" w:type="dxa"/>
          </w:tcPr>
          <w:p w14:paraId="4788682E" w14:textId="77777777" w:rsidR="00CD499A" w:rsidRPr="00C81439" w:rsidRDefault="00CD499A" w:rsidP="00651F36">
            <w:pPr>
              <w:rPr>
                <w:rFonts w:eastAsia="Times New Roman" w:cstheme="minorHAnsi"/>
                <w:color w:val="000000" w:themeColor="text1"/>
                <w:sz w:val="16"/>
                <w:szCs w:val="16"/>
              </w:rPr>
            </w:pPr>
            <w:r w:rsidRPr="00C81439">
              <w:rPr>
                <w:rFonts w:eastAsia="Calibri" w:cstheme="minorHAnsi"/>
                <w:sz w:val="16"/>
                <w:szCs w:val="16"/>
              </w:rPr>
              <w:t>International Finance Corporation</w:t>
            </w:r>
          </w:p>
        </w:tc>
      </w:tr>
      <w:tr w:rsidR="00CD499A" w:rsidRPr="00C81439" w14:paraId="25A2A4EA" w14:textId="77777777" w:rsidTr="007367F4">
        <w:trPr>
          <w:trHeight w:val="300"/>
        </w:trPr>
        <w:tc>
          <w:tcPr>
            <w:tcW w:w="890" w:type="dxa"/>
          </w:tcPr>
          <w:p w14:paraId="58C23378"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IGOs</w:t>
            </w:r>
          </w:p>
        </w:tc>
        <w:tc>
          <w:tcPr>
            <w:tcW w:w="3690" w:type="dxa"/>
          </w:tcPr>
          <w:p w14:paraId="2D3D5996" w14:textId="77777777" w:rsidR="00CD499A" w:rsidRPr="00C81439" w:rsidRDefault="00CD499A" w:rsidP="00651F36">
            <w:pPr>
              <w:rPr>
                <w:rFonts w:cstheme="minorHAnsi"/>
                <w:sz w:val="16"/>
                <w:szCs w:val="16"/>
              </w:rPr>
            </w:pPr>
            <w:r w:rsidRPr="00C81439">
              <w:rPr>
                <w:rFonts w:eastAsia="Calibri" w:cstheme="minorHAnsi"/>
                <w:sz w:val="16"/>
                <w:szCs w:val="16"/>
              </w:rPr>
              <w:t>Intergovernmental organization</w:t>
            </w:r>
          </w:p>
        </w:tc>
      </w:tr>
      <w:tr w:rsidR="00CD499A" w:rsidRPr="00C81439" w14:paraId="711D7672" w14:textId="77777777" w:rsidTr="007367F4">
        <w:trPr>
          <w:trHeight w:val="300"/>
        </w:trPr>
        <w:tc>
          <w:tcPr>
            <w:tcW w:w="890" w:type="dxa"/>
          </w:tcPr>
          <w:p w14:paraId="6B9D5B2E"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ILO</w:t>
            </w:r>
          </w:p>
        </w:tc>
        <w:tc>
          <w:tcPr>
            <w:tcW w:w="3690" w:type="dxa"/>
          </w:tcPr>
          <w:p w14:paraId="0EBFDA11" w14:textId="0F28209B" w:rsidR="00CD499A" w:rsidRPr="00C81439" w:rsidRDefault="00CD499A" w:rsidP="00651F36">
            <w:pPr>
              <w:rPr>
                <w:rFonts w:eastAsia="Calibri"/>
                <w:color w:val="0B212C"/>
                <w:sz w:val="16"/>
                <w:szCs w:val="16"/>
              </w:rPr>
            </w:pPr>
            <w:r w:rsidRPr="29A87474">
              <w:rPr>
                <w:rFonts w:eastAsia="Calibri"/>
                <w:sz w:val="16"/>
                <w:szCs w:val="16"/>
              </w:rPr>
              <w:t xml:space="preserve">International Labor </w:t>
            </w:r>
            <w:r w:rsidR="54115DB3" w:rsidRPr="29A87474">
              <w:rPr>
                <w:rFonts w:eastAsia="Calibri"/>
                <w:sz w:val="16"/>
                <w:szCs w:val="16"/>
              </w:rPr>
              <w:t>Organization</w:t>
            </w:r>
          </w:p>
        </w:tc>
      </w:tr>
      <w:tr w:rsidR="00CD499A" w:rsidRPr="00C81439" w14:paraId="6049B894" w14:textId="77777777" w:rsidTr="007367F4">
        <w:trPr>
          <w:trHeight w:val="300"/>
        </w:trPr>
        <w:tc>
          <w:tcPr>
            <w:tcW w:w="890" w:type="dxa"/>
          </w:tcPr>
          <w:p w14:paraId="1255DD11"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IP</w:t>
            </w:r>
          </w:p>
        </w:tc>
        <w:tc>
          <w:tcPr>
            <w:tcW w:w="3690" w:type="dxa"/>
          </w:tcPr>
          <w:p w14:paraId="030E8D27" w14:textId="77777777" w:rsidR="00CD499A" w:rsidRPr="00C81439" w:rsidRDefault="00CD499A" w:rsidP="00651F36">
            <w:pPr>
              <w:rPr>
                <w:rFonts w:cstheme="minorHAnsi"/>
                <w:sz w:val="16"/>
                <w:szCs w:val="16"/>
              </w:rPr>
            </w:pPr>
            <w:r w:rsidRPr="00C81439">
              <w:rPr>
                <w:rFonts w:eastAsia="Calibri" w:cstheme="minorHAnsi"/>
                <w:sz w:val="16"/>
                <w:szCs w:val="16"/>
              </w:rPr>
              <w:t>Investment Plan</w:t>
            </w:r>
          </w:p>
        </w:tc>
      </w:tr>
      <w:tr w:rsidR="00CD499A" w:rsidRPr="00C81439" w14:paraId="19B2027A" w14:textId="77777777" w:rsidTr="007367F4">
        <w:trPr>
          <w:trHeight w:val="300"/>
        </w:trPr>
        <w:tc>
          <w:tcPr>
            <w:tcW w:w="890" w:type="dxa"/>
          </w:tcPr>
          <w:p w14:paraId="073AF471"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IRA</w:t>
            </w:r>
          </w:p>
        </w:tc>
        <w:tc>
          <w:tcPr>
            <w:tcW w:w="3690" w:type="dxa"/>
          </w:tcPr>
          <w:p w14:paraId="7BC04207" w14:textId="77777777" w:rsidR="00CD499A" w:rsidRPr="00C81439" w:rsidRDefault="00CD499A" w:rsidP="00651F36">
            <w:pPr>
              <w:rPr>
                <w:rFonts w:eastAsia="Calibri" w:cstheme="minorHAnsi"/>
                <w:sz w:val="16"/>
                <w:szCs w:val="16"/>
              </w:rPr>
            </w:pPr>
            <w:r w:rsidRPr="00C81439">
              <w:rPr>
                <w:rFonts w:eastAsia="Calibri" w:cstheme="minorHAnsi"/>
                <w:sz w:val="16"/>
                <w:szCs w:val="16"/>
              </w:rPr>
              <w:t>Inflation Reduction Act</w:t>
            </w:r>
          </w:p>
        </w:tc>
      </w:tr>
      <w:tr w:rsidR="00CD499A" w:rsidRPr="00C81439" w14:paraId="0FE88D8F" w14:textId="77777777" w:rsidTr="007367F4">
        <w:trPr>
          <w:trHeight w:val="300"/>
        </w:trPr>
        <w:tc>
          <w:tcPr>
            <w:tcW w:w="890" w:type="dxa"/>
          </w:tcPr>
          <w:p w14:paraId="5D15C694" w14:textId="77777777" w:rsidR="00CD499A" w:rsidRPr="00C81439" w:rsidRDefault="00CD499A" w:rsidP="00651F36">
            <w:pPr>
              <w:jc w:val="center"/>
              <w:rPr>
                <w:rFonts w:eastAsia="Calibri" w:cstheme="minorHAnsi"/>
                <w:color w:val="000000" w:themeColor="text1"/>
                <w:sz w:val="16"/>
                <w:szCs w:val="16"/>
              </w:rPr>
            </w:pPr>
            <w:r w:rsidRPr="00C81439">
              <w:rPr>
                <w:rFonts w:cstheme="minorHAnsi"/>
                <w:sz w:val="16"/>
                <w:szCs w:val="16"/>
              </w:rPr>
              <w:t>IRF</w:t>
            </w:r>
          </w:p>
        </w:tc>
        <w:tc>
          <w:tcPr>
            <w:tcW w:w="3690" w:type="dxa"/>
          </w:tcPr>
          <w:p w14:paraId="277007D0" w14:textId="77777777" w:rsidR="00CD499A" w:rsidRPr="00C81439" w:rsidRDefault="00CD499A" w:rsidP="00651F36">
            <w:pPr>
              <w:rPr>
                <w:rFonts w:eastAsia="Calibri" w:cstheme="minorHAnsi"/>
                <w:color w:val="0B212C"/>
                <w:sz w:val="16"/>
                <w:szCs w:val="16"/>
              </w:rPr>
            </w:pPr>
            <w:r w:rsidRPr="00C81439">
              <w:rPr>
                <w:rFonts w:cstheme="minorHAnsi"/>
                <w:sz w:val="16"/>
                <w:szCs w:val="16"/>
              </w:rPr>
              <w:t xml:space="preserve">Integrated Results Framework </w:t>
            </w:r>
          </w:p>
        </w:tc>
      </w:tr>
      <w:tr w:rsidR="00CD499A" w:rsidRPr="00C81439" w14:paraId="32199DE8" w14:textId="77777777" w:rsidTr="007367F4">
        <w:trPr>
          <w:trHeight w:val="300"/>
        </w:trPr>
        <w:tc>
          <w:tcPr>
            <w:tcW w:w="890" w:type="dxa"/>
          </w:tcPr>
          <w:p w14:paraId="678B5601"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ktoe</w:t>
            </w:r>
          </w:p>
        </w:tc>
        <w:tc>
          <w:tcPr>
            <w:tcW w:w="3690" w:type="dxa"/>
          </w:tcPr>
          <w:p w14:paraId="676F40E6" w14:textId="77777777" w:rsidR="00CD499A" w:rsidRPr="00C81439" w:rsidRDefault="00CD499A" w:rsidP="00651F36">
            <w:pPr>
              <w:rPr>
                <w:rFonts w:eastAsia="Calibri" w:cstheme="minorHAnsi"/>
                <w:color w:val="000000" w:themeColor="text1"/>
                <w:sz w:val="16"/>
                <w:szCs w:val="16"/>
              </w:rPr>
            </w:pPr>
            <w:r w:rsidRPr="00C81439">
              <w:rPr>
                <w:rFonts w:cstheme="minorHAnsi"/>
                <w:sz w:val="16"/>
                <w:szCs w:val="16"/>
              </w:rPr>
              <w:t>ton of oil equivalent</w:t>
            </w:r>
          </w:p>
        </w:tc>
      </w:tr>
      <w:tr w:rsidR="00CD499A" w:rsidRPr="00C81439" w14:paraId="034B4C70" w14:textId="77777777" w:rsidTr="007367F4">
        <w:trPr>
          <w:trHeight w:val="300"/>
        </w:trPr>
        <w:tc>
          <w:tcPr>
            <w:tcW w:w="890" w:type="dxa"/>
          </w:tcPr>
          <w:p w14:paraId="1BCBABC5" w14:textId="77777777" w:rsidR="00CD499A" w:rsidRPr="00C81439" w:rsidRDefault="00CD499A" w:rsidP="00651F36">
            <w:pPr>
              <w:jc w:val="center"/>
              <w:rPr>
                <w:rFonts w:eastAsia="Calibri" w:cstheme="minorHAnsi"/>
                <w:color w:val="000000" w:themeColor="text1"/>
                <w:sz w:val="16"/>
                <w:szCs w:val="16"/>
              </w:rPr>
            </w:pPr>
            <w:r w:rsidRPr="00C81439">
              <w:rPr>
                <w:rFonts w:cstheme="minorHAnsi"/>
                <w:color w:val="000000" w:themeColor="text1"/>
                <w:sz w:val="16"/>
                <w:szCs w:val="16"/>
              </w:rPr>
              <w:t>LCPs</w:t>
            </w:r>
          </w:p>
        </w:tc>
        <w:tc>
          <w:tcPr>
            <w:tcW w:w="3690" w:type="dxa"/>
          </w:tcPr>
          <w:p w14:paraId="6F8959EA" w14:textId="77777777" w:rsidR="00CD499A" w:rsidRPr="00C81439" w:rsidRDefault="00CD499A" w:rsidP="00651F36">
            <w:pPr>
              <w:rPr>
                <w:rFonts w:eastAsia="Calibri" w:cstheme="minorHAnsi"/>
                <w:sz w:val="16"/>
                <w:szCs w:val="16"/>
              </w:rPr>
            </w:pPr>
            <w:r w:rsidRPr="00C81439">
              <w:rPr>
                <w:rFonts w:cstheme="minorHAnsi"/>
                <w:color w:val="000000" w:themeColor="text1"/>
                <w:sz w:val="16"/>
                <w:szCs w:val="16"/>
              </w:rPr>
              <w:t xml:space="preserve">low-carbon pathways </w:t>
            </w:r>
          </w:p>
        </w:tc>
      </w:tr>
      <w:tr w:rsidR="00CD499A" w:rsidRPr="00C81439" w14:paraId="14BD25E0" w14:textId="77777777" w:rsidTr="007367F4">
        <w:trPr>
          <w:trHeight w:val="300"/>
        </w:trPr>
        <w:tc>
          <w:tcPr>
            <w:tcW w:w="890" w:type="dxa"/>
          </w:tcPr>
          <w:p w14:paraId="7AC023D9" w14:textId="77777777" w:rsidR="00CD499A" w:rsidRPr="00C81439" w:rsidRDefault="00CD499A" w:rsidP="00651F36">
            <w:pPr>
              <w:jc w:val="center"/>
              <w:rPr>
                <w:rFonts w:eastAsia="Calibri" w:cstheme="minorHAnsi"/>
                <w:color w:val="000000" w:themeColor="text1"/>
                <w:sz w:val="16"/>
                <w:szCs w:val="16"/>
              </w:rPr>
            </w:pPr>
            <w:r w:rsidRPr="00C81439">
              <w:rPr>
                <w:rFonts w:cstheme="minorHAnsi"/>
                <w:sz w:val="16"/>
                <w:szCs w:val="16"/>
              </w:rPr>
              <w:t>M&amp;R</w:t>
            </w:r>
          </w:p>
        </w:tc>
        <w:tc>
          <w:tcPr>
            <w:tcW w:w="3690" w:type="dxa"/>
          </w:tcPr>
          <w:p w14:paraId="382C40C2" w14:textId="77777777" w:rsidR="00CD499A" w:rsidRPr="00C81439" w:rsidRDefault="00CD499A" w:rsidP="00651F36">
            <w:pPr>
              <w:rPr>
                <w:rFonts w:eastAsia="Calibri" w:cstheme="minorHAnsi"/>
                <w:color w:val="000000" w:themeColor="text1"/>
                <w:sz w:val="16"/>
                <w:szCs w:val="16"/>
              </w:rPr>
            </w:pPr>
            <w:r w:rsidRPr="00C81439">
              <w:rPr>
                <w:rFonts w:cstheme="minorHAnsi"/>
                <w:sz w:val="16"/>
                <w:szCs w:val="16"/>
              </w:rPr>
              <w:t>Monitoring and Reporting</w:t>
            </w:r>
          </w:p>
        </w:tc>
      </w:tr>
      <w:tr w:rsidR="00CD499A" w:rsidRPr="00C81439" w14:paraId="3F9E6FBF" w14:textId="77777777" w:rsidTr="007367F4">
        <w:trPr>
          <w:trHeight w:val="300"/>
        </w:trPr>
        <w:tc>
          <w:tcPr>
            <w:tcW w:w="890" w:type="dxa"/>
          </w:tcPr>
          <w:p w14:paraId="3762BC38"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MDBs</w:t>
            </w:r>
          </w:p>
        </w:tc>
        <w:tc>
          <w:tcPr>
            <w:tcW w:w="3690" w:type="dxa"/>
          </w:tcPr>
          <w:p w14:paraId="61DB92DF" w14:textId="77777777" w:rsidR="00CD499A" w:rsidRPr="00C81439" w:rsidRDefault="00CD499A" w:rsidP="00651F36">
            <w:pPr>
              <w:rPr>
                <w:rFonts w:eastAsia="Calibri" w:cstheme="minorHAnsi"/>
                <w:sz w:val="16"/>
                <w:szCs w:val="16"/>
              </w:rPr>
            </w:pPr>
            <w:r w:rsidRPr="00C81439">
              <w:rPr>
                <w:rFonts w:eastAsia="Calibri" w:cstheme="minorHAnsi"/>
                <w:sz w:val="16"/>
                <w:szCs w:val="16"/>
              </w:rPr>
              <w:t>Multi Development Banks</w:t>
            </w:r>
          </w:p>
        </w:tc>
      </w:tr>
      <w:tr w:rsidR="00CD499A" w:rsidRPr="00C81439" w14:paraId="1F6A9EE0" w14:textId="77777777" w:rsidTr="007367F4">
        <w:trPr>
          <w:trHeight w:val="300"/>
        </w:trPr>
        <w:tc>
          <w:tcPr>
            <w:tcW w:w="890" w:type="dxa"/>
          </w:tcPr>
          <w:p w14:paraId="3C31BA18" w14:textId="77777777" w:rsidR="00CD499A" w:rsidRPr="00C81439" w:rsidRDefault="00CD499A" w:rsidP="00651F36">
            <w:pPr>
              <w:jc w:val="center"/>
              <w:rPr>
                <w:rFonts w:eastAsia="Calibri" w:cstheme="minorHAnsi"/>
                <w:color w:val="000000" w:themeColor="text1"/>
                <w:sz w:val="16"/>
                <w:szCs w:val="16"/>
              </w:rPr>
            </w:pPr>
            <w:r w:rsidRPr="00C81439">
              <w:rPr>
                <w:rFonts w:cstheme="minorHAnsi"/>
                <w:sz w:val="16"/>
                <w:szCs w:val="16"/>
              </w:rPr>
              <w:t>MIGA</w:t>
            </w:r>
          </w:p>
        </w:tc>
        <w:tc>
          <w:tcPr>
            <w:tcW w:w="3690" w:type="dxa"/>
          </w:tcPr>
          <w:p w14:paraId="5ABCFE0A" w14:textId="77777777" w:rsidR="00CD499A" w:rsidRPr="00C81439" w:rsidRDefault="00CD499A" w:rsidP="00651F36">
            <w:pPr>
              <w:rPr>
                <w:rFonts w:eastAsia="Calibri" w:cstheme="minorHAnsi"/>
                <w:sz w:val="16"/>
                <w:szCs w:val="16"/>
              </w:rPr>
            </w:pPr>
            <w:r w:rsidRPr="00C81439">
              <w:rPr>
                <w:rFonts w:cstheme="minorHAnsi"/>
                <w:sz w:val="16"/>
                <w:szCs w:val="16"/>
              </w:rPr>
              <w:t xml:space="preserve">Multilateral Investment Guarantee Agency </w:t>
            </w:r>
          </w:p>
        </w:tc>
      </w:tr>
      <w:tr w:rsidR="00CD499A" w:rsidRPr="00C81439" w14:paraId="42315F57" w14:textId="77777777" w:rsidTr="007367F4">
        <w:trPr>
          <w:trHeight w:val="300"/>
        </w:trPr>
        <w:tc>
          <w:tcPr>
            <w:tcW w:w="890" w:type="dxa"/>
          </w:tcPr>
          <w:p w14:paraId="585DB7AA"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MoEN</w:t>
            </w:r>
          </w:p>
        </w:tc>
        <w:tc>
          <w:tcPr>
            <w:tcW w:w="3690" w:type="dxa"/>
          </w:tcPr>
          <w:p w14:paraId="1E5BC8C1" w14:textId="77777777" w:rsidR="00CD499A" w:rsidRPr="00C81439" w:rsidRDefault="00CD499A" w:rsidP="00651F36">
            <w:pPr>
              <w:rPr>
                <w:rFonts w:eastAsia="Calibri" w:cstheme="minorHAnsi"/>
                <w:sz w:val="16"/>
                <w:szCs w:val="16"/>
              </w:rPr>
            </w:pPr>
            <w:r w:rsidRPr="00C81439">
              <w:rPr>
                <w:rFonts w:eastAsia="Calibri" w:cstheme="minorHAnsi"/>
                <w:color w:val="000000" w:themeColor="text1"/>
                <w:sz w:val="16"/>
                <w:szCs w:val="16"/>
              </w:rPr>
              <w:t>Ministry of Energy and National Resources</w:t>
            </w:r>
          </w:p>
        </w:tc>
      </w:tr>
      <w:tr w:rsidR="00CD499A" w:rsidRPr="00C81439" w14:paraId="4C05E9FA" w14:textId="77777777" w:rsidTr="007367F4">
        <w:trPr>
          <w:trHeight w:val="300"/>
        </w:trPr>
        <w:tc>
          <w:tcPr>
            <w:tcW w:w="890" w:type="dxa"/>
          </w:tcPr>
          <w:p w14:paraId="7B237487" w14:textId="77777777" w:rsidR="00CD499A" w:rsidRPr="00C81439" w:rsidRDefault="00CD499A" w:rsidP="00651F36">
            <w:pPr>
              <w:jc w:val="center"/>
              <w:rPr>
                <w:rFonts w:eastAsia="Calibri" w:cstheme="minorHAnsi"/>
                <w:b/>
                <w:bCs/>
                <w:sz w:val="16"/>
                <w:szCs w:val="16"/>
              </w:rPr>
            </w:pPr>
            <w:r w:rsidRPr="00C81439">
              <w:rPr>
                <w:rFonts w:eastAsia="Calibri" w:cstheme="minorHAnsi"/>
                <w:color w:val="000000" w:themeColor="text1"/>
                <w:sz w:val="16"/>
                <w:szCs w:val="16"/>
              </w:rPr>
              <w:t>MoEUCC</w:t>
            </w:r>
          </w:p>
        </w:tc>
        <w:tc>
          <w:tcPr>
            <w:tcW w:w="3690" w:type="dxa"/>
          </w:tcPr>
          <w:p w14:paraId="1A3A5CC6" w14:textId="77777777" w:rsidR="00CD499A" w:rsidRPr="00C81439" w:rsidRDefault="00CD499A" w:rsidP="00651F36">
            <w:pPr>
              <w:rPr>
                <w:rFonts w:eastAsia="Calibri" w:cstheme="minorHAnsi"/>
                <w:sz w:val="16"/>
                <w:szCs w:val="16"/>
              </w:rPr>
            </w:pPr>
            <w:r w:rsidRPr="00C81439">
              <w:rPr>
                <w:rFonts w:eastAsia="Calibri" w:cstheme="minorHAnsi"/>
                <w:sz w:val="16"/>
                <w:szCs w:val="16"/>
              </w:rPr>
              <w:t>Ministry of Environment and Climate Change</w:t>
            </w:r>
          </w:p>
        </w:tc>
      </w:tr>
      <w:tr w:rsidR="00CD499A" w:rsidRPr="00C81439" w14:paraId="218B475D" w14:textId="77777777" w:rsidTr="007367F4">
        <w:trPr>
          <w:trHeight w:val="300"/>
        </w:trPr>
        <w:tc>
          <w:tcPr>
            <w:tcW w:w="890" w:type="dxa"/>
          </w:tcPr>
          <w:p w14:paraId="19EDF1B1"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MoTF</w:t>
            </w:r>
          </w:p>
        </w:tc>
        <w:tc>
          <w:tcPr>
            <w:tcW w:w="3690" w:type="dxa"/>
          </w:tcPr>
          <w:p w14:paraId="585DCCEB" w14:textId="77777777" w:rsidR="00CD499A" w:rsidRPr="00C81439" w:rsidRDefault="00CD499A" w:rsidP="00651F36">
            <w:pPr>
              <w:rPr>
                <w:rFonts w:eastAsia="Calibri" w:cstheme="minorHAnsi"/>
                <w:sz w:val="16"/>
                <w:szCs w:val="16"/>
              </w:rPr>
            </w:pPr>
            <w:r w:rsidRPr="00C81439">
              <w:rPr>
                <w:rFonts w:eastAsia="Calibri" w:cstheme="minorHAnsi"/>
                <w:sz w:val="16"/>
                <w:szCs w:val="16"/>
              </w:rPr>
              <w:t>Ministry of Treasury and Finance</w:t>
            </w:r>
          </w:p>
        </w:tc>
      </w:tr>
      <w:tr w:rsidR="00CD499A" w:rsidRPr="00C81439" w14:paraId="03C2A493" w14:textId="77777777" w:rsidTr="007367F4">
        <w:trPr>
          <w:trHeight w:val="300"/>
        </w:trPr>
        <w:tc>
          <w:tcPr>
            <w:tcW w:w="890" w:type="dxa"/>
          </w:tcPr>
          <w:p w14:paraId="773D7527" w14:textId="77777777" w:rsidR="00CD499A" w:rsidRPr="00C81439" w:rsidRDefault="00CD499A" w:rsidP="00651F36">
            <w:pPr>
              <w:jc w:val="center"/>
              <w:rPr>
                <w:rFonts w:eastAsia="Calibri" w:cstheme="minorHAnsi"/>
                <w:color w:val="000000" w:themeColor="text1"/>
                <w:sz w:val="16"/>
                <w:szCs w:val="16"/>
              </w:rPr>
            </w:pPr>
            <w:r w:rsidRPr="00C81439">
              <w:rPr>
                <w:rFonts w:eastAsia="Times New Roman" w:cstheme="minorHAnsi"/>
                <w:color w:val="000000" w:themeColor="text1"/>
                <w:sz w:val="16"/>
                <w:szCs w:val="16"/>
              </w:rPr>
              <w:t>MoTI</w:t>
            </w:r>
          </w:p>
        </w:tc>
        <w:tc>
          <w:tcPr>
            <w:tcW w:w="3690" w:type="dxa"/>
          </w:tcPr>
          <w:p w14:paraId="0BC4461E" w14:textId="77777777" w:rsidR="00CD499A" w:rsidRPr="00C81439" w:rsidRDefault="00CD499A" w:rsidP="00651F36">
            <w:pPr>
              <w:rPr>
                <w:rFonts w:eastAsia="Calibri" w:cstheme="minorHAnsi"/>
                <w:sz w:val="16"/>
                <w:szCs w:val="16"/>
              </w:rPr>
            </w:pPr>
            <w:r w:rsidRPr="00C81439">
              <w:rPr>
                <w:rFonts w:eastAsia="Times New Roman" w:cstheme="minorHAnsi"/>
                <w:color w:val="000000" w:themeColor="text1"/>
                <w:sz w:val="16"/>
                <w:szCs w:val="16"/>
              </w:rPr>
              <w:t>Ministery of Treasureary and Infrastructure</w:t>
            </w:r>
          </w:p>
        </w:tc>
      </w:tr>
      <w:tr w:rsidR="00CD499A" w:rsidRPr="00C81439" w14:paraId="5E16E8D4" w14:textId="77777777" w:rsidTr="007367F4">
        <w:trPr>
          <w:trHeight w:val="300"/>
        </w:trPr>
        <w:tc>
          <w:tcPr>
            <w:tcW w:w="890" w:type="dxa"/>
          </w:tcPr>
          <w:p w14:paraId="5D304D4E"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MoU</w:t>
            </w:r>
          </w:p>
        </w:tc>
        <w:tc>
          <w:tcPr>
            <w:tcW w:w="3690" w:type="dxa"/>
          </w:tcPr>
          <w:p w14:paraId="21128221" w14:textId="77777777" w:rsidR="00CD499A" w:rsidRPr="00C81439" w:rsidRDefault="00CD499A" w:rsidP="00651F36">
            <w:pPr>
              <w:rPr>
                <w:rFonts w:eastAsia="Calibri" w:cstheme="minorHAnsi"/>
                <w:color w:val="000000" w:themeColor="text1"/>
                <w:sz w:val="16"/>
                <w:szCs w:val="16"/>
              </w:rPr>
            </w:pPr>
            <w:r w:rsidRPr="00C81439">
              <w:rPr>
                <w:rFonts w:eastAsia="Calibri" w:cstheme="minorHAnsi"/>
                <w:sz w:val="16"/>
                <w:szCs w:val="16"/>
              </w:rPr>
              <w:t>Memorandum of Understanding</w:t>
            </w:r>
          </w:p>
        </w:tc>
      </w:tr>
      <w:tr w:rsidR="00CD499A" w:rsidRPr="00C81439" w14:paraId="6A8CBA45" w14:textId="77777777" w:rsidTr="007367F4">
        <w:trPr>
          <w:trHeight w:val="300"/>
        </w:trPr>
        <w:tc>
          <w:tcPr>
            <w:tcW w:w="890" w:type="dxa"/>
          </w:tcPr>
          <w:p w14:paraId="2FEEF9BD"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MPA</w:t>
            </w:r>
          </w:p>
        </w:tc>
        <w:tc>
          <w:tcPr>
            <w:tcW w:w="3690" w:type="dxa"/>
          </w:tcPr>
          <w:p w14:paraId="7DEF90A3" w14:textId="77777777" w:rsidR="00CD499A" w:rsidRPr="00C81439" w:rsidRDefault="00CD499A" w:rsidP="00651F36">
            <w:pPr>
              <w:rPr>
                <w:rFonts w:eastAsia="Calibri" w:cstheme="minorHAnsi"/>
                <w:color w:val="000000" w:themeColor="text1"/>
                <w:sz w:val="16"/>
                <w:szCs w:val="16"/>
              </w:rPr>
            </w:pPr>
            <w:r w:rsidRPr="00C81439">
              <w:rPr>
                <w:rFonts w:eastAsia="Times New Roman" w:cstheme="minorHAnsi"/>
                <w:color w:val="000000" w:themeColor="text1"/>
                <w:sz w:val="16"/>
                <w:szCs w:val="16"/>
              </w:rPr>
              <w:t xml:space="preserve">multiphase programmatic approach </w:t>
            </w:r>
          </w:p>
        </w:tc>
      </w:tr>
      <w:tr w:rsidR="00CD499A" w:rsidRPr="00C81439" w14:paraId="65DAC810" w14:textId="77777777" w:rsidTr="007367F4">
        <w:trPr>
          <w:trHeight w:val="300"/>
        </w:trPr>
        <w:tc>
          <w:tcPr>
            <w:tcW w:w="890" w:type="dxa"/>
          </w:tcPr>
          <w:p w14:paraId="33D2C90D"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MSME</w:t>
            </w:r>
          </w:p>
        </w:tc>
        <w:tc>
          <w:tcPr>
            <w:tcW w:w="3690" w:type="dxa"/>
          </w:tcPr>
          <w:p w14:paraId="3877C559" w14:textId="77777777" w:rsidR="00CD499A" w:rsidRPr="00C81439" w:rsidRDefault="00CD499A" w:rsidP="00651F36">
            <w:pPr>
              <w:rPr>
                <w:rFonts w:eastAsia="Calibri" w:cstheme="minorHAnsi"/>
                <w:sz w:val="16"/>
                <w:szCs w:val="16"/>
              </w:rPr>
            </w:pPr>
            <w:r w:rsidRPr="00C81439">
              <w:rPr>
                <w:rFonts w:eastAsia="Calibri" w:cstheme="minorHAnsi"/>
                <w:sz w:val="16"/>
                <w:szCs w:val="16"/>
              </w:rPr>
              <w:t>Micro, Small, and Medium-sized</w:t>
            </w:r>
          </w:p>
        </w:tc>
      </w:tr>
      <w:tr w:rsidR="00CD499A" w:rsidRPr="00C81439" w14:paraId="310E341E" w14:textId="77777777" w:rsidTr="007367F4">
        <w:trPr>
          <w:trHeight w:val="300"/>
        </w:trPr>
        <w:tc>
          <w:tcPr>
            <w:tcW w:w="890" w:type="dxa"/>
          </w:tcPr>
          <w:p w14:paraId="1539FAC3"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MTEP</w:t>
            </w:r>
          </w:p>
        </w:tc>
        <w:tc>
          <w:tcPr>
            <w:tcW w:w="3690" w:type="dxa"/>
          </w:tcPr>
          <w:p w14:paraId="6C55C25C" w14:textId="77777777" w:rsidR="00CD499A" w:rsidRPr="00C81439" w:rsidRDefault="00CD499A" w:rsidP="00651F36">
            <w:pPr>
              <w:rPr>
                <w:rFonts w:eastAsia="Calibri" w:cstheme="minorHAnsi"/>
                <w:sz w:val="16"/>
                <w:szCs w:val="16"/>
              </w:rPr>
            </w:pPr>
            <w:r w:rsidRPr="00C81439">
              <w:rPr>
                <w:rFonts w:cstheme="minorHAnsi"/>
                <w:sz w:val="16"/>
                <w:szCs w:val="16"/>
              </w:rPr>
              <w:t>million-tones equivalent of petroleum</w:t>
            </w:r>
          </w:p>
        </w:tc>
      </w:tr>
      <w:tr w:rsidR="00CD499A" w:rsidRPr="00C81439" w14:paraId="0274B3C2" w14:textId="77777777" w:rsidTr="007367F4">
        <w:trPr>
          <w:trHeight w:val="300"/>
        </w:trPr>
        <w:tc>
          <w:tcPr>
            <w:tcW w:w="890" w:type="dxa"/>
          </w:tcPr>
          <w:p w14:paraId="08F21D92" w14:textId="77777777" w:rsidR="00CD499A" w:rsidRPr="00C81439" w:rsidRDefault="00CD499A" w:rsidP="00651F36">
            <w:pPr>
              <w:jc w:val="center"/>
              <w:rPr>
                <w:rFonts w:eastAsia="Calibri" w:cstheme="minorHAnsi"/>
                <w:sz w:val="16"/>
                <w:szCs w:val="16"/>
              </w:rPr>
            </w:pPr>
            <w:r w:rsidRPr="00C81439">
              <w:rPr>
                <w:rFonts w:eastAsia="Times New Roman" w:cstheme="minorHAnsi"/>
                <w:color w:val="000000" w:themeColor="text1"/>
                <w:sz w:val="16"/>
                <w:szCs w:val="16"/>
              </w:rPr>
              <w:t>MÜSİAD</w:t>
            </w:r>
          </w:p>
        </w:tc>
        <w:tc>
          <w:tcPr>
            <w:tcW w:w="3690" w:type="dxa"/>
          </w:tcPr>
          <w:p w14:paraId="4B652622" w14:textId="77777777" w:rsidR="00CD499A" w:rsidRPr="00C81439" w:rsidRDefault="00CD499A" w:rsidP="00651F36">
            <w:pPr>
              <w:rPr>
                <w:rFonts w:eastAsia="Calibri" w:cstheme="minorHAnsi"/>
                <w:sz w:val="16"/>
                <w:szCs w:val="16"/>
              </w:rPr>
            </w:pPr>
            <w:r w:rsidRPr="00C81439">
              <w:rPr>
                <w:rFonts w:eastAsia="Times New Roman" w:cstheme="minorHAnsi"/>
                <w:color w:val="000000" w:themeColor="text1"/>
                <w:sz w:val="16"/>
                <w:szCs w:val="16"/>
              </w:rPr>
              <w:t>Independent Industrialists and Businessmen's Association</w:t>
            </w:r>
          </w:p>
        </w:tc>
      </w:tr>
      <w:tr w:rsidR="00CD499A" w:rsidRPr="00C81439" w14:paraId="298259E7" w14:textId="77777777" w:rsidTr="007367F4">
        <w:trPr>
          <w:trHeight w:val="300"/>
        </w:trPr>
        <w:tc>
          <w:tcPr>
            <w:tcW w:w="890" w:type="dxa"/>
          </w:tcPr>
          <w:p w14:paraId="5220BEF1" w14:textId="77777777" w:rsidR="00CD499A" w:rsidRPr="00C81439" w:rsidRDefault="00CD499A" w:rsidP="00651F36">
            <w:pPr>
              <w:jc w:val="center"/>
              <w:rPr>
                <w:rFonts w:eastAsia="Calibri" w:cstheme="minorHAnsi"/>
                <w:color w:val="000000" w:themeColor="text1"/>
                <w:sz w:val="16"/>
                <w:szCs w:val="16"/>
              </w:rPr>
            </w:pPr>
            <w:r w:rsidRPr="00C81439">
              <w:rPr>
                <w:rFonts w:eastAsia="Calibri" w:cstheme="minorHAnsi"/>
                <w:color w:val="000000" w:themeColor="text1"/>
                <w:sz w:val="16"/>
                <w:szCs w:val="16"/>
              </w:rPr>
              <w:t>MWh</w:t>
            </w:r>
          </w:p>
        </w:tc>
        <w:tc>
          <w:tcPr>
            <w:tcW w:w="3690" w:type="dxa"/>
          </w:tcPr>
          <w:p w14:paraId="4D49F680" w14:textId="77777777" w:rsidR="00CD499A" w:rsidRPr="00C81439" w:rsidRDefault="00CD499A" w:rsidP="00651F36">
            <w:pPr>
              <w:rPr>
                <w:rFonts w:eastAsia="Calibri" w:cstheme="minorHAnsi"/>
                <w:color w:val="000000" w:themeColor="text1"/>
                <w:sz w:val="16"/>
                <w:szCs w:val="16"/>
              </w:rPr>
            </w:pPr>
            <w:r w:rsidRPr="00C81439">
              <w:rPr>
                <w:rFonts w:eastAsia="Calibri" w:cstheme="minorHAnsi"/>
                <w:color w:val="000000" w:themeColor="text1"/>
                <w:sz w:val="16"/>
                <w:szCs w:val="16"/>
              </w:rPr>
              <w:t>Megawatt‐hour</w:t>
            </w:r>
          </w:p>
        </w:tc>
      </w:tr>
      <w:tr w:rsidR="00CD499A" w:rsidRPr="00485A30" w14:paraId="4FE631A4" w14:textId="77777777" w:rsidTr="007367F4">
        <w:trPr>
          <w:trHeight w:val="300"/>
        </w:trPr>
        <w:tc>
          <w:tcPr>
            <w:tcW w:w="890" w:type="dxa"/>
            <w:tcMar>
              <w:left w:w="108" w:type="dxa"/>
              <w:right w:w="108" w:type="dxa"/>
            </w:tcMar>
          </w:tcPr>
          <w:p w14:paraId="08BFBEC0" w14:textId="77777777" w:rsidR="00CD499A" w:rsidRPr="00602E1C" w:rsidRDefault="00CD499A" w:rsidP="00230E94">
            <w:pPr>
              <w:jc w:val="center"/>
              <w:rPr>
                <w:rFonts w:eastAsia="Calibri" w:cstheme="minorHAnsi"/>
                <w:color w:val="000000" w:themeColor="text1"/>
                <w:sz w:val="16"/>
                <w:szCs w:val="16"/>
              </w:rPr>
            </w:pPr>
            <w:r w:rsidRPr="00602E1C">
              <w:rPr>
                <w:rFonts w:eastAsia="Calibri" w:cstheme="minorHAnsi"/>
                <w:color w:val="000000" w:themeColor="text1"/>
                <w:sz w:val="16"/>
                <w:szCs w:val="16"/>
              </w:rPr>
              <w:t>NDC</w:t>
            </w:r>
          </w:p>
        </w:tc>
        <w:tc>
          <w:tcPr>
            <w:tcW w:w="3690" w:type="dxa"/>
            <w:tcMar>
              <w:left w:w="108" w:type="dxa"/>
              <w:right w:w="108" w:type="dxa"/>
            </w:tcMar>
          </w:tcPr>
          <w:p w14:paraId="3F057855" w14:textId="77777777" w:rsidR="00CD499A" w:rsidRPr="00602E1C" w:rsidRDefault="00CD499A" w:rsidP="00230E94">
            <w:pPr>
              <w:rPr>
                <w:rFonts w:eastAsia="Calibri" w:cstheme="minorHAnsi"/>
                <w:sz w:val="16"/>
                <w:szCs w:val="16"/>
              </w:rPr>
            </w:pPr>
            <w:r w:rsidRPr="00602E1C">
              <w:rPr>
                <w:rFonts w:eastAsia="Calibri" w:cstheme="minorHAnsi"/>
                <w:color w:val="0B212C"/>
                <w:sz w:val="16"/>
                <w:szCs w:val="16"/>
              </w:rPr>
              <w:t>National Determined Contribution</w:t>
            </w:r>
          </w:p>
        </w:tc>
      </w:tr>
      <w:tr w:rsidR="00CD499A" w:rsidRPr="00485A30" w14:paraId="5C741D1A" w14:textId="77777777" w:rsidTr="007367F4">
        <w:trPr>
          <w:trHeight w:val="300"/>
        </w:trPr>
        <w:tc>
          <w:tcPr>
            <w:tcW w:w="890" w:type="dxa"/>
            <w:tcMar>
              <w:left w:w="108" w:type="dxa"/>
              <w:right w:w="108" w:type="dxa"/>
            </w:tcMar>
          </w:tcPr>
          <w:p w14:paraId="4D0B3579" w14:textId="77777777" w:rsidR="00CD499A" w:rsidRPr="00602E1C" w:rsidRDefault="00CD499A" w:rsidP="00230E94">
            <w:pPr>
              <w:jc w:val="center"/>
              <w:rPr>
                <w:rFonts w:eastAsia="Calibri" w:cstheme="minorHAnsi"/>
                <w:color w:val="000000" w:themeColor="text1"/>
                <w:sz w:val="16"/>
                <w:szCs w:val="16"/>
              </w:rPr>
            </w:pPr>
            <w:r w:rsidRPr="00602E1C">
              <w:rPr>
                <w:rFonts w:eastAsia="Calibri" w:cstheme="minorHAnsi"/>
                <w:color w:val="000000" w:themeColor="text1"/>
                <w:sz w:val="16"/>
                <w:szCs w:val="16"/>
              </w:rPr>
              <w:t>NDP</w:t>
            </w:r>
          </w:p>
        </w:tc>
        <w:tc>
          <w:tcPr>
            <w:tcW w:w="3690" w:type="dxa"/>
            <w:tcMar>
              <w:left w:w="108" w:type="dxa"/>
              <w:right w:w="108" w:type="dxa"/>
            </w:tcMar>
          </w:tcPr>
          <w:p w14:paraId="420F3514" w14:textId="77777777" w:rsidR="00CD499A" w:rsidRPr="00602E1C" w:rsidRDefault="00CD499A" w:rsidP="00230E94">
            <w:pPr>
              <w:rPr>
                <w:rFonts w:eastAsia="Calibri" w:cstheme="minorHAnsi"/>
                <w:sz w:val="16"/>
                <w:szCs w:val="16"/>
              </w:rPr>
            </w:pPr>
            <w:r w:rsidRPr="00602E1C">
              <w:rPr>
                <w:rFonts w:eastAsia="Calibri" w:cstheme="minorHAnsi"/>
                <w:color w:val="0B212C"/>
                <w:sz w:val="16"/>
                <w:szCs w:val="16"/>
              </w:rPr>
              <w:t>National Development Plan</w:t>
            </w:r>
          </w:p>
        </w:tc>
      </w:tr>
      <w:tr w:rsidR="00CD499A" w:rsidRPr="00485A30" w14:paraId="25045E51" w14:textId="77777777" w:rsidTr="007367F4">
        <w:trPr>
          <w:trHeight w:val="300"/>
        </w:trPr>
        <w:tc>
          <w:tcPr>
            <w:tcW w:w="890" w:type="dxa"/>
            <w:tcMar>
              <w:left w:w="108" w:type="dxa"/>
              <w:right w:w="108" w:type="dxa"/>
            </w:tcMar>
          </w:tcPr>
          <w:p w14:paraId="6D8D4A4E" w14:textId="77777777" w:rsidR="00CD499A" w:rsidRPr="00602E1C" w:rsidRDefault="00CD499A" w:rsidP="00230E94">
            <w:pPr>
              <w:jc w:val="center"/>
              <w:rPr>
                <w:rFonts w:eastAsia="Calibri" w:cstheme="minorHAnsi"/>
                <w:color w:val="000000" w:themeColor="text1"/>
                <w:sz w:val="16"/>
                <w:szCs w:val="16"/>
              </w:rPr>
            </w:pPr>
            <w:r w:rsidRPr="00602E1C">
              <w:rPr>
                <w:rFonts w:eastAsia="Calibri" w:cstheme="minorHAnsi"/>
                <w:color w:val="000000" w:themeColor="text1"/>
                <w:sz w:val="16"/>
                <w:szCs w:val="16"/>
              </w:rPr>
              <w:lastRenderedPageBreak/>
              <w:t>NEEAP</w:t>
            </w:r>
          </w:p>
        </w:tc>
        <w:tc>
          <w:tcPr>
            <w:tcW w:w="3690" w:type="dxa"/>
            <w:tcMar>
              <w:left w:w="108" w:type="dxa"/>
              <w:right w:w="108" w:type="dxa"/>
            </w:tcMar>
          </w:tcPr>
          <w:p w14:paraId="606886B3" w14:textId="77777777" w:rsidR="00CD499A" w:rsidRPr="00602E1C" w:rsidRDefault="00CD499A" w:rsidP="00230E94">
            <w:pPr>
              <w:rPr>
                <w:rFonts w:eastAsia="Calibri" w:cstheme="minorHAnsi"/>
                <w:sz w:val="16"/>
                <w:szCs w:val="16"/>
              </w:rPr>
            </w:pPr>
            <w:r w:rsidRPr="00602E1C">
              <w:rPr>
                <w:rFonts w:cstheme="minorHAnsi"/>
                <w:sz w:val="16"/>
                <w:szCs w:val="16"/>
              </w:rPr>
              <w:t>National Energy Efficiency Action Plan</w:t>
            </w:r>
          </w:p>
        </w:tc>
      </w:tr>
      <w:tr w:rsidR="00CD499A" w:rsidRPr="00485A30" w14:paraId="5AF0DB43" w14:textId="77777777" w:rsidTr="007367F4">
        <w:trPr>
          <w:trHeight w:val="300"/>
        </w:trPr>
        <w:tc>
          <w:tcPr>
            <w:tcW w:w="890" w:type="dxa"/>
            <w:tcMar>
              <w:left w:w="108" w:type="dxa"/>
              <w:right w:w="108" w:type="dxa"/>
            </w:tcMar>
          </w:tcPr>
          <w:p w14:paraId="33A3025F" w14:textId="77777777" w:rsidR="00CD499A" w:rsidRPr="00602E1C" w:rsidRDefault="00CD499A" w:rsidP="00230E94">
            <w:pPr>
              <w:jc w:val="center"/>
              <w:rPr>
                <w:rFonts w:eastAsia="Calibri" w:cstheme="minorHAnsi"/>
                <w:color w:val="000000" w:themeColor="text1"/>
                <w:sz w:val="16"/>
                <w:szCs w:val="16"/>
              </w:rPr>
            </w:pPr>
            <w:r w:rsidRPr="00602E1C">
              <w:rPr>
                <w:rFonts w:eastAsia="Calibri" w:cstheme="minorHAnsi"/>
                <w:color w:val="000000" w:themeColor="text1"/>
                <w:sz w:val="16"/>
                <w:szCs w:val="16"/>
              </w:rPr>
              <w:t>NEP</w:t>
            </w:r>
          </w:p>
        </w:tc>
        <w:tc>
          <w:tcPr>
            <w:tcW w:w="3690" w:type="dxa"/>
            <w:tcMar>
              <w:left w:w="108" w:type="dxa"/>
              <w:right w:w="108" w:type="dxa"/>
            </w:tcMar>
          </w:tcPr>
          <w:p w14:paraId="0F9ED227" w14:textId="77777777" w:rsidR="00CD499A" w:rsidRPr="00602E1C" w:rsidRDefault="00CD499A" w:rsidP="00230E94">
            <w:pPr>
              <w:rPr>
                <w:rFonts w:eastAsia="Calibri" w:cstheme="minorHAnsi"/>
                <w:sz w:val="16"/>
                <w:szCs w:val="16"/>
              </w:rPr>
            </w:pPr>
            <w:r w:rsidRPr="00602E1C">
              <w:rPr>
                <w:rFonts w:cstheme="minorHAnsi"/>
                <w:sz w:val="16"/>
                <w:szCs w:val="16"/>
              </w:rPr>
              <w:t xml:space="preserve">National Energy Plan </w:t>
            </w:r>
          </w:p>
        </w:tc>
      </w:tr>
      <w:tr w:rsidR="00CD499A" w:rsidRPr="00485A30" w14:paraId="0E24CF09" w14:textId="77777777" w:rsidTr="007367F4">
        <w:trPr>
          <w:trHeight w:val="300"/>
        </w:trPr>
        <w:tc>
          <w:tcPr>
            <w:tcW w:w="890" w:type="dxa"/>
            <w:tcMar>
              <w:left w:w="108" w:type="dxa"/>
              <w:right w:w="108" w:type="dxa"/>
            </w:tcMar>
          </w:tcPr>
          <w:p w14:paraId="651882E9" w14:textId="77777777" w:rsidR="00CD499A" w:rsidRPr="00602E1C" w:rsidRDefault="00CD499A" w:rsidP="00230E94">
            <w:pPr>
              <w:jc w:val="center"/>
              <w:rPr>
                <w:rFonts w:eastAsia="Calibri" w:cstheme="minorHAnsi"/>
                <w:color w:val="000000" w:themeColor="text1"/>
                <w:sz w:val="16"/>
                <w:szCs w:val="16"/>
              </w:rPr>
            </w:pPr>
            <w:r w:rsidRPr="00602E1C">
              <w:rPr>
                <w:rFonts w:eastAsia="Calibri" w:cstheme="minorHAnsi"/>
                <w:color w:val="000000" w:themeColor="text1"/>
                <w:sz w:val="16"/>
                <w:szCs w:val="16"/>
              </w:rPr>
              <w:t>NGOs</w:t>
            </w:r>
          </w:p>
        </w:tc>
        <w:tc>
          <w:tcPr>
            <w:tcW w:w="3690" w:type="dxa"/>
            <w:tcMar>
              <w:left w:w="108" w:type="dxa"/>
              <w:right w:w="108" w:type="dxa"/>
            </w:tcMar>
          </w:tcPr>
          <w:p w14:paraId="78632239" w14:textId="77777777" w:rsidR="00CD499A" w:rsidRPr="00602E1C" w:rsidRDefault="00CD499A" w:rsidP="00230E94">
            <w:pPr>
              <w:rPr>
                <w:rFonts w:eastAsia="Calibri" w:cstheme="minorHAnsi"/>
                <w:sz w:val="16"/>
                <w:szCs w:val="16"/>
              </w:rPr>
            </w:pPr>
            <w:r w:rsidRPr="00602E1C">
              <w:rPr>
                <w:rFonts w:eastAsia="Calibri" w:cstheme="minorHAnsi"/>
                <w:sz w:val="16"/>
                <w:szCs w:val="16"/>
              </w:rPr>
              <w:t>Non-governmental Organizations</w:t>
            </w:r>
          </w:p>
        </w:tc>
      </w:tr>
      <w:tr w:rsidR="00CD499A" w:rsidRPr="00485A30" w14:paraId="3301AAD6" w14:textId="77777777" w:rsidTr="007367F4">
        <w:trPr>
          <w:trHeight w:val="300"/>
        </w:trPr>
        <w:tc>
          <w:tcPr>
            <w:tcW w:w="890" w:type="dxa"/>
            <w:tcMar>
              <w:left w:w="108" w:type="dxa"/>
              <w:right w:w="108" w:type="dxa"/>
            </w:tcMar>
          </w:tcPr>
          <w:p w14:paraId="35273628" w14:textId="77777777" w:rsidR="00CD499A" w:rsidRPr="00602E1C" w:rsidRDefault="00CD499A" w:rsidP="00230E94">
            <w:pPr>
              <w:jc w:val="center"/>
              <w:rPr>
                <w:rFonts w:eastAsia="Calibri" w:cstheme="minorHAnsi"/>
                <w:color w:val="000000" w:themeColor="text1"/>
                <w:sz w:val="16"/>
                <w:szCs w:val="16"/>
              </w:rPr>
            </w:pPr>
            <w:r w:rsidRPr="00602E1C">
              <w:rPr>
                <w:rFonts w:cstheme="minorHAnsi"/>
                <w:color w:val="262626" w:themeColor="text1" w:themeTint="D9"/>
                <w:sz w:val="16"/>
                <w:szCs w:val="16"/>
                <w:lang w:val="en-GB"/>
              </w:rPr>
              <w:t>NØW</w:t>
            </w:r>
          </w:p>
        </w:tc>
        <w:tc>
          <w:tcPr>
            <w:tcW w:w="3690" w:type="dxa"/>
            <w:tcMar>
              <w:left w:w="108" w:type="dxa"/>
              <w:right w:w="108" w:type="dxa"/>
            </w:tcMar>
          </w:tcPr>
          <w:p w14:paraId="3C55649D" w14:textId="77777777" w:rsidR="00CD499A" w:rsidRPr="00602E1C" w:rsidRDefault="00CD499A" w:rsidP="00230E94">
            <w:pPr>
              <w:rPr>
                <w:rFonts w:eastAsia="Calibri" w:cstheme="minorHAnsi"/>
                <w:sz w:val="16"/>
                <w:szCs w:val="16"/>
              </w:rPr>
            </w:pPr>
            <w:r w:rsidRPr="00602E1C">
              <w:rPr>
                <w:rFonts w:cstheme="minorHAnsi"/>
                <w:color w:val="262626" w:themeColor="text1" w:themeTint="D9"/>
                <w:sz w:val="16"/>
                <w:szCs w:val="16"/>
                <w:lang w:val="en-GB"/>
              </w:rPr>
              <w:t xml:space="preserve">Near Zero Waste </w:t>
            </w:r>
          </w:p>
        </w:tc>
      </w:tr>
      <w:tr w:rsidR="00CD499A" w:rsidRPr="00485A30" w14:paraId="0532C8CF" w14:textId="77777777" w:rsidTr="007367F4">
        <w:trPr>
          <w:trHeight w:val="300"/>
        </w:trPr>
        <w:tc>
          <w:tcPr>
            <w:tcW w:w="890" w:type="dxa"/>
            <w:tcMar>
              <w:left w:w="108" w:type="dxa"/>
              <w:right w:w="108" w:type="dxa"/>
            </w:tcMar>
          </w:tcPr>
          <w:p w14:paraId="62039860" w14:textId="77777777" w:rsidR="00CD499A" w:rsidRPr="00602E1C" w:rsidRDefault="00CD499A" w:rsidP="00230E94">
            <w:pPr>
              <w:jc w:val="center"/>
              <w:rPr>
                <w:rFonts w:eastAsia="Calibri" w:cstheme="minorHAnsi"/>
                <w:color w:val="000000" w:themeColor="text1"/>
                <w:sz w:val="16"/>
                <w:szCs w:val="16"/>
              </w:rPr>
            </w:pPr>
            <w:r w:rsidRPr="00602E1C">
              <w:rPr>
                <w:rFonts w:cstheme="minorHAnsi"/>
                <w:sz w:val="16"/>
                <w:szCs w:val="16"/>
              </w:rPr>
              <w:t>OIZ</w:t>
            </w:r>
          </w:p>
        </w:tc>
        <w:tc>
          <w:tcPr>
            <w:tcW w:w="3690" w:type="dxa"/>
            <w:tcMar>
              <w:left w:w="108" w:type="dxa"/>
              <w:right w:w="108" w:type="dxa"/>
            </w:tcMar>
          </w:tcPr>
          <w:p w14:paraId="3EF98366" w14:textId="77777777" w:rsidR="00CD499A" w:rsidRPr="00602E1C" w:rsidRDefault="00CD499A" w:rsidP="00230E94">
            <w:pPr>
              <w:rPr>
                <w:rFonts w:eastAsia="Calibri" w:cstheme="minorHAnsi"/>
                <w:sz w:val="16"/>
                <w:szCs w:val="16"/>
              </w:rPr>
            </w:pPr>
            <w:r w:rsidRPr="00602E1C">
              <w:rPr>
                <w:rFonts w:cstheme="minorHAnsi"/>
                <w:sz w:val="16"/>
                <w:szCs w:val="16"/>
              </w:rPr>
              <w:t xml:space="preserve">Organized Industrial Zones </w:t>
            </w:r>
          </w:p>
        </w:tc>
      </w:tr>
      <w:tr w:rsidR="00CD499A" w:rsidRPr="00485A30" w14:paraId="15771D6D" w14:textId="77777777" w:rsidTr="007367F4">
        <w:trPr>
          <w:trHeight w:val="300"/>
        </w:trPr>
        <w:tc>
          <w:tcPr>
            <w:tcW w:w="890" w:type="dxa"/>
            <w:tcMar>
              <w:left w:w="108" w:type="dxa"/>
              <w:right w:w="108" w:type="dxa"/>
            </w:tcMar>
          </w:tcPr>
          <w:p w14:paraId="084E5E22" w14:textId="77777777" w:rsidR="00CD499A" w:rsidRPr="00602E1C" w:rsidRDefault="00CD499A" w:rsidP="00230E94">
            <w:pPr>
              <w:jc w:val="center"/>
              <w:rPr>
                <w:rFonts w:eastAsia="Calibri" w:cstheme="minorHAnsi"/>
                <w:color w:val="000000" w:themeColor="text1"/>
                <w:sz w:val="16"/>
                <w:szCs w:val="16"/>
              </w:rPr>
            </w:pPr>
            <w:r w:rsidRPr="00602E1C">
              <w:rPr>
                <w:rFonts w:eastAsia="Calibri" w:cstheme="minorHAnsi"/>
                <w:color w:val="000000" w:themeColor="text1"/>
                <w:sz w:val="16"/>
                <w:szCs w:val="16"/>
              </w:rPr>
              <w:t>OTC</w:t>
            </w:r>
          </w:p>
        </w:tc>
        <w:tc>
          <w:tcPr>
            <w:tcW w:w="3690" w:type="dxa"/>
            <w:tcMar>
              <w:left w:w="108" w:type="dxa"/>
              <w:right w:w="108" w:type="dxa"/>
            </w:tcMar>
          </w:tcPr>
          <w:p w14:paraId="417DE2EB" w14:textId="77777777" w:rsidR="00CD499A" w:rsidRPr="00602E1C" w:rsidRDefault="00CD499A" w:rsidP="00230E94">
            <w:pPr>
              <w:rPr>
                <w:rFonts w:eastAsia="Calibri" w:cstheme="minorHAnsi"/>
                <w:sz w:val="16"/>
                <w:szCs w:val="16"/>
              </w:rPr>
            </w:pPr>
            <w:r w:rsidRPr="00602E1C">
              <w:rPr>
                <w:rFonts w:eastAsia="Calibri" w:cstheme="minorHAnsi"/>
                <w:sz w:val="16"/>
                <w:szCs w:val="16"/>
              </w:rPr>
              <w:t>Over the counter</w:t>
            </w:r>
          </w:p>
        </w:tc>
      </w:tr>
      <w:tr w:rsidR="00CD499A" w:rsidRPr="00485A30" w14:paraId="21EB9E59" w14:textId="77777777" w:rsidTr="007367F4">
        <w:trPr>
          <w:trHeight w:val="300"/>
        </w:trPr>
        <w:tc>
          <w:tcPr>
            <w:tcW w:w="890" w:type="dxa"/>
            <w:tcMar>
              <w:left w:w="108" w:type="dxa"/>
              <w:right w:w="108" w:type="dxa"/>
            </w:tcMar>
          </w:tcPr>
          <w:p w14:paraId="15B0A017" w14:textId="77777777" w:rsidR="00CD499A" w:rsidRPr="00602E1C" w:rsidRDefault="00CD499A" w:rsidP="00230E94">
            <w:pPr>
              <w:jc w:val="center"/>
              <w:rPr>
                <w:rFonts w:eastAsia="Calibri" w:cstheme="minorHAnsi"/>
                <w:color w:val="000000" w:themeColor="text1"/>
                <w:sz w:val="16"/>
                <w:szCs w:val="16"/>
              </w:rPr>
            </w:pPr>
            <w:r w:rsidRPr="00602E1C">
              <w:rPr>
                <w:rFonts w:eastAsia="Calibri" w:cstheme="minorHAnsi"/>
                <w:color w:val="000000" w:themeColor="text1"/>
                <w:sz w:val="16"/>
                <w:szCs w:val="16"/>
              </w:rPr>
              <w:t>SCADA</w:t>
            </w:r>
          </w:p>
        </w:tc>
        <w:tc>
          <w:tcPr>
            <w:tcW w:w="3690" w:type="dxa"/>
            <w:tcMar>
              <w:left w:w="108" w:type="dxa"/>
              <w:right w:w="108" w:type="dxa"/>
            </w:tcMar>
          </w:tcPr>
          <w:p w14:paraId="33FA3C64" w14:textId="77777777" w:rsidR="00CD499A" w:rsidRPr="00602E1C" w:rsidRDefault="00CD499A" w:rsidP="00230E94">
            <w:pPr>
              <w:rPr>
                <w:rFonts w:eastAsia="Calibri" w:cstheme="minorHAnsi"/>
                <w:sz w:val="16"/>
                <w:szCs w:val="16"/>
              </w:rPr>
            </w:pPr>
            <w:r w:rsidRPr="00602E1C">
              <w:rPr>
                <w:rStyle w:val="Emphasis"/>
                <w:rFonts w:cstheme="minorHAnsi"/>
                <w:i w:val="0"/>
                <w:iCs w:val="0"/>
                <w:sz w:val="16"/>
                <w:szCs w:val="16"/>
                <w:shd w:val="clear" w:color="auto" w:fill="FFFFFF"/>
              </w:rPr>
              <w:t>Supervisory Control and Data Acquisition</w:t>
            </w:r>
          </w:p>
        </w:tc>
      </w:tr>
      <w:tr w:rsidR="00CD499A" w:rsidRPr="00485A30" w14:paraId="1BB6041A" w14:textId="77777777" w:rsidTr="007367F4">
        <w:trPr>
          <w:trHeight w:val="300"/>
        </w:trPr>
        <w:tc>
          <w:tcPr>
            <w:tcW w:w="890" w:type="dxa"/>
            <w:tcMar>
              <w:left w:w="108" w:type="dxa"/>
              <w:right w:w="108" w:type="dxa"/>
            </w:tcMar>
          </w:tcPr>
          <w:p w14:paraId="672683E3" w14:textId="77777777" w:rsidR="00CD499A" w:rsidRPr="00602E1C" w:rsidRDefault="00CD499A" w:rsidP="00230E94">
            <w:pPr>
              <w:jc w:val="center"/>
              <w:rPr>
                <w:rFonts w:eastAsia="Calibri" w:cstheme="minorHAnsi"/>
                <w:color w:val="000000" w:themeColor="text1"/>
                <w:sz w:val="16"/>
                <w:szCs w:val="16"/>
              </w:rPr>
            </w:pPr>
            <w:r w:rsidRPr="00602E1C">
              <w:rPr>
                <w:rFonts w:eastAsia="Calibri" w:cstheme="minorHAnsi"/>
                <w:color w:val="000000" w:themeColor="text1"/>
                <w:sz w:val="16"/>
                <w:szCs w:val="16"/>
              </w:rPr>
              <w:t>SME</w:t>
            </w:r>
          </w:p>
        </w:tc>
        <w:tc>
          <w:tcPr>
            <w:tcW w:w="3690" w:type="dxa"/>
            <w:tcMar>
              <w:left w:w="108" w:type="dxa"/>
              <w:right w:w="108" w:type="dxa"/>
            </w:tcMar>
          </w:tcPr>
          <w:p w14:paraId="4B9E8736" w14:textId="77777777" w:rsidR="00CD499A" w:rsidRPr="00602E1C" w:rsidRDefault="00CD499A" w:rsidP="00230E94">
            <w:pPr>
              <w:rPr>
                <w:rFonts w:eastAsia="Calibri" w:cstheme="minorHAnsi"/>
                <w:sz w:val="16"/>
                <w:szCs w:val="16"/>
              </w:rPr>
            </w:pPr>
            <w:r w:rsidRPr="00602E1C">
              <w:rPr>
                <w:rFonts w:eastAsia="Calibri" w:cstheme="minorHAnsi"/>
                <w:color w:val="000000" w:themeColor="text1"/>
                <w:sz w:val="16"/>
                <w:szCs w:val="16"/>
              </w:rPr>
              <w:t>Small and Medium Enterprises</w:t>
            </w:r>
          </w:p>
        </w:tc>
      </w:tr>
      <w:tr w:rsidR="00CD499A" w:rsidRPr="00485A30" w14:paraId="6ECD8691" w14:textId="77777777" w:rsidTr="007367F4">
        <w:trPr>
          <w:trHeight w:val="300"/>
        </w:trPr>
        <w:tc>
          <w:tcPr>
            <w:tcW w:w="890" w:type="dxa"/>
            <w:tcMar>
              <w:left w:w="108" w:type="dxa"/>
              <w:right w:w="108" w:type="dxa"/>
            </w:tcMar>
          </w:tcPr>
          <w:p w14:paraId="30C818FC" w14:textId="77777777" w:rsidR="00CD499A" w:rsidRPr="00602E1C" w:rsidRDefault="00CD499A" w:rsidP="00230E94">
            <w:pPr>
              <w:jc w:val="center"/>
              <w:rPr>
                <w:rFonts w:eastAsia="Calibri" w:cstheme="minorHAnsi"/>
                <w:color w:val="000000" w:themeColor="text1"/>
                <w:sz w:val="16"/>
                <w:szCs w:val="16"/>
              </w:rPr>
            </w:pPr>
            <w:r w:rsidRPr="00602E1C">
              <w:rPr>
                <w:rFonts w:eastAsia="Calibri" w:cstheme="minorHAnsi"/>
                <w:color w:val="000000" w:themeColor="text1"/>
                <w:sz w:val="16"/>
                <w:szCs w:val="16"/>
              </w:rPr>
              <w:t>SOE</w:t>
            </w:r>
          </w:p>
        </w:tc>
        <w:tc>
          <w:tcPr>
            <w:tcW w:w="3690" w:type="dxa"/>
            <w:tcMar>
              <w:left w:w="108" w:type="dxa"/>
              <w:right w:w="108" w:type="dxa"/>
            </w:tcMar>
          </w:tcPr>
          <w:p w14:paraId="07735697" w14:textId="77777777" w:rsidR="00CD499A" w:rsidRPr="00602E1C" w:rsidRDefault="00CD499A" w:rsidP="00230E94">
            <w:pPr>
              <w:rPr>
                <w:rFonts w:eastAsia="Calibri" w:cstheme="minorHAnsi"/>
                <w:sz w:val="16"/>
                <w:szCs w:val="16"/>
              </w:rPr>
            </w:pPr>
            <w:r w:rsidRPr="00602E1C">
              <w:rPr>
                <w:rFonts w:eastAsia="Calibri" w:cstheme="minorHAnsi"/>
                <w:sz w:val="16"/>
                <w:szCs w:val="16"/>
              </w:rPr>
              <w:t>State-Owned Enterprises</w:t>
            </w:r>
          </w:p>
        </w:tc>
      </w:tr>
      <w:tr w:rsidR="00CD499A" w:rsidRPr="00485A30" w14:paraId="2CC82F4C" w14:textId="77777777" w:rsidTr="007367F4">
        <w:trPr>
          <w:trHeight w:val="300"/>
        </w:trPr>
        <w:tc>
          <w:tcPr>
            <w:tcW w:w="890" w:type="dxa"/>
            <w:tcMar>
              <w:left w:w="108" w:type="dxa"/>
              <w:right w:w="108" w:type="dxa"/>
            </w:tcMar>
          </w:tcPr>
          <w:p w14:paraId="5DB04CDA" w14:textId="77777777" w:rsidR="00CD499A" w:rsidRPr="00602E1C" w:rsidRDefault="00CD499A" w:rsidP="00230E94">
            <w:pPr>
              <w:jc w:val="center"/>
              <w:rPr>
                <w:rFonts w:eastAsia="Calibri" w:cstheme="minorHAnsi"/>
                <w:color w:val="000000" w:themeColor="text1"/>
                <w:sz w:val="16"/>
                <w:szCs w:val="16"/>
              </w:rPr>
            </w:pPr>
            <w:r w:rsidRPr="00602E1C">
              <w:rPr>
                <w:rFonts w:eastAsia="Calibri" w:cstheme="minorHAnsi"/>
                <w:color w:val="000000" w:themeColor="text1"/>
                <w:sz w:val="16"/>
                <w:szCs w:val="16"/>
              </w:rPr>
              <w:t>SuTPs</w:t>
            </w:r>
          </w:p>
        </w:tc>
        <w:tc>
          <w:tcPr>
            <w:tcW w:w="3690" w:type="dxa"/>
            <w:tcMar>
              <w:left w:w="108" w:type="dxa"/>
              <w:right w:w="108" w:type="dxa"/>
            </w:tcMar>
          </w:tcPr>
          <w:p w14:paraId="4F8141DA" w14:textId="77777777" w:rsidR="00CD499A" w:rsidRPr="00602E1C" w:rsidRDefault="00CD499A" w:rsidP="00230E94">
            <w:pPr>
              <w:rPr>
                <w:rFonts w:eastAsia="Calibri" w:cstheme="minorHAnsi"/>
                <w:sz w:val="16"/>
                <w:szCs w:val="16"/>
              </w:rPr>
            </w:pPr>
            <w:r w:rsidRPr="00602E1C">
              <w:rPr>
                <w:rFonts w:eastAsia="Calibri" w:cstheme="minorHAnsi"/>
                <w:sz w:val="16"/>
                <w:szCs w:val="16"/>
              </w:rPr>
              <w:t>Syrians under Temporary Protection</w:t>
            </w:r>
          </w:p>
        </w:tc>
      </w:tr>
      <w:tr w:rsidR="00CD499A" w:rsidRPr="00485A30" w14:paraId="51DB61AA" w14:textId="77777777" w:rsidTr="007367F4">
        <w:trPr>
          <w:trHeight w:val="300"/>
        </w:trPr>
        <w:tc>
          <w:tcPr>
            <w:tcW w:w="890" w:type="dxa"/>
            <w:tcMar>
              <w:left w:w="108" w:type="dxa"/>
              <w:right w:w="108" w:type="dxa"/>
            </w:tcMar>
          </w:tcPr>
          <w:p w14:paraId="16CB4E0E" w14:textId="77777777" w:rsidR="00CD499A" w:rsidRPr="00602E1C" w:rsidRDefault="00CD499A" w:rsidP="00230E94">
            <w:pPr>
              <w:jc w:val="center"/>
              <w:rPr>
                <w:rFonts w:eastAsia="Calibri" w:cstheme="minorHAnsi"/>
                <w:color w:val="000000" w:themeColor="text1"/>
                <w:sz w:val="16"/>
                <w:szCs w:val="16"/>
              </w:rPr>
            </w:pPr>
            <w:r w:rsidRPr="00602E1C">
              <w:rPr>
                <w:rFonts w:eastAsia="Calibri" w:cstheme="minorHAnsi"/>
                <w:color w:val="000000" w:themeColor="text1"/>
                <w:sz w:val="16"/>
                <w:szCs w:val="16"/>
              </w:rPr>
              <w:t>TA</w:t>
            </w:r>
          </w:p>
        </w:tc>
        <w:tc>
          <w:tcPr>
            <w:tcW w:w="3690" w:type="dxa"/>
            <w:tcMar>
              <w:left w:w="108" w:type="dxa"/>
              <w:right w:w="108" w:type="dxa"/>
            </w:tcMar>
          </w:tcPr>
          <w:p w14:paraId="107E2197" w14:textId="77777777" w:rsidR="00CD499A" w:rsidRPr="00602E1C" w:rsidRDefault="00CD499A" w:rsidP="00230E94">
            <w:pPr>
              <w:rPr>
                <w:rFonts w:eastAsia="Calibri" w:cstheme="minorHAnsi"/>
                <w:sz w:val="16"/>
                <w:szCs w:val="16"/>
              </w:rPr>
            </w:pPr>
            <w:r w:rsidRPr="00602E1C">
              <w:rPr>
                <w:rFonts w:eastAsia="Calibri" w:cstheme="minorHAnsi"/>
                <w:sz w:val="16"/>
                <w:szCs w:val="16"/>
              </w:rPr>
              <w:t>Technical Assistance</w:t>
            </w:r>
          </w:p>
        </w:tc>
      </w:tr>
      <w:tr w:rsidR="00CD499A" w:rsidRPr="00485A30" w14:paraId="1B0B8677" w14:textId="77777777" w:rsidTr="007367F4">
        <w:trPr>
          <w:trHeight w:val="300"/>
        </w:trPr>
        <w:tc>
          <w:tcPr>
            <w:tcW w:w="890" w:type="dxa"/>
            <w:tcMar>
              <w:left w:w="108" w:type="dxa"/>
              <w:right w:w="108" w:type="dxa"/>
            </w:tcMar>
          </w:tcPr>
          <w:p w14:paraId="683E9F5B" w14:textId="77777777" w:rsidR="00CD499A" w:rsidRPr="00602E1C" w:rsidRDefault="00CD499A" w:rsidP="00230E94">
            <w:pPr>
              <w:jc w:val="center"/>
              <w:rPr>
                <w:rFonts w:eastAsia="Calibri" w:cstheme="minorHAnsi"/>
                <w:color w:val="000000" w:themeColor="text1"/>
                <w:sz w:val="16"/>
                <w:szCs w:val="16"/>
              </w:rPr>
            </w:pPr>
            <w:r w:rsidRPr="00602E1C">
              <w:rPr>
                <w:rFonts w:eastAsia="Calibri" w:cstheme="minorHAnsi"/>
                <w:color w:val="000000" w:themeColor="text1"/>
                <w:sz w:val="16"/>
                <w:szCs w:val="16"/>
              </w:rPr>
              <w:t>TOE</w:t>
            </w:r>
          </w:p>
        </w:tc>
        <w:tc>
          <w:tcPr>
            <w:tcW w:w="3690" w:type="dxa"/>
            <w:tcMar>
              <w:left w:w="108" w:type="dxa"/>
              <w:right w:w="108" w:type="dxa"/>
            </w:tcMar>
          </w:tcPr>
          <w:p w14:paraId="457455C7" w14:textId="77777777" w:rsidR="00CD499A" w:rsidRPr="00602E1C" w:rsidRDefault="00CD499A" w:rsidP="00230E94">
            <w:pPr>
              <w:rPr>
                <w:rFonts w:eastAsia="Calibri" w:cstheme="minorHAnsi"/>
                <w:sz w:val="16"/>
                <w:szCs w:val="16"/>
              </w:rPr>
            </w:pPr>
            <w:r w:rsidRPr="00602E1C">
              <w:rPr>
                <w:rFonts w:eastAsia="Calibri" w:cstheme="minorHAnsi"/>
                <w:sz w:val="16"/>
                <w:szCs w:val="16"/>
              </w:rPr>
              <w:t>Ton of Oil Equivalent</w:t>
            </w:r>
          </w:p>
        </w:tc>
      </w:tr>
      <w:tr w:rsidR="00CD499A" w:rsidRPr="00485A30" w14:paraId="2927AB38" w14:textId="77777777" w:rsidTr="007367F4">
        <w:trPr>
          <w:trHeight w:val="300"/>
        </w:trPr>
        <w:tc>
          <w:tcPr>
            <w:tcW w:w="890" w:type="dxa"/>
            <w:tcMar>
              <w:left w:w="108" w:type="dxa"/>
              <w:right w:w="108" w:type="dxa"/>
            </w:tcMar>
          </w:tcPr>
          <w:p w14:paraId="24324E89" w14:textId="77777777" w:rsidR="00CD499A" w:rsidRPr="00602E1C" w:rsidRDefault="00CD499A" w:rsidP="00230E94">
            <w:pPr>
              <w:jc w:val="center"/>
              <w:rPr>
                <w:rFonts w:eastAsia="Calibri" w:cstheme="minorHAnsi"/>
                <w:color w:val="000000" w:themeColor="text1"/>
                <w:sz w:val="16"/>
                <w:szCs w:val="16"/>
              </w:rPr>
            </w:pPr>
            <w:r w:rsidRPr="00602E1C">
              <w:rPr>
                <w:rFonts w:eastAsia="Calibri" w:cstheme="minorHAnsi"/>
                <w:color w:val="000000" w:themeColor="text1"/>
                <w:sz w:val="16"/>
                <w:szCs w:val="16"/>
              </w:rPr>
              <w:t>TRY</w:t>
            </w:r>
          </w:p>
        </w:tc>
        <w:tc>
          <w:tcPr>
            <w:tcW w:w="3690" w:type="dxa"/>
            <w:tcMar>
              <w:left w:w="108" w:type="dxa"/>
              <w:right w:w="108" w:type="dxa"/>
            </w:tcMar>
          </w:tcPr>
          <w:p w14:paraId="38FBA64D" w14:textId="77777777" w:rsidR="00CD499A" w:rsidRPr="00602E1C" w:rsidRDefault="00CD499A" w:rsidP="00230E94">
            <w:pPr>
              <w:rPr>
                <w:rFonts w:eastAsia="Calibri" w:cstheme="minorHAnsi"/>
                <w:sz w:val="16"/>
                <w:szCs w:val="16"/>
              </w:rPr>
            </w:pPr>
            <w:r w:rsidRPr="00602E1C">
              <w:rPr>
                <w:rFonts w:eastAsia="Calibri" w:cstheme="minorHAnsi"/>
                <w:sz w:val="16"/>
                <w:szCs w:val="16"/>
              </w:rPr>
              <w:t>Turkish Lira</w:t>
            </w:r>
          </w:p>
        </w:tc>
      </w:tr>
      <w:tr w:rsidR="00CD499A" w:rsidRPr="00485A30" w14:paraId="5312A2E5" w14:textId="77777777" w:rsidTr="007367F4">
        <w:trPr>
          <w:trHeight w:val="394"/>
        </w:trPr>
        <w:tc>
          <w:tcPr>
            <w:tcW w:w="890" w:type="dxa"/>
            <w:tcMar>
              <w:left w:w="108" w:type="dxa"/>
              <w:right w:w="108" w:type="dxa"/>
            </w:tcMar>
          </w:tcPr>
          <w:p w14:paraId="71E0559D" w14:textId="77777777" w:rsidR="00CD499A" w:rsidRPr="00602E1C" w:rsidRDefault="00CD499A" w:rsidP="00230E94">
            <w:pPr>
              <w:jc w:val="center"/>
              <w:rPr>
                <w:rFonts w:eastAsia="Calibri" w:cstheme="minorHAnsi"/>
                <w:color w:val="000000" w:themeColor="text1"/>
                <w:sz w:val="16"/>
                <w:szCs w:val="16"/>
              </w:rPr>
            </w:pPr>
            <w:r w:rsidRPr="00602E1C">
              <w:rPr>
                <w:rFonts w:eastAsia="Calibri" w:cstheme="minorHAnsi"/>
                <w:color w:val="000000" w:themeColor="text1"/>
                <w:sz w:val="16"/>
                <w:szCs w:val="16"/>
              </w:rPr>
              <w:t>TwH</w:t>
            </w:r>
          </w:p>
        </w:tc>
        <w:tc>
          <w:tcPr>
            <w:tcW w:w="3690" w:type="dxa"/>
            <w:tcMar>
              <w:left w:w="108" w:type="dxa"/>
              <w:right w:w="108" w:type="dxa"/>
            </w:tcMar>
          </w:tcPr>
          <w:p w14:paraId="464152CF" w14:textId="77777777" w:rsidR="00CD499A" w:rsidRPr="00602E1C" w:rsidRDefault="00CD499A" w:rsidP="00230E94">
            <w:pPr>
              <w:rPr>
                <w:rFonts w:eastAsia="Calibri" w:cstheme="minorHAnsi"/>
                <w:sz w:val="16"/>
                <w:szCs w:val="16"/>
              </w:rPr>
            </w:pPr>
            <w:r w:rsidRPr="00602E1C">
              <w:rPr>
                <w:rFonts w:eastAsia="Calibri" w:cstheme="minorHAnsi"/>
                <w:sz w:val="16"/>
                <w:szCs w:val="16"/>
              </w:rPr>
              <w:t>Terawatt</w:t>
            </w:r>
          </w:p>
        </w:tc>
      </w:tr>
    </w:tbl>
    <w:p w14:paraId="691E03F2" w14:textId="77777777" w:rsidR="00D50D57" w:rsidRPr="00485A30" w:rsidRDefault="00D50D57">
      <w:pPr>
        <w:jc w:val="left"/>
        <w:rPr>
          <w:rFonts w:cstheme="minorHAnsi"/>
          <w:sz w:val="20"/>
          <w:szCs w:val="20"/>
        </w:rPr>
        <w:sectPr w:rsidR="00D50D57" w:rsidRPr="00485A30" w:rsidSect="00D50D57">
          <w:type w:val="continuous"/>
          <w:pgSz w:w="12240" w:h="15840"/>
          <w:pgMar w:top="1440" w:right="1440" w:bottom="1530" w:left="1440" w:header="720" w:footer="720" w:gutter="0"/>
          <w:cols w:num="2" w:space="720"/>
          <w:docGrid w:linePitch="360"/>
        </w:sectPr>
      </w:pPr>
    </w:p>
    <w:p w14:paraId="2DE916E4" w14:textId="2BB1E972" w:rsidR="009670AD" w:rsidRPr="00485A30" w:rsidRDefault="009670AD">
      <w:pPr>
        <w:jc w:val="left"/>
        <w:rPr>
          <w:rFonts w:eastAsiaTheme="majorEastAsia" w:cstheme="minorHAnsi"/>
          <w:b/>
          <w:color w:val="000000" w:themeColor="text1"/>
          <w:sz w:val="20"/>
          <w:szCs w:val="20"/>
        </w:rPr>
      </w:pPr>
      <w:r w:rsidRPr="00485A30">
        <w:rPr>
          <w:rFonts w:cstheme="minorHAnsi"/>
          <w:sz w:val="20"/>
          <w:szCs w:val="20"/>
        </w:rPr>
        <w:br w:type="page"/>
      </w:r>
    </w:p>
    <w:bookmarkStart w:id="2" w:name="_Toc162898755"/>
    <w:bookmarkStart w:id="3" w:name="_Toc162898817"/>
    <w:bookmarkStart w:id="4" w:name="_Toc162962938"/>
    <w:bookmarkStart w:id="5" w:name="_Toc162964115"/>
    <w:p w14:paraId="6A479E70" w14:textId="2C3355DE" w:rsidR="059B78C6" w:rsidRPr="009C2877" w:rsidRDefault="00382DEE" w:rsidP="009C2877">
      <w:pPr>
        <w:pStyle w:val="Heading1"/>
        <w:rPr>
          <w:rFonts w:asciiTheme="minorHAnsi" w:hAnsiTheme="minorHAnsi" w:cstheme="minorBidi"/>
          <w:sz w:val="20"/>
          <w:szCs w:val="20"/>
        </w:rPr>
      </w:pPr>
      <w:r w:rsidRPr="0043215C">
        <w:lastRenderedPageBreak/>
        <w:fldChar w:fldCharType="begin"/>
      </w:r>
      <w:r w:rsidRPr="059B78C6">
        <w:rPr>
          <w:rFonts w:asciiTheme="minorHAnsi" w:hAnsiTheme="minorHAnsi" w:cstheme="minorBidi"/>
          <w:sz w:val="20"/>
          <w:szCs w:val="20"/>
        </w:rPr>
        <w:instrText>HYPERLINK \l "_I.__Executive" \h</w:instrText>
      </w:r>
      <w:r w:rsidRPr="0043215C">
        <w:fldChar w:fldCharType="separate"/>
      </w:r>
      <w:bookmarkStart w:id="6" w:name="_Toc170319814"/>
      <w:r w:rsidR="000D198D" w:rsidRPr="059B78C6">
        <w:rPr>
          <w:rStyle w:val="Hyperlink"/>
          <w:rFonts w:asciiTheme="minorHAnsi" w:hAnsiTheme="minorHAnsi" w:cstheme="minorBidi"/>
          <w:color w:val="000000" w:themeColor="text1"/>
          <w:sz w:val="20"/>
          <w:szCs w:val="20"/>
          <w:u w:val="none"/>
        </w:rPr>
        <w:t>I.  Executive Summary</w:t>
      </w:r>
      <w:bookmarkEnd w:id="6"/>
      <w:r w:rsidRPr="059B78C6">
        <w:rPr>
          <w:rStyle w:val="Hyperlink"/>
          <w:rFonts w:asciiTheme="minorHAnsi" w:hAnsiTheme="minorHAnsi" w:cstheme="minorBidi"/>
          <w:color w:val="000000" w:themeColor="text1"/>
          <w:sz w:val="20"/>
          <w:szCs w:val="20"/>
          <w:u w:val="none"/>
        </w:rPr>
        <w:fldChar w:fldCharType="end"/>
      </w:r>
      <w:bookmarkEnd w:id="2"/>
      <w:bookmarkEnd w:id="3"/>
      <w:bookmarkEnd w:id="4"/>
      <w:bookmarkEnd w:id="5"/>
    </w:p>
    <w:p w14:paraId="68BB5DD9" w14:textId="12D66FD9" w:rsidR="059B78C6" w:rsidRPr="009C2877" w:rsidRDefault="00C93344" w:rsidP="009C2877">
      <w:pPr>
        <w:spacing w:before="100" w:beforeAutospacing="1" w:after="100" w:afterAutospacing="1" w:line="240" w:lineRule="auto"/>
        <w:rPr>
          <w:rFonts w:eastAsia="Times New Roman" w:cstheme="minorHAnsi"/>
          <w:sz w:val="20"/>
          <w:szCs w:val="20"/>
        </w:rPr>
      </w:pPr>
      <w:r w:rsidRPr="059B78C6">
        <w:rPr>
          <w:rFonts w:eastAsia="Times New Roman"/>
          <w:sz w:val="20"/>
          <w:szCs w:val="20"/>
        </w:rPr>
        <w:t>Türkiye has significantly reformed its electricity market, transitioning from a monopolistic to a competitive structure. Since the enactment of the Electricity Market Law (EML) in 2001 and its amendment in 2013. The EML created the Energy Market Regulatory Authority (EMRA) by extensively defining its organization and duties; introduced a new licensing requirement for the electricity market, eligible consumers, licensing, regulated grid access; and separated the activities into regulated sectors (transmission, distribution, retail sales) and competitive sectors (generation, wholesale, retail sales to eligible customers).</w:t>
      </w:r>
    </w:p>
    <w:p w14:paraId="0D523E7F" w14:textId="41D97DAC" w:rsidR="002470CA" w:rsidRPr="0043215C" w:rsidRDefault="00C93344" w:rsidP="002470CA">
      <w:pPr>
        <w:spacing w:before="100" w:beforeAutospacing="1" w:after="100" w:afterAutospacing="1" w:line="240" w:lineRule="auto"/>
        <w:rPr>
          <w:rFonts w:eastAsia="Times New Roman"/>
          <w:sz w:val="20"/>
          <w:szCs w:val="20"/>
        </w:rPr>
      </w:pPr>
      <w:r w:rsidRPr="059B78C6">
        <w:rPr>
          <w:rFonts w:eastAsia="Times New Roman"/>
          <w:sz w:val="20"/>
          <w:szCs w:val="20"/>
        </w:rPr>
        <w:t xml:space="preserve">The 2005 Renewable Energy Law (REL) has been amended to enhance regulatory support and encourage investment in renewable energy. Notably, incentives for renewable energy include floor prices, priority dispatch, and Feed-in Tariffs (FITs), which were initially set in US$ in 2011 and later adjusted to Turkish Lira (TRY) from 2020. Additionally, the </w:t>
      </w:r>
      <w:r w:rsidRPr="059B78C6">
        <w:rPr>
          <w:rFonts w:eastAsia="Calibri"/>
          <w:color w:val="000000" w:themeColor="text1"/>
          <w:sz w:val="20"/>
          <w:szCs w:val="20"/>
        </w:rPr>
        <w:t>Renewable Energy Zones</w:t>
      </w:r>
      <w:r w:rsidRPr="059B78C6">
        <w:rPr>
          <w:rFonts w:eastAsia="Times New Roman"/>
          <w:sz w:val="20"/>
          <w:szCs w:val="20"/>
        </w:rPr>
        <w:t xml:space="preserve"> (YEKAs) law facilitates auctions for generating electricity in high-potential solar or wind areas, awarding provisional licenses to the lowest bidders. </w:t>
      </w:r>
      <w:r w:rsidR="00E327C7" w:rsidRPr="059B78C6">
        <w:rPr>
          <w:sz w:val="20"/>
          <w:szCs w:val="20"/>
        </w:rPr>
        <w:t xml:space="preserve">By end-2023, Türkiye 's total installed capacity reached 107 GW, with a significant share from renewables. </w:t>
      </w:r>
      <w:r w:rsidR="002470CA" w:rsidRPr="059B78C6">
        <w:rPr>
          <w:rFonts w:eastAsia="Times New Roman"/>
          <w:sz w:val="20"/>
          <w:szCs w:val="20"/>
        </w:rPr>
        <w:t xml:space="preserve">Renewable energy </w:t>
      </w:r>
      <w:r w:rsidR="009114EF" w:rsidRPr="059B78C6">
        <w:rPr>
          <w:rFonts w:eastAsia="Times New Roman"/>
          <w:sz w:val="20"/>
          <w:szCs w:val="20"/>
        </w:rPr>
        <w:t xml:space="preserve">installed </w:t>
      </w:r>
      <w:r w:rsidR="002470CA" w:rsidRPr="059B78C6">
        <w:rPr>
          <w:rFonts w:eastAsia="Times New Roman"/>
          <w:sz w:val="20"/>
          <w:szCs w:val="20"/>
        </w:rPr>
        <w:t xml:space="preserve">capacity </w:t>
      </w:r>
      <w:r w:rsidR="009114EF" w:rsidRPr="059B78C6">
        <w:rPr>
          <w:rFonts w:eastAsia="Times New Roman"/>
          <w:sz w:val="20"/>
          <w:szCs w:val="20"/>
        </w:rPr>
        <w:t xml:space="preserve">has increased from </w:t>
      </w:r>
      <w:r w:rsidR="002F4F3D" w:rsidRPr="059B78C6">
        <w:rPr>
          <w:rFonts w:eastAsia="Times New Roman"/>
          <w:sz w:val="20"/>
          <w:szCs w:val="20"/>
        </w:rPr>
        <w:t>28</w:t>
      </w:r>
      <w:r w:rsidR="00F350CE" w:rsidRPr="059B78C6">
        <w:rPr>
          <w:rFonts w:eastAsia="Times New Roman"/>
          <w:sz w:val="20"/>
          <w:szCs w:val="20"/>
        </w:rPr>
        <w:t xml:space="preserve"> </w:t>
      </w:r>
      <w:r w:rsidR="009114EF" w:rsidRPr="059B78C6">
        <w:rPr>
          <w:rFonts w:eastAsia="Times New Roman"/>
          <w:sz w:val="20"/>
          <w:szCs w:val="20"/>
        </w:rPr>
        <w:t xml:space="preserve">GW </w:t>
      </w:r>
      <w:r w:rsidR="000C52A1" w:rsidRPr="059B78C6">
        <w:rPr>
          <w:rFonts w:eastAsia="Times New Roman"/>
          <w:sz w:val="20"/>
          <w:szCs w:val="20"/>
        </w:rPr>
        <w:t>by end-</w:t>
      </w:r>
      <w:r w:rsidR="009114EF" w:rsidRPr="059B78C6">
        <w:rPr>
          <w:rFonts w:eastAsia="Times New Roman"/>
          <w:sz w:val="20"/>
          <w:szCs w:val="20"/>
        </w:rPr>
        <w:t>20</w:t>
      </w:r>
      <w:r w:rsidR="000C52A1" w:rsidRPr="059B78C6">
        <w:rPr>
          <w:rFonts w:eastAsia="Times New Roman"/>
          <w:sz w:val="20"/>
          <w:szCs w:val="20"/>
        </w:rPr>
        <w:t>01 to</w:t>
      </w:r>
      <w:r w:rsidR="00F52438" w:rsidRPr="059B78C6">
        <w:rPr>
          <w:sz w:val="20"/>
          <w:szCs w:val="20"/>
        </w:rPr>
        <w:t xml:space="preserve"> </w:t>
      </w:r>
      <w:r w:rsidR="00A27A0E" w:rsidRPr="059B78C6">
        <w:rPr>
          <w:rFonts w:eastAsia="Times New Roman"/>
          <w:sz w:val="20"/>
          <w:szCs w:val="20"/>
        </w:rPr>
        <w:t xml:space="preserve">59 </w:t>
      </w:r>
      <w:r w:rsidR="000C52A1" w:rsidRPr="059B78C6">
        <w:rPr>
          <w:rFonts w:eastAsia="Times New Roman"/>
          <w:sz w:val="20"/>
          <w:szCs w:val="20"/>
        </w:rPr>
        <w:t>GW by end-2023, with an increase of</w:t>
      </w:r>
      <w:r w:rsidR="00E86943" w:rsidRPr="059B78C6">
        <w:rPr>
          <w:rFonts w:eastAsia="Times New Roman"/>
          <w:sz w:val="20"/>
          <w:szCs w:val="20"/>
        </w:rPr>
        <w:t xml:space="preserve"> 114</w:t>
      </w:r>
      <w:r w:rsidR="000C52A1" w:rsidRPr="059B78C6">
        <w:rPr>
          <w:rFonts w:eastAsia="Times New Roman"/>
          <w:sz w:val="20"/>
          <w:szCs w:val="20"/>
        </w:rPr>
        <w:t xml:space="preserve"> %, </w:t>
      </w:r>
      <w:r w:rsidR="00CD6E62" w:rsidRPr="059B78C6">
        <w:rPr>
          <w:rFonts w:eastAsia="Times New Roman"/>
          <w:sz w:val="20"/>
          <w:szCs w:val="20"/>
        </w:rPr>
        <w:t>owing</w:t>
      </w:r>
      <w:r w:rsidR="0057567D" w:rsidRPr="059B78C6">
        <w:rPr>
          <w:rFonts w:eastAsia="Times New Roman"/>
          <w:sz w:val="20"/>
          <w:szCs w:val="20"/>
        </w:rPr>
        <w:t xml:space="preserve"> to</w:t>
      </w:r>
      <w:r w:rsidR="00DF5309" w:rsidRPr="059B78C6">
        <w:rPr>
          <w:rFonts w:eastAsia="Times New Roman"/>
          <w:sz w:val="20"/>
          <w:szCs w:val="20"/>
        </w:rPr>
        <w:t xml:space="preserve"> the </w:t>
      </w:r>
      <w:r w:rsidR="0003504D" w:rsidRPr="059B78C6">
        <w:rPr>
          <w:rFonts w:eastAsia="Times New Roman"/>
          <w:sz w:val="20"/>
          <w:szCs w:val="20"/>
        </w:rPr>
        <w:t xml:space="preserve">investments made </w:t>
      </w:r>
      <w:r w:rsidR="0057567D" w:rsidRPr="059B78C6">
        <w:rPr>
          <w:rFonts w:eastAsia="Times New Roman"/>
          <w:sz w:val="20"/>
          <w:szCs w:val="20"/>
        </w:rPr>
        <w:t xml:space="preserve">mostly by the </w:t>
      </w:r>
      <w:r w:rsidR="00DF5309" w:rsidRPr="059B78C6">
        <w:rPr>
          <w:rFonts w:eastAsia="Times New Roman"/>
          <w:sz w:val="20"/>
          <w:szCs w:val="20"/>
        </w:rPr>
        <w:t xml:space="preserve">private sector. </w:t>
      </w:r>
      <w:r w:rsidR="000C52A1" w:rsidRPr="059B78C6">
        <w:rPr>
          <w:rFonts w:eastAsia="Times New Roman"/>
          <w:sz w:val="20"/>
          <w:szCs w:val="20"/>
        </w:rPr>
        <w:t xml:space="preserve"> </w:t>
      </w:r>
    </w:p>
    <w:p w14:paraId="2EA45EF2" w14:textId="23F80CE9" w:rsidR="059B78C6" w:rsidRDefault="059B78C6" w:rsidP="059B78C6">
      <w:pPr>
        <w:spacing w:beforeAutospacing="1" w:afterAutospacing="1" w:line="240" w:lineRule="auto"/>
        <w:rPr>
          <w:rFonts w:eastAsia="Times New Roman"/>
          <w:sz w:val="20"/>
          <w:szCs w:val="20"/>
        </w:rPr>
      </w:pPr>
    </w:p>
    <w:p w14:paraId="05010173" w14:textId="1BA482D1" w:rsidR="059B78C6" w:rsidRDefault="00BA4727" w:rsidP="059B78C6">
      <w:pPr>
        <w:pStyle w:val="NormalWeb"/>
        <w:jc w:val="both"/>
        <w:rPr>
          <w:rFonts w:asciiTheme="minorHAnsi" w:hAnsiTheme="minorHAnsi" w:cstheme="minorBidi"/>
          <w:sz w:val="20"/>
          <w:szCs w:val="20"/>
        </w:rPr>
      </w:pPr>
      <w:r w:rsidRPr="059B78C6">
        <w:rPr>
          <w:rFonts w:asciiTheme="minorHAnsi" w:hAnsiTheme="minorHAnsi" w:cstheme="minorBidi"/>
          <w:sz w:val="20"/>
          <w:szCs w:val="20"/>
          <w:shd w:val="clear" w:color="auto" w:fill="FFFFFF"/>
        </w:rPr>
        <w:t xml:space="preserve">Over the past two decades, </w:t>
      </w:r>
      <w:r w:rsidRPr="059B78C6">
        <w:rPr>
          <w:rFonts w:asciiTheme="minorHAnsi" w:hAnsiTheme="minorHAnsi" w:cstheme="minorBidi"/>
          <w:sz w:val="20"/>
          <w:szCs w:val="20"/>
        </w:rPr>
        <w:t>Türkiye</w:t>
      </w:r>
      <w:r w:rsidRPr="059B78C6">
        <w:rPr>
          <w:rFonts w:asciiTheme="minorHAnsi" w:hAnsiTheme="minorHAnsi" w:cstheme="minorBidi"/>
          <w:sz w:val="20"/>
          <w:szCs w:val="20"/>
          <w:shd w:val="clear" w:color="auto" w:fill="FFFFFF"/>
        </w:rPr>
        <w:t xml:space="preserve"> has seen the highest surge in energy usage among the </w:t>
      </w:r>
      <w:r w:rsidRPr="059B78C6">
        <w:rPr>
          <w:rFonts w:asciiTheme="minorHAnsi" w:eastAsia="Calibri" w:hAnsiTheme="minorHAnsi" w:cstheme="minorBidi"/>
          <w:color w:val="000000" w:themeColor="text1"/>
          <w:sz w:val="20"/>
          <w:szCs w:val="20"/>
        </w:rPr>
        <w:t>Organization for Economic Co-operation and Development</w:t>
      </w:r>
      <w:r w:rsidRPr="059B78C6">
        <w:rPr>
          <w:rFonts w:asciiTheme="minorHAnsi" w:hAnsiTheme="minorHAnsi" w:cstheme="minorBidi"/>
          <w:sz w:val="20"/>
          <w:szCs w:val="20"/>
          <w:shd w:val="clear" w:color="auto" w:fill="FFFFFF"/>
        </w:rPr>
        <w:t xml:space="preserve"> (OECD) countries. Despite this fact, the country has effectively improved its energy efficiency, evidenced by its ranking as the second-best in reducing energy intensity within the OECD in 2021.</w:t>
      </w:r>
      <w:r w:rsidRPr="059B78C6">
        <w:rPr>
          <w:rFonts w:asciiTheme="minorHAnsi" w:hAnsiTheme="minorHAnsi" w:cstheme="minorBidi"/>
          <w:sz w:val="20"/>
          <w:szCs w:val="20"/>
        </w:rPr>
        <w:t xml:space="preserve"> </w:t>
      </w:r>
    </w:p>
    <w:p w14:paraId="7C1D02EA" w14:textId="0D4F6DB0" w:rsidR="059B78C6" w:rsidRDefault="00CA5342" w:rsidP="059B78C6">
      <w:pPr>
        <w:pStyle w:val="NormalWeb"/>
        <w:spacing w:before="100" w:after="100"/>
        <w:jc w:val="both"/>
        <w:rPr>
          <w:rFonts w:asciiTheme="minorHAnsi" w:hAnsiTheme="minorHAnsi" w:cstheme="minorBidi"/>
          <w:sz w:val="20"/>
          <w:szCs w:val="20"/>
        </w:rPr>
      </w:pPr>
      <w:r w:rsidRPr="059B78C6">
        <w:rPr>
          <w:rFonts w:asciiTheme="minorHAnsi" w:hAnsiTheme="minorHAnsi" w:cstheme="minorBidi"/>
          <w:sz w:val="20"/>
          <w:szCs w:val="20"/>
        </w:rPr>
        <w:t xml:space="preserve">Türkiye's greenhouse gas emissions, mainly from the energy sector, increased by 7.7% in 2021. The government updated its </w:t>
      </w:r>
      <w:r w:rsidRPr="059B78C6">
        <w:rPr>
          <w:rFonts w:asciiTheme="minorHAnsi" w:eastAsia="Calibri" w:hAnsiTheme="minorHAnsi" w:cstheme="minorBidi"/>
          <w:color w:val="0B212C"/>
          <w:sz w:val="20"/>
          <w:szCs w:val="20"/>
        </w:rPr>
        <w:t>National Determined Contribution</w:t>
      </w:r>
      <w:r w:rsidRPr="059B78C6">
        <w:rPr>
          <w:rFonts w:asciiTheme="minorHAnsi" w:hAnsiTheme="minorHAnsi" w:cstheme="minorBidi"/>
          <w:sz w:val="20"/>
          <w:szCs w:val="20"/>
        </w:rPr>
        <w:t xml:space="preserve"> (NDC) to reduce emissions by 41% by 2038, starting in 2023. Türkiye issued a Green Deal Action Plan in July 2021, </w:t>
      </w:r>
      <w:r w:rsidR="00742845" w:rsidRPr="059B78C6">
        <w:rPr>
          <w:rFonts w:asciiTheme="minorHAnsi" w:hAnsiTheme="minorHAnsi" w:cstheme="minorBidi"/>
          <w:sz w:val="20"/>
          <w:szCs w:val="20"/>
        </w:rPr>
        <w:t xml:space="preserve">Plan </w:t>
      </w:r>
      <w:proofErr w:type="gramStart"/>
      <w:r w:rsidR="00742845" w:rsidRPr="059B78C6">
        <w:rPr>
          <w:rFonts w:asciiTheme="minorHAnsi" w:hAnsiTheme="minorHAnsi" w:cstheme="minorBidi"/>
          <w:sz w:val="20"/>
          <w:szCs w:val="20"/>
        </w:rPr>
        <w:t>with regard to</w:t>
      </w:r>
      <w:proofErr w:type="gramEnd"/>
      <w:r w:rsidR="00742845" w:rsidRPr="059B78C6">
        <w:rPr>
          <w:rFonts w:asciiTheme="minorHAnsi" w:hAnsiTheme="minorHAnsi" w:cstheme="minorBidi"/>
          <w:sz w:val="20"/>
          <w:szCs w:val="20"/>
        </w:rPr>
        <w:t xml:space="preserve"> transition towards a sustainable, resource-efficient economy, aligning with</w:t>
      </w:r>
      <w:r w:rsidRPr="059B78C6">
        <w:rPr>
          <w:rFonts w:asciiTheme="minorHAnsi" w:hAnsiTheme="minorHAnsi" w:cstheme="minorBidi"/>
          <w:sz w:val="20"/>
          <w:szCs w:val="20"/>
        </w:rPr>
        <w:t xml:space="preserve"> the European Green Deal, focusing on carbon border adjustments, green finance, energy supply, sustainable agriculture, transport, and climate diplomacy. A Green Deal Working Group was established to monitor the plan's implementation.</w:t>
      </w:r>
      <w:r w:rsidR="00D11097" w:rsidRPr="059B78C6">
        <w:rPr>
          <w:rFonts w:asciiTheme="minorHAnsi" w:hAnsiTheme="minorHAnsi" w:cstheme="minorBidi"/>
          <w:sz w:val="20"/>
          <w:szCs w:val="20"/>
        </w:rPr>
        <w:t xml:space="preserve"> </w:t>
      </w:r>
      <w:r w:rsidR="000B63FD" w:rsidRPr="059B78C6">
        <w:rPr>
          <w:rFonts w:asciiTheme="minorHAnsi" w:hAnsiTheme="minorHAnsi" w:cstheme="minorBidi"/>
          <w:sz w:val="20"/>
          <w:szCs w:val="20"/>
        </w:rPr>
        <w:t xml:space="preserve">The government ratified the Paris Agreement in October 2021, committing to net-zero emissions by 2053 and pushing forward resilient decarbonization plans.  </w:t>
      </w:r>
      <w:r w:rsidR="000D0203" w:rsidRPr="059B78C6">
        <w:rPr>
          <w:rFonts w:asciiTheme="minorHAnsi" w:hAnsiTheme="minorHAnsi" w:cstheme="minorBidi"/>
          <w:sz w:val="20"/>
          <w:szCs w:val="20"/>
        </w:rPr>
        <w:t>E</w:t>
      </w:r>
      <w:r w:rsidR="00F33123" w:rsidRPr="059B78C6">
        <w:rPr>
          <w:rFonts w:asciiTheme="minorHAnsi" w:hAnsiTheme="minorHAnsi" w:cstheme="minorBidi"/>
          <w:sz w:val="20"/>
          <w:szCs w:val="20"/>
        </w:rPr>
        <w:t>fforts are underway to implement an Emission Trading System (ETS) to control emissions and maintain trade relations with the European Union</w:t>
      </w:r>
      <w:r w:rsidR="00C52AED" w:rsidRPr="059B78C6">
        <w:rPr>
          <w:rFonts w:asciiTheme="minorHAnsi" w:hAnsiTheme="minorHAnsi" w:cstheme="minorBidi"/>
          <w:sz w:val="20"/>
          <w:szCs w:val="20"/>
        </w:rPr>
        <w:t>, in line with the EU's Carbon Border Adjustment Mechanism (CBAM)</w:t>
      </w:r>
      <w:r w:rsidR="00F33123" w:rsidRPr="059B78C6">
        <w:rPr>
          <w:rFonts w:asciiTheme="minorHAnsi" w:hAnsiTheme="minorHAnsi" w:cstheme="minorBidi"/>
          <w:sz w:val="20"/>
          <w:szCs w:val="20"/>
        </w:rPr>
        <w:t>. A partnership with the World Bank has been formed to develop the ETS, with plans to pilot the system in 2024. Additionally, Türkiye's energy exchange, EPIAS, will collaborate with EEX to ensure compatibility with EU practices.</w:t>
      </w:r>
    </w:p>
    <w:p w14:paraId="761E1879" w14:textId="78ABF9E2" w:rsidR="004A060D" w:rsidRPr="0043215C" w:rsidRDefault="00681151" w:rsidP="004A060D">
      <w:pPr>
        <w:pStyle w:val="NormalWeb"/>
        <w:jc w:val="both"/>
        <w:rPr>
          <w:rFonts w:asciiTheme="minorHAnsi" w:hAnsiTheme="minorHAnsi" w:cstheme="minorBidi"/>
          <w:sz w:val="20"/>
          <w:szCs w:val="20"/>
        </w:rPr>
      </w:pPr>
      <w:r w:rsidRPr="059B78C6">
        <w:rPr>
          <w:rFonts w:asciiTheme="minorHAnsi" w:hAnsiTheme="minorHAnsi" w:cstheme="minorBidi"/>
          <w:sz w:val="20"/>
          <w:szCs w:val="20"/>
        </w:rPr>
        <w:t>The</w:t>
      </w:r>
      <w:r w:rsidR="00587ED0" w:rsidRPr="059B78C6">
        <w:rPr>
          <w:rFonts w:asciiTheme="minorHAnsi" w:hAnsiTheme="minorHAnsi" w:cstheme="minorBidi"/>
          <w:sz w:val="20"/>
          <w:szCs w:val="20"/>
        </w:rPr>
        <w:t xml:space="preserve"> National Energy Plan (NEP)</w:t>
      </w:r>
      <w:r w:rsidR="00127BBE" w:rsidRPr="059B78C6">
        <w:rPr>
          <w:rFonts w:asciiTheme="minorHAnsi" w:hAnsiTheme="minorHAnsi" w:cstheme="minorBidi"/>
          <w:sz w:val="20"/>
          <w:szCs w:val="20"/>
        </w:rPr>
        <w:t>,</w:t>
      </w:r>
      <w:r w:rsidR="00926B08" w:rsidRPr="059B78C6">
        <w:rPr>
          <w:rFonts w:asciiTheme="minorHAnsi" w:hAnsiTheme="minorHAnsi" w:cstheme="minorBidi"/>
          <w:sz w:val="20"/>
          <w:szCs w:val="20"/>
        </w:rPr>
        <w:t xml:space="preserve"> </w:t>
      </w:r>
      <w:r w:rsidR="00723566" w:rsidRPr="059B78C6">
        <w:rPr>
          <w:rFonts w:asciiTheme="minorHAnsi" w:hAnsiTheme="minorHAnsi" w:cstheme="minorBidi"/>
          <w:sz w:val="20"/>
          <w:szCs w:val="20"/>
        </w:rPr>
        <w:t>issued by the government in</w:t>
      </w:r>
      <w:r w:rsidR="00926B08" w:rsidRPr="059B78C6">
        <w:rPr>
          <w:rFonts w:asciiTheme="minorHAnsi" w:hAnsiTheme="minorHAnsi" w:cstheme="minorBidi"/>
          <w:sz w:val="20"/>
          <w:szCs w:val="20"/>
        </w:rPr>
        <w:t xml:space="preserve"> December 2022</w:t>
      </w:r>
      <w:r w:rsidR="00127BBE" w:rsidRPr="059B78C6">
        <w:rPr>
          <w:rFonts w:asciiTheme="minorHAnsi" w:hAnsiTheme="minorHAnsi" w:cstheme="minorBidi"/>
          <w:sz w:val="20"/>
          <w:szCs w:val="20"/>
        </w:rPr>
        <w:t>,</w:t>
      </w:r>
      <w:r w:rsidR="00587ED0" w:rsidRPr="059B78C6">
        <w:rPr>
          <w:rFonts w:asciiTheme="minorHAnsi" w:hAnsiTheme="minorHAnsi" w:cstheme="minorBidi"/>
          <w:sz w:val="20"/>
          <w:szCs w:val="20"/>
        </w:rPr>
        <w:t xml:space="preserve"> </w:t>
      </w:r>
      <w:r w:rsidR="00A046A1" w:rsidRPr="059B78C6">
        <w:rPr>
          <w:rFonts w:asciiTheme="minorHAnsi" w:hAnsiTheme="minorHAnsi" w:cstheme="minorBidi"/>
          <w:sz w:val="20"/>
          <w:szCs w:val="20"/>
        </w:rPr>
        <w:t xml:space="preserve">has </w:t>
      </w:r>
      <w:r w:rsidR="00587ED0" w:rsidRPr="059B78C6">
        <w:rPr>
          <w:rFonts w:asciiTheme="minorHAnsi" w:hAnsiTheme="minorHAnsi" w:cstheme="minorBidi"/>
          <w:sz w:val="20"/>
          <w:szCs w:val="20"/>
        </w:rPr>
        <w:t>set ambitious targets to scale up renewable energy and flexibility resources by 2035. The 12th National Development Plan (NDP</w:t>
      </w:r>
      <w:r w:rsidR="00380B90" w:rsidRPr="059B78C6">
        <w:rPr>
          <w:rFonts w:asciiTheme="minorHAnsi" w:hAnsiTheme="minorHAnsi" w:cstheme="minorBidi"/>
          <w:sz w:val="20"/>
          <w:szCs w:val="20"/>
        </w:rPr>
        <w:t>, 2024-2028</w:t>
      </w:r>
      <w:r w:rsidR="00587ED0" w:rsidRPr="059B78C6">
        <w:rPr>
          <w:rFonts w:asciiTheme="minorHAnsi" w:hAnsiTheme="minorHAnsi" w:cstheme="minorBidi"/>
          <w:sz w:val="20"/>
          <w:szCs w:val="20"/>
        </w:rPr>
        <w:t xml:space="preserve">) outlines a comprehensive agenda to transform </w:t>
      </w:r>
      <w:r w:rsidR="007321B1" w:rsidRPr="059B78C6">
        <w:rPr>
          <w:rFonts w:asciiTheme="minorHAnsi" w:hAnsiTheme="minorHAnsi" w:cstheme="minorBidi"/>
          <w:sz w:val="20"/>
          <w:szCs w:val="20"/>
        </w:rPr>
        <w:t xml:space="preserve">Türkiye </w:t>
      </w:r>
      <w:r w:rsidR="00587ED0" w:rsidRPr="059B78C6">
        <w:rPr>
          <w:rFonts w:asciiTheme="minorHAnsi" w:hAnsiTheme="minorHAnsi" w:cstheme="minorBidi"/>
          <w:sz w:val="20"/>
          <w:szCs w:val="20"/>
        </w:rPr>
        <w:t>'s economy in line with climate goals, focusing on immediate actions until 2028. Recent initiatives, including the 12th NDP and the National Energy Efficiency Action Plan (NEEAP</w:t>
      </w:r>
      <w:r w:rsidR="0009396B" w:rsidRPr="059B78C6">
        <w:rPr>
          <w:rFonts w:asciiTheme="minorHAnsi" w:hAnsiTheme="minorHAnsi" w:cstheme="minorBidi"/>
          <w:sz w:val="20"/>
          <w:szCs w:val="20"/>
        </w:rPr>
        <w:t>, 2024</w:t>
      </w:r>
      <w:r w:rsidR="00587ED0" w:rsidRPr="059B78C6">
        <w:rPr>
          <w:rFonts w:asciiTheme="minorHAnsi" w:hAnsiTheme="minorHAnsi" w:cstheme="minorBidi"/>
          <w:sz w:val="20"/>
          <w:szCs w:val="20"/>
        </w:rPr>
        <w:t xml:space="preserve">), form a cohesive strategy to overhaul the nation's economic structure to meet climate objectives. These efforts are part of </w:t>
      </w:r>
      <w:r w:rsidR="007321B1" w:rsidRPr="059B78C6">
        <w:rPr>
          <w:rFonts w:asciiTheme="minorHAnsi" w:hAnsiTheme="minorHAnsi" w:cstheme="minorBidi"/>
          <w:sz w:val="20"/>
          <w:szCs w:val="20"/>
        </w:rPr>
        <w:t>Türkiye</w:t>
      </w:r>
      <w:r w:rsidR="00587ED0" w:rsidRPr="059B78C6">
        <w:rPr>
          <w:rFonts w:asciiTheme="minorHAnsi" w:hAnsiTheme="minorHAnsi" w:cstheme="minorBidi"/>
          <w:sz w:val="20"/>
          <w:szCs w:val="20"/>
        </w:rPr>
        <w:t xml:space="preserve">'s broader commitment to a sustainable and climate-resilient future, with a Long-Term Decarbonization Strategy </w:t>
      </w:r>
      <w:r w:rsidR="00E83B3A" w:rsidRPr="059B78C6">
        <w:rPr>
          <w:rFonts w:asciiTheme="minorHAnsi" w:hAnsiTheme="minorHAnsi" w:cstheme="minorBidi"/>
          <w:sz w:val="20"/>
          <w:szCs w:val="20"/>
        </w:rPr>
        <w:t>under</w:t>
      </w:r>
      <w:r w:rsidR="00587ED0" w:rsidRPr="059B78C6">
        <w:rPr>
          <w:rFonts w:asciiTheme="minorHAnsi" w:hAnsiTheme="minorHAnsi" w:cstheme="minorBidi"/>
          <w:sz w:val="20"/>
          <w:szCs w:val="20"/>
        </w:rPr>
        <w:t xml:space="preserve"> development to detail further climate actions.</w:t>
      </w:r>
      <w:r w:rsidR="008C29BF" w:rsidRPr="059B78C6">
        <w:rPr>
          <w:rFonts w:asciiTheme="minorHAnsi" w:hAnsiTheme="minorHAnsi" w:cstheme="minorBidi"/>
          <w:sz w:val="20"/>
          <w:szCs w:val="20"/>
        </w:rPr>
        <w:t xml:space="preserve"> </w:t>
      </w:r>
      <w:r w:rsidR="007321B1" w:rsidRPr="059B78C6">
        <w:rPr>
          <w:rFonts w:asciiTheme="minorHAnsi" w:hAnsiTheme="minorHAnsi" w:cstheme="minorBidi"/>
          <w:sz w:val="20"/>
          <w:szCs w:val="20"/>
        </w:rPr>
        <w:t>Türkiye</w:t>
      </w:r>
      <w:r w:rsidR="004A060D" w:rsidRPr="059B78C6">
        <w:rPr>
          <w:rFonts w:asciiTheme="minorHAnsi" w:hAnsiTheme="minorHAnsi" w:cstheme="minorBidi"/>
          <w:sz w:val="20"/>
          <w:szCs w:val="20"/>
        </w:rPr>
        <w:t xml:space="preserve">'s energy strategies, outlined </w:t>
      </w:r>
      <w:r w:rsidR="008D2850" w:rsidRPr="059B78C6">
        <w:rPr>
          <w:rFonts w:asciiTheme="minorHAnsi" w:hAnsiTheme="minorHAnsi" w:cstheme="minorBidi"/>
          <w:sz w:val="20"/>
          <w:szCs w:val="20"/>
        </w:rPr>
        <w:t xml:space="preserve">in </w:t>
      </w:r>
      <w:r w:rsidR="003809E4" w:rsidRPr="059B78C6">
        <w:rPr>
          <w:rFonts w:asciiTheme="minorHAnsi" w:hAnsiTheme="minorHAnsi" w:cstheme="minorBidi"/>
          <w:sz w:val="20"/>
          <w:szCs w:val="20"/>
        </w:rPr>
        <w:t xml:space="preserve">the </w:t>
      </w:r>
      <w:r w:rsidR="004A060D" w:rsidRPr="059B78C6">
        <w:rPr>
          <w:rFonts w:asciiTheme="minorHAnsi" w:hAnsiTheme="minorHAnsi" w:cstheme="minorBidi"/>
          <w:sz w:val="20"/>
          <w:szCs w:val="20"/>
        </w:rPr>
        <w:t>NDP, Medium-Term Program, NEP</w:t>
      </w:r>
      <w:r w:rsidR="003809E4" w:rsidRPr="059B78C6">
        <w:rPr>
          <w:rFonts w:asciiTheme="minorHAnsi" w:hAnsiTheme="minorHAnsi" w:cstheme="minorBidi"/>
          <w:sz w:val="20"/>
          <w:szCs w:val="20"/>
        </w:rPr>
        <w:t xml:space="preserve"> </w:t>
      </w:r>
      <w:r w:rsidR="004A060D" w:rsidRPr="059B78C6">
        <w:rPr>
          <w:rFonts w:asciiTheme="minorHAnsi" w:hAnsiTheme="minorHAnsi" w:cstheme="minorBidi"/>
          <w:sz w:val="20"/>
          <w:szCs w:val="20"/>
        </w:rPr>
        <w:t>and NEEAP, prioritize local and renewable energy sources</w:t>
      </w:r>
      <w:r w:rsidR="008A2CE7" w:rsidRPr="059B78C6">
        <w:rPr>
          <w:rFonts w:asciiTheme="minorHAnsi" w:hAnsiTheme="minorHAnsi" w:cstheme="minorBidi"/>
          <w:sz w:val="20"/>
          <w:szCs w:val="20"/>
        </w:rPr>
        <w:t xml:space="preserve"> (particularly solar and wind)</w:t>
      </w:r>
      <w:r w:rsidR="004A060D" w:rsidRPr="059B78C6">
        <w:rPr>
          <w:rFonts w:asciiTheme="minorHAnsi" w:hAnsiTheme="minorHAnsi" w:cstheme="minorBidi"/>
          <w:sz w:val="20"/>
          <w:szCs w:val="20"/>
        </w:rPr>
        <w:t xml:space="preserve">, </w:t>
      </w:r>
      <w:r w:rsidR="008C29BF" w:rsidRPr="059B78C6">
        <w:rPr>
          <w:rFonts w:asciiTheme="minorHAnsi" w:hAnsiTheme="minorHAnsi" w:cstheme="minorBidi"/>
          <w:sz w:val="20"/>
          <w:szCs w:val="20"/>
        </w:rPr>
        <w:t xml:space="preserve">advance domestic energy technologies, </w:t>
      </w:r>
      <w:r w:rsidR="004A060D" w:rsidRPr="059B78C6">
        <w:rPr>
          <w:rFonts w:asciiTheme="minorHAnsi" w:hAnsiTheme="minorHAnsi" w:cstheme="minorBidi"/>
          <w:sz w:val="20"/>
          <w:szCs w:val="20"/>
        </w:rPr>
        <w:t xml:space="preserve">improve energy efficiency, and enhance </w:t>
      </w:r>
      <w:r w:rsidR="007321B1" w:rsidRPr="059B78C6">
        <w:rPr>
          <w:rFonts w:asciiTheme="minorHAnsi" w:hAnsiTheme="minorHAnsi" w:cstheme="minorBidi"/>
          <w:sz w:val="20"/>
          <w:szCs w:val="20"/>
        </w:rPr>
        <w:t>Türkiye’</w:t>
      </w:r>
      <w:r w:rsidR="004A060D" w:rsidRPr="059B78C6">
        <w:rPr>
          <w:rFonts w:asciiTheme="minorHAnsi" w:hAnsiTheme="minorHAnsi" w:cstheme="minorBidi"/>
          <w:sz w:val="20"/>
          <w:szCs w:val="20"/>
        </w:rPr>
        <w:t xml:space="preserve">s role in the global energy market. </w:t>
      </w:r>
    </w:p>
    <w:p w14:paraId="20E592A7" w14:textId="435C1C30" w:rsidR="059B78C6" w:rsidRDefault="059B78C6" w:rsidP="059B78C6">
      <w:pPr>
        <w:pStyle w:val="NormalWeb"/>
        <w:jc w:val="both"/>
        <w:rPr>
          <w:rFonts w:asciiTheme="minorHAnsi" w:hAnsiTheme="minorHAnsi" w:cstheme="minorBidi"/>
          <w:sz w:val="20"/>
          <w:szCs w:val="20"/>
        </w:rPr>
      </w:pPr>
    </w:p>
    <w:p w14:paraId="0653EE69" w14:textId="1F2F84C4" w:rsidR="00587ED0" w:rsidRPr="0043215C" w:rsidRDefault="00587ED0" w:rsidP="006135E7">
      <w:pPr>
        <w:pStyle w:val="NormalWeb"/>
        <w:jc w:val="both"/>
        <w:rPr>
          <w:rFonts w:asciiTheme="minorHAnsi" w:hAnsiTheme="minorHAnsi" w:cstheme="minorHAnsi"/>
          <w:sz w:val="20"/>
          <w:szCs w:val="20"/>
        </w:rPr>
      </w:pPr>
      <w:r w:rsidRPr="0043215C">
        <w:rPr>
          <w:rFonts w:asciiTheme="minorHAnsi" w:hAnsiTheme="minorHAnsi" w:cstheme="minorHAnsi"/>
          <w:sz w:val="20"/>
          <w:szCs w:val="20"/>
        </w:rPr>
        <w:lastRenderedPageBreak/>
        <w:t>During 28</w:t>
      </w:r>
      <w:r w:rsidRPr="0043215C">
        <w:rPr>
          <w:rFonts w:asciiTheme="minorHAnsi" w:hAnsiTheme="minorHAnsi" w:cstheme="minorHAnsi"/>
          <w:sz w:val="20"/>
          <w:szCs w:val="20"/>
          <w:vertAlign w:val="superscript"/>
        </w:rPr>
        <w:t>th</w:t>
      </w:r>
      <w:r w:rsidRPr="0043215C">
        <w:rPr>
          <w:rFonts w:asciiTheme="minorHAnsi" w:hAnsiTheme="minorHAnsi" w:cstheme="minorHAnsi"/>
          <w:sz w:val="20"/>
          <w:szCs w:val="20"/>
        </w:rPr>
        <w:t xml:space="preserve"> United Nations Climate Change Conference (COP28), </w:t>
      </w:r>
      <w:r w:rsidR="00B56874" w:rsidRPr="0043215C">
        <w:rPr>
          <w:rFonts w:asciiTheme="minorHAnsi" w:hAnsiTheme="minorHAnsi" w:cstheme="minorHAnsi"/>
          <w:sz w:val="20"/>
          <w:szCs w:val="20"/>
        </w:rPr>
        <w:t>Türkiye</w:t>
      </w:r>
      <w:r w:rsidRPr="0043215C">
        <w:rPr>
          <w:rFonts w:asciiTheme="minorHAnsi" w:hAnsiTheme="minorHAnsi" w:cstheme="minorHAnsi"/>
          <w:sz w:val="20"/>
          <w:szCs w:val="20"/>
        </w:rPr>
        <w:t xml:space="preserve"> announced a plan to expand solar PV and wind power capacity by 60 GW by 2035, aiming to lower electricity costs and reduce reliance on fossil fuels, enhancing industrial competitiveness and growth. Plans include increasing wind power capacity to 29.6 GW (24.6 GW onshore and 5 GW offshore) and solar energy capacity to 52.9 GW by 2035. Hydroelectric power plants are expected to reach 35.1 GW, and geothermal and biomass power plants 5.1 GW.</w:t>
      </w:r>
    </w:p>
    <w:p w14:paraId="271A766E" w14:textId="77777777" w:rsidR="00652F4B" w:rsidRPr="0043215C" w:rsidRDefault="00652F4B" w:rsidP="00652F4B">
      <w:pPr>
        <w:spacing w:before="120" w:after="0" w:line="240" w:lineRule="auto"/>
        <w:rPr>
          <w:rStyle w:val="normaltextrun"/>
          <w:rFonts w:eastAsia="Times New Roman" w:cstheme="minorHAnsi"/>
          <w:color w:val="000000" w:themeColor="text1"/>
          <w:sz w:val="20"/>
          <w:szCs w:val="20"/>
        </w:rPr>
      </w:pPr>
      <w:r w:rsidRPr="0043215C">
        <w:rPr>
          <w:rFonts w:cstheme="minorHAnsi"/>
          <w:sz w:val="20"/>
          <w:szCs w:val="20"/>
          <w:shd w:val="clear" w:color="auto" w:fill="FFFFFF"/>
        </w:rPr>
        <w:t xml:space="preserve">The World Bank's Country Climate and Development Report (CCDR) on Türkiye, published in June 2022, outlines a practical approach for the country to transition to net-zero emissions, promising substantial economic, social, and environmental gains. The World Bank's involvement in Türkiye aligns with the CCDR's suggestions, with an existing energy portfolio of nine projects totaling over $3 billion. </w:t>
      </w:r>
      <w:r w:rsidRPr="0043215C">
        <w:rPr>
          <w:rStyle w:val="normaltextrun"/>
          <w:rFonts w:eastAsia="Times New Roman" w:cstheme="minorHAnsi"/>
          <w:color w:val="000000" w:themeColor="text1"/>
          <w:sz w:val="20"/>
          <w:szCs w:val="20"/>
        </w:rPr>
        <w:t xml:space="preserve">The World Bank’s  energy sector portfolio consists of four projects that contribute to enabling renewable energy capacity (Renewable Energy Integration, Geothermal Development, Public and Municipal RE and </w:t>
      </w:r>
      <w:r w:rsidRPr="0043215C">
        <w:rPr>
          <w:rStyle w:val="eop"/>
          <w:rFonts w:eastAsia="Times New Roman" w:cstheme="minorHAnsi"/>
          <w:color w:val="000000" w:themeColor="text1"/>
          <w:sz w:val="20"/>
          <w:szCs w:val="20"/>
        </w:rPr>
        <w:t>Accelerating the Market Transition for Distributed Energy</w:t>
      </w:r>
      <w:r w:rsidRPr="0043215C">
        <w:rPr>
          <w:rStyle w:val="normaltextrun"/>
          <w:rFonts w:eastAsia="Times New Roman" w:cstheme="minorHAnsi"/>
          <w:color w:val="000000" w:themeColor="text1"/>
          <w:sz w:val="20"/>
          <w:szCs w:val="20"/>
        </w:rPr>
        <w:t>), four in energy efficiency (Energy Efficiency in Public Buildings - 1 and 2,</w:t>
      </w:r>
      <w:r w:rsidRPr="0043215C">
        <w:rPr>
          <w:rStyle w:val="eop"/>
          <w:rFonts w:eastAsia="Times New Roman" w:cstheme="minorHAnsi"/>
          <w:color w:val="000000" w:themeColor="text1"/>
          <w:sz w:val="20"/>
          <w:szCs w:val="20"/>
        </w:rPr>
        <w:t xml:space="preserve"> </w:t>
      </w:r>
      <w:r w:rsidRPr="0043215C">
        <w:rPr>
          <w:rStyle w:val="normaltextrun"/>
          <w:rFonts w:eastAsia="DengXian" w:cstheme="minorHAnsi"/>
          <w:color w:val="000000" w:themeColor="text1"/>
          <w:sz w:val="20"/>
          <w:szCs w:val="20"/>
        </w:rPr>
        <w:t>Seismic Resilience and Energy Efficiency in Public Buildings, Organized Industrial Zones</w:t>
      </w:r>
      <w:r w:rsidRPr="0043215C">
        <w:rPr>
          <w:rStyle w:val="normaltextrun"/>
          <w:rFonts w:eastAsia="Times New Roman" w:cstheme="minorHAnsi"/>
          <w:color w:val="000000" w:themeColor="text1"/>
          <w:sz w:val="20"/>
          <w:szCs w:val="20"/>
        </w:rPr>
        <w:t>) and one in the gas sector (Gas Storage Expansion Project – GSEP).</w:t>
      </w:r>
      <w:r w:rsidRPr="0043215C">
        <w:rPr>
          <w:rFonts w:cstheme="minorHAnsi"/>
          <w:sz w:val="20"/>
          <w:szCs w:val="20"/>
          <w:shd w:val="clear" w:color="auto" w:fill="FFFFFF"/>
        </w:rPr>
        <w:t xml:space="preserve"> In 2023, these projects have already facilitated the generation of 956 MW of renewable energy, with an expectation to contribute to 2,273 MW by 2028. Additionally, three technical assistance projects have been recently approved, two under European Union (EU) IPA II - Phases 3 and 4, and one to support PMI. The World Bank’s decarbonization program is set to grow with a new pipeline including</w:t>
      </w:r>
      <w:r w:rsidRPr="0043215C">
        <w:rPr>
          <w:rStyle w:val="normaltextrun"/>
          <w:rFonts w:eastAsia="Times New Roman" w:cstheme="minorHAnsi"/>
          <w:color w:val="000000" w:themeColor="text1"/>
          <w:sz w:val="20"/>
          <w:szCs w:val="20"/>
        </w:rPr>
        <w:t xml:space="preserve"> Transforming Power Transmission System for REI Projects– Phases 1 and 2 (IBRD US$1.5 billion in total, FY26 and FY28).  </w:t>
      </w:r>
    </w:p>
    <w:p w14:paraId="38559909" w14:textId="77777777" w:rsidR="007F6B7F" w:rsidRPr="0043215C" w:rsidRDefault="007F6B7F" w:rsidP="00652F4B">
      <w:pPr>
        <w:spacing w:before="120" w:after="0" w:line="240" w:lineRule="auto"/>
        <w:rPr>
          <w:rFonts w:eastAsia="Times New Roman" w:cstheme="minorHAnsi"/>
          <w:color w:val="000000" w:themeColor="text1"/>
          <w:sz w:val="20"/>
          <w:szCs w:val="20"/>
        </w:rPr>
      </w:pPr>
    </w:p>
    <w:p w14:paraId="228F82E7" w14:textId="14CFCDD4" w:rsidR="007F6B7F" w:rsidRPr="0043215C" w:rsidRDefault="007F6B7F" w:rsidP="007F6B7F">
      <w:pPr>
        <w:rPr>
          <w:rFonts w:cstheme="minorHAnsi"/>
          <w:sz w:val="20"/>
          <w:szCs w:val="20"/>
          <w:shd w:val="clear" w:color="auto" w:fill="FFFFFF"/>
        </w:rPr>
      </w:pPr>
      <w:r w:rsidRPr="0043215C">
        <w:rPr>
          <w:rFonts w:cstheme="minorHAnsi"/>
          <w:sz w:val="20"/>
          <w:szCs w:val="20"/>
          <w:shd w:val="clear" w:color="auto" w:fill="FFFFFF"/>
        </w:rPr>
        <w:t>The International Finance Corporation (IFC) has invested over $3 billion in Türkiye to support private sector projects that enhance energy generation, efficiency, and climate change mitigation. This includes 10 power generation projects with a capacity of 4</w:t>
      </w:r>
      <w:r w:rsidR="00135B81" w:rsidRPr="0043215C">
        <w:rPr>
          <w:rFonts w:cstheme="minorHAnsi"/>
          <w:sz w:val="20"/>
          <w:szCs w:val="20"/>
          <w:shd w:val="clear" w:color="auto" w:fill="FFFFFF"/>
        </w:rPr>
        <w:t>.</w:t>
      </w:r>
      <w:r w:rsidRPr="0043215C">
        <w:rPr>
          <w:rFonts w:cstheme="minorHAnsi"/>
          <w:sz w:val="20"/>
          <w:szCs w:val="20"/>
          <w:shd w:val="clear" w:color="auto" w:fill="FFFFFF"/>
        </w:rPr>
        <w:t xml:space="preserve">3 </w:t>
      </w:r>
      <w:r w:rsidR="00135B81" w:rsidRPr="0043215C">
        <w:rPr>
          <w:rFonts w:cstheme="minorHAnsi"/>
          <w:sz w:val="20"/>
          <w:szCs w:val="20"/>
          <w:shd w:val="clear" w:color="auto" w:fill="FFFFFF"/>
        </w:rPr>
        <w:t>G</w:t>
      </w:r>
      <w:r w:rsidRPr="0043215C">
        <w:rPr>
          <w:rFonts w:cstheme="minorHAnsi"/>
          <w:sz w:val="20"/>
          <w:szCs w:val="20"/>
          <w:shd w:val="clear" w:color="auto" w:fill="FFFFFF"/>
        </w:rPr>
        <w:t xml:space="preserve">W and distribution projects benefiting 3.9 million customers. These investments, in line with </w:t>
      </w:r>
      <w:r w:rsidR="003D3266" w:rsidRPr="0043215C">
        <w:rPr>
          <w:rFonts w:cstheme="minorHAnsi"/>
          <w:sz w:val="20"/>
          <w:szCs w:val="20"/>
          <w:shd w:val="clear" w:color="auto" w:fill="FFFFFF"/>
        </w:rPr>
        <w:t>the</w:t>
      </w:r>
      <w:r w:rsidRPr="0043215C">
        <w:rPr>
          <w:rFonts w:cstheme="minorHAnsi"/>
          <w:sz w:val="20"/>
          <w:szCs w:val="20"/>
          <w:shd w:val="clear" w:color="auto" w:fill="FFFFFF"/>
        </w:rPr>
        <w:t xml:space="preserve"> World Bank reforms, have fostered innovation and market creation, leading to more reliable electricity, economic growth, and higher labor force participation. IFC is committed to financing power generation to meet Türkiye's future energy demands and to strengthen the distribution network to better integrate renewable energy and enhance resilience. Following the approval of the W</w:t>
      </w:r>
      <w:r w:rsidR="00BC3B6B" w:rsidRPr="0043215C">
        <w:rPr>
          <w:rFonts w:cstheme="minorHAnsi"/>
          <w:sz w:val="20"/>
          <w:szCs w:val="20"/>
          <w:shd w:val="clear" w:color="auto" w:fill="FFFFFF"/>
        </w:rPr>
        <w:t xml:space="preserve">orld </w:t>
      </w:r>
      <w:r w:rsidR="00321A08" w:rsidRPr="0043215C">
        <w:rPr>
          <w:rFonts w:cstheme="minorHAnsi"/>
          <w:sz w:val="20"/>
          <w:szCs w:val="20"/>
          <w:shd w:val="clear" w:color="auto" w:fill="FFFFFF"/>
        </w:rPr>
        <w:t>Bank Country</w:t>
      </w:r>
      <w:r w:rsidRPr="0043215C">
        <w:rPr>
          <w:rFonts w:cstheme="minorHAnsi"/>
          <w:sz w:val="20"/>
          <w:szCs w:val="20"/>
          <w:shd w:val="clear" w:color="auto" w:fill="FFFFFF"/>
        </w:rPr>
        <w:t xml:space="preserve"> Partnership Framework FY24-FY28 in April 2024, IFC, along with IBRD and MIGA, plans to continue supporting renewable energy projects and the modernization of transmission and distribution networks. IFC is also focused on promoting the adoption of new clean technologies, including battery storage energy systems, to increase renewable energy generation, diversify the energy mix, and improve the resilience of the power system in Türkiye.</w:t>
      </w:r>
    </w:p>
    <w:p w14:paraId="799E0E1D" w14:textId="23957113" w:rsidR="00D142AD" w:rsidRPr="0043215C" w:rsidRDefault="002B68C2" w:rsidP="007F6B7F">
      <w:pPr>
        <w:rPr>
          <w:rFonts w:eastAsia="Times New Roman" w:cstheme="minorHAnsi"/>
          <w:color w:val="000000" w:themeColor="text1"/>
          <w:sz w:val="20"/>
          <w:szCs w:val="20"/>
        </w:rPr>
      </w:pPr>
      <w:r w:rsidRPr="0043215C">
        <w:rPr>
          <w:rFonts w:cstheme="minorHAnsi"/>
          <w:sz w:val="20"/>
          <w:szCs w:val="20"/>
          <w:shd w:val="clear" w:color="auto" w:fill="FFFFFF"/>
        </w:rPr>
        <w:t>Over the past decade, the European Bank for Reconstruction and Development (EBRD) has invested EUR2 billion in 30 energy sector projects in Türkiye, encompassing renewables, energy efficiency, and power distribution. The EBRD's total investment in renewables amounts to EUR9 billion, including significant solar and wind projects, and a major geothermal plant that boosted Türkiye's geothermal capacity by 30%. These investments have also enhanced human capital by fostering green and digital skills through nationally accredited certifications and promoting workforce diversity via Equal Opportunity Action Plans. Additionally, the EBRD has worked with local authorities to support economy-wide decarbonization, helping to develop the Renewable Energy Action Plan aligned with the EU's directive, design post-2020 renewable energy support schemes, and formulate the National Energy Efficiency Action Plan (NEEAP).</w:t>
      </w:r>
    </w:p>
    <w:p w14:paraId="5C66E3CD" w14:textId="178756C1" w:rsidR="059B78C6" w:rsidRDefault="00587ED0" w:rsidP="059B78C6">
      <w:pPr>
        <w:pStyle w:val="NormalWeb"/>
        <w:jc w:val="both"/>
        <w:rPr>
          <w:rFonts w:asciiTheme="minorHAnsi" w:hAnsiTheme="minorHAnsi" w:cstheme="minorBidi"/>
          <w:sz w:val="20"/>
          <w:szCs w:val="20"/>
        </w:rPr>
      </w:pPr>
      <w:r w:rsidRPr="059B78C6">
        <w:rPr>
          <w:rFonts w:asciiTheme="minorHAnsi" w:hAnsiTheme="minorHAnsi" w:cstheme="minorBidi"/>
          <w:sz w:val="20"/>
          <w:szCs w:val="20"/>
        </w:rPr>
        <w:t xml:space="preserve">The Clean Technology Fund (CTF) has supported sustainable energy projects in </w:t>
      </w:r>
      <w:r w:rsidR="00B56874" w:rsidRPr="059B78C6">
        <w:rPr>
          <w:rFonts w:asciiTheme="minorHAnsi" w:hAnsiTheme="minorHAnsi" w:cstheme="minorBidi"/>
          <w:sz w:val="20"/>
          <w:szCs w:val="20"/>
        </w:rPr>
        <w:t>Türkiye</w:t>
      </w:r>
      <w:r w:rsidRPr="059B78C6">
        <w:rPr>
          <w:rFonts w:asciiTheme="minorHAnsi" w:hAnsiTheme="minorHAnsi" w:cstheme="minorBidi"/>
          <w:sz w:val="20"/>
          <w:szCs w:val="20"/>
        </w:rPr>
        <w:t xml:space="preserve"> since 2012, with a total investment of </w:t>
      </w:r>
      <w:r w:rsidR="00636124" w:rsidRPr="059B78C6">
        <w:rPr>
          <w:rFonts w:asciiTheme="minorHAnsi" w:hAnsiTheme="minorHAnsi" w:cstheme="minorBidi"/>
          <w:sz w:val="20"/>
          <w:szCs w:val="20"/>
        </w:rPr>
        <w:t>US$</w:t>
      </w:r>
      <w:r w:rsidR="00F4083B" w:rsidRPr="059B78C6">
        <w:rPr>
          <w:rFonts w:asciiTheme="minorHAnsi" w:hAnsiTheme="minorHAnsi" w:cstheme="minorBidi"/>
          <w:sz w:val="20"/>
          <w:szCs w:val="20"/>
        </w:rPr>
        <w:t xml:space="preserve">5.6 </w:t>
      </w:r>
      <w:r w:rsidR="00072E47" w:rsidRPr="059B78C6">
        <w:rPr>
          <w:rFonts w:asciiTheme="minorHAnsi" w:hAnsiTheme="minorHAnsi" w:cstheme="minorBidi"/>
          <w:sz w:val="20"/>
          <w:szCs w:val="20"/>
        </w:rPr>
        <w:t>b</w:t>
      </w:r>
      <w:r w:rsidR="00604774" w:rsidRPr="059B78C6">
        <w:rPr>
          <w:rFonts w:asciiTheme="minorHAnsi" w:hAnsiTheme="minorHAnsi" w:cstheme="minorBidi"/>
          <w:sz w:val="20"/>
          <w:szCs w:val="20"/>
        </w:rPr>
        <w:t>illion</w:t>
      </w:r>
      <w:r w:rsidRPr="059B78C6">
        <w:rPr>
          <w:rFonts w:asciiTheme="minorHAnsi" w:hAnsiTheme="minorHAnsi" w:cstheme="minorBidi"/>
          <w:sz w:val="20"/>
          <w:szCs w:val="20"/>
        </w:rPr>
        <w:t xml:space="preserve">, </w:t>
      </w:r>
      <w:r w:rsidR="00792470" w:rsidRPr="059B78C6">
        <w:rPr>
          <w:rFonts w:asciiTheme="minorHAnsi" w:hAnsiTheme="minorHAnsi" w:cstheme="minorBidi"/>
          <w:sz w:val="20"/>
          <w:szCs w:val="20"/>
        </w:rPr>
        <w:t>including</w:t>
      </w:r>
      <w:r w:rsidRPr="059B78C6">
        <w:rPr>
          <w:rFonts w:asciiTheme="minorHAnsi" w:hAnsiTheme="minorHAnsi" w:cstheme="minorBidi"/>
          <w:sz w:val="20"/>
          <w:szCs w:val="20"/>
        </w:rPr>
        <w:t xml:space="preserve"> </w:t>
      </w:r>
      <w:r w:rsidR="00636124" w:rsidRPr="059B78C6">
        <w:rPr>
          <w:rFonts w:asciiTheme="minorHAnsi" w:hAnsiTheme="minorHAnsi" w:cstheme="minorBidi"/>
          <w:sz w:val="20"/>
          <w:szCs w:val="20"/>
        </w:rPr>
        <w:t>US$</w:t>
      </w:r>
      <w:r w:rsidR="00603512" w:rsidRPr="059B78C6">
        <w:rPr>
          <w:rFonts w:asciiTheme="minorHAnsi" w:hAnsiTheme="minorHAnsi" w:cstheme="minorBidi"/>
          <w:sz w:val="20"/>
          <w:szCs w:val="20"/>
        </w:rPr>
        <w:t>464.</w:t>
      </w:r>
      <w:r w:rsidR="00D41FC1" w:rsidRPr="059B78C6">
        <w:rPr>
          <w:rFonts w:asciiTheme="minorHAnsi" w:hAnsiTheme="minorHAnsi" w:cstheme="minorBidi"/>
          <w:sz w:val="20"/>
          <w:szCs w:val="20"/>
        </w:rPr>
        <w:t>5 million</w:t>
      </w:r>
      <w:r w:rsidRPr="059B78C6">
        <w:rPr>
          <w:rFonts w:asciiTheme="minorHAnsi" w:hAnsiTheme="minorHAnsi" w:cstheme="minorBidi"/>
          <w:sz w:val="20"/>
          <w:szCs w:val="20"/>
        </w:rPr>
        <w:t xml:space="preserve"> CTF </w:t>
      </w:r>
      <w:r w:rsidR="00604774" w:rsidRPr="059B78C6">
        <w:rPr>
          <w:rFonts w:asciiTheme="minorHAnsi" w:hAnsiTheme="minorHAnsi" w:cstheme="minorBidi"/>
          <w:sz w:val="20"/>
          <w:szCs w:val="20"/>
        </w:rPr>
        <w:t>co-</w:t>
      </w:r>
      <w:r w:rsidRPr="059B78C6">
        <w:rPr>
          <w:rFonts w:asciiTheme="minorHAnsi" w:hAnsiTheme="minorHAnsi" w:cstheme="minorBidi"/>
          <w:sz w:val="20"/>
          <w:szCs w:val="20"/>
        </w:rPr>
        <w:t xml:space="preserve">financing and </w:t>
      </w:r>
      <w:r w:rsidR="00636124" w:rsidRPr="059B78C6">
        <w:rPr>
          <w:rFonts w:asciiTheme="minorHAnsi" w:hAnsiTheme="minorHAnsi" w:cstheme="minorBidi"/>
          <w:sz w:val="20"/>
          <w:szCs w:val="20"/>
        </w:rPr>
        <w:t>US$</w:t>
      </w:r>
      <w:r w:rsidR="0060546A" w:rsidRPr="059B78C6">
        <w:rPr>
          <w:rFonts w:asciiTheme="minorHAnsi" w:hAnsiTheme="minorHAnsi" w:cstheme="minorBidi"/>
          <w:sz w:val="20"/>
          <w:szCs w:val="20"/>
        </w:rPr>
        <w:t>4.1</w:t>
      </w:r>
      <w:r w:rsidR="00D41FC1" w:rsidRPr="059B78C6">
        <w:rPr>
          <w:rFonts w:asciiTheme="minorHAnsi" w:hAnsiTheme="minorHAnsi" w:cstheme="minorBidi"/>
          <w:sz w:val="20"/>
          <w:szCs w:val="20"/>
        </w:rPr>
        <w:t xml:space="preserve"> billion </w:t>
      </w:r>
      <w:r w:rsidR="00242891" w:rsidRPr="059B78C6">
        <w:rPr>
          <w:rFonts w:eastAsia="Calibri" w:cstheme="minorBidi"/>
          <w:sz w:val="20"/>
          <w:szCs w:val="20"/>
        </w:rPr>
        <w:t>Multi Development Banks</w:t>
      </w:r>
      <w:r w:rsidR="00242891" w:rsidRPr="059B78C6">
        <w:rPr>
          <w:rFonts w:asciiTheme="minorHAnsi" w:hAnsiTheme="minorHAnsi" w:cstheme="minorBidi"/>
          <w:sz w:val="20"/>
          <w:szCs w:val="20"/>
        </w:rPr>
        <w:t xml:space="preserve"> (</w:t>
      </w:r>
      <w:r w:rsidR="001731D5" w:rsidRPr="059B78C6">
        <w:rPr>
          <w:rFonts w:asciiTheme="minorHAnsi" w:hAnsiTheme="minorHAnsi" w:cstheme="minorBidi"/>
          <w:sz w:val="20"/>
          <w:szCs w:val="20"/>
        </w:rPr>
        <w:t>MDB</w:t>
      </w:r>
      <w:r w:rsidR="00242891" w:rsidRPr="059B78C6">
        <w:rPr>
          <w:rFonts w:asciiTheme="minorHAnsi" w:hAnsiTheme="minorHAnsi" w:cstheme="minorBidi"/>
          <w:sz w:val="20"/>
          <w:szCs w:val="20"/>
        </w:rPr>
        <w:t>)</w:t>
      </w:r>
      <w:r w:rsidR="001731D5" w:rsidRPr="059B78C6">
        <w:rPr>
          <w:rFonts w:asciiTheme="minorHAnsi" w:hAnsiTheme="minorHAnsi" w:cstheme="minorBidi"/>
          <w:sz w:val="20"/>
          <w:szCs w:val="20"/>
        </w:rPr>
        <w:t xml:space="preserve"> </w:t>
      </w:r>
      <w:r w:rsidR="00141828" w:rsidRPr="059B78C6">
        <w:rPr>
          <w:rFonts w:asciiTheme="minorHAnsi" w:hAnsiTheme="minorHAnsi" w:cstheme="minorBidi"/>
          <w:sz w:val="20"/>
          <w:szCs w:val="20"/>
        </w:rPr>
        <w:t xml:space="preserve">co-financing </w:t>
      </w:r>
      <w:r w:rsidR="00D41FC1" w:rsidRPr="059B78C6">
        <w:rPr>
          <w:rFonts w:asciiTheme="minorHAnsi" w:hAnsiTheme="minorHAnsi" w:cstheme="minorBidi"/>
          <w:sz w:val="20"/>
          <w:szCs w:val="20"/>
        </w:rPr>
        <w:t>(</w:t>
      </w:r>
      <w:r w:rsidR="00110E89" w:rsidRPr="059B78C6">
        <w:rPr>
          <w:rFonts w:asciiTheme="minorHAnsi" w:hAnsiTheme="minorHAnsi" w:cstheme="minorBidi"/>
          <w:sz w:val="20"/>
          <w:szCs w:val="20"/>
        </w:rPr>
        <w:t>WB</w:t>
      </w:r>
      <w:r w:rsidR="00565E55" w:rsidRPr="059B78C6">
        <w:rPr>
          <w:rFonts w:asciiTheme="minorHAnsi" w:hAnsiTheme="minorHAnsi" w:cstheme="minorBidi"/>
          <w:sz w:val="20"/>
          <w:szCs w:val="20"/>
        </w:rPr>
        <w:t>:</w:t>
      </w:r>
      <w:r w:rsidR="00E43751" w:rsidRPr="059B78C6">
        <w:rPr>
          <w:rFonts w:asciiTheme="minorHAnsi" w:hAnsiTheme="minorHAnsi" w:cstheme="minorBidi"/>
          <w:sz w:val="20"/>
          <w:szCs w:val="20"/>
        </w:rPr>
        <w:t>US$</w:t>
      </w:r>
      <w:r w:rsidR="001216DC" w:rsidRPr="059B78C6">
        <w:rPr>
          <w:rFonts w:asciiTheme="minorHAnsi" w:hAnsiTheme="minorHAnsi" w:cstheme="minorBidi"/>
          <w:sz w:val="20"/>
          <w:szCs w:val="20"/>
        </w:rPr>
        <w:t>3 billion, IFC</w:t>
      </w:r>
      <w:r w:rsidR="00834FC3" w:rsidRPr="059B78C6">
        <w:rPr>
          <w:rFonts w:asciiTheme="minorHAnsi" w:hAnsiTheme="minorHAnsi" w:cstheme="minorBidi"/>
          <w:sz w:val="20"/>
          <w:szCs w:val="20"/>
        </w:rPr>
        <w:t>:</w:t>
      </w:r>
      <w:r w:rsidR="00C05789" w:rsidRPr="059B78C6">
        <w:rPr>
          <w:rFonts w:asciiTheme="minorHAnsi" w:hAnsiTheme="minorHAnsi" w:cstheme="minorBidi"/>
          <w:sz w:val="20"/>
          <w:szCs w:val="20"/>
        </w:rPr>
        <w:t xml:space="preserve"> US$</w:t>
      </w:r>
      <w:r w:rsidR="00287B21" w:rsidRPr="059B78C6">
        <w:rPr>
          <w:rFonts w:asciiTheme="minorHAnsi" w:hAnsiTheme="minorHAnsi" w:cstheme="minorBidi"/>
          <w:sz w:val="20"/>
          <w:szCs w:val="20"/>
        </w:rPr>
        <w:t>169 million</w:t>
      </w:r>
      <w:r w:rsidR="00666941" w:rsidRPr="059B78C6">
        <w:rPr>
          <w:rFonts w:asciiTheme="minorHAnsi" w:hAnsiTheme="minorHAnsi" w:cstheme="minorBidi"/>
          <w:sz w:val="20"/>
          <w:szCs w:val="20"/>
        </w:rPr>
        <w:t xml:space="preserve"> and</w:t>
      </w:r>
      <w:r w:rsidR="00183CB9" w:rsidRPr="059B78C6">
        <w:rPr>
          <w:rFonts w:asciiTheme="minorHAnsi" w:hAnsiTheme="minorHAnsi" w:cstheme="minorBidi"/>
          <w:sz w:val="20"/>
          <w:szCs w:val="20"/>
        </w:rPr>
        <w:t xml:space="preserve"> EBR</w:t>
      </w:r>
      <w:r w:rsidR="00666941" w:rsidRPr="059B78C6">
        <w:rPr>
          <w:rFonts w:asciiTheme="minorHAnsi" w:hAnsiTheme="minorHAnsi" w:cstheme="minorBidi"/>
          <w:sz w:val="20"/>
          <w:szCs w:val="20"/>
        </w:rPr>
        <w:t>D</w:t>
      </w:r>
      <w:r w:rsidR="0075520B" w:rsidRPr="059B78C6">
        <w:rPr>
          <w:rFonts w:asciiTheme="minorHAnsi" w:hAnsiTheme="minorHAnsi" w:cstheme="minorBidi"/>
          <w:sz w:val="20"/>
          <w:szCs w:val="20"/>
        </w:rPr>
        <w:t>:</w:t>
      </w:r>
      <w:r w:rsidR="003E472F" w:rsidRPr="059B78C6">
        <w:rPr>
          <w:rFonts w:asciiTheme="minorHAnsi" w:hAnsiTheme="minorHAnsi" w:cstheme="minorBidi"/>
          <w:sz w:val="20"/>
          <w:szCs w:val="20"/>
        </w:rPr>
        <w:t xml:space="preserve"> US$</w:t>
      </w:r>
      <w:r w:rsidR="00D41FC1" w:rsidRPr="059B78C6">
        <w:rPr>
          <w:rFonts w:asciiTheme="minorHAnsi" w:hAnsiTheme="minorHAnsi" w:cstheme="minorBidi"/>
          <w:sz w:val="20"/>
          <w:szCs w:val="20"/>
        </w:rPr>
        <w:t>980 million)</w:t>
      </w:r>
      <w:r w:rsidRPr="059B78C6">
        <w:rPr>
          <w:rFonts w:asciiTheme="minorHAnsi" w:hAnsiTheme="minorHAnsi" w:cstheme="minorBidi"/>
          <w:sz w:val="20"/>
          <w:szCs w:val="20"/>
        </w:rPr>
        <w:t xml:space="preserve">. These projects are estimated to save 902,000 tCO2e and </w:t>
      </w:r>
      <w:r w:rsidR="00636124" w:rsidRPr="059B78C6">
        <w:rPr>
          <w:rFonts w:asciiTheme="minorHAnsi" w:hAnsiTheme="minorHAnsi" w:cstheme="minorBidi"/>
          <w:sz w:val="20"/>
          <w:szCs w:val="20"/>
        </w:rPr>
        <w:t>US$</w:t>
      </w:r>
      <w:r w:rsidRPr="059B78C6">
        <w:rPr>
          <w:rFonts w:asciiTheme="minorHAnsi" w:hAnsiTheme="minorHAnsi" w:cstheme="minorBidi"/>
          <w:sz w:val="20"/>
          <w:szCs w:val="20"/>
        </w:rPr>
        <w:t xml:space="preserve">568 million in avoided oil imports annually. The CTF has collaborated with MDBs like the World Bank, </w:t>
      </w:r>
      <w:r w:rsidR="00E002A3" w:rsidRPr="059B78C6">
        <w:rPr>
          <w:rFonts w:asciiTheme="minorHAnsi" w:hAnsiTheme="minorHAnsi" w:cstheme="minorBidi"/>
          <w:sz w:val="20"/>
          <w:szCs w:val="20"/>
        </w:rPr>
        <w:t>International Finance Corporation (</w:t>
      </w:r>
      <w:r w:rsidRPr="059B78C6">
        <w:rPr>
          <w:rFonts w:asciiTheme="minorHAnsi" w:hAnsiTheme="minorHAnsi" w:cstheme="minorBidi"/>
          <w:sz w:val="20"/>
          <w:szCs w:val="20"/>
        </w:rPr>
        <w:t>IFC</w:t>
      </w:r>
      <w:r w:rsidR="00E002A3" w:rsidRPr="059B78C6">
        <w:rPr>
          <w:rFonts w:asciiTheme="minorHAnsi" w:hAnsiTheme="minorHAnsi" w:cstheme="minorBidi"/>
          <w:sz w:val="20"/>
          <w:szCs w:val="20"/>
        </w:rPr>
        <w:t>)</w:t>
      </w:r>
      <w:r w:rsidRPr="059B78C6">
        <w:rPr>
          <w:rFonts w:asciiTheme="minorHAnsi" w:hAnsiTheme="minorHAnsi" w:cstheme="minorBidi"/>
          <w:sz w:val="20"/>
          <w:szCs w:val="20"/>
        </w:rPr>
        <w:t xml:space="preserve">, and </w:t>
      </w:r>
      <w:r w:rsidR="00C132F4" w:rsidRPr="059B78C6">
        <w:rPr>
          <w:rFonts w:asciiTheme="minorHAnsi" w:hAnsiTheme="minorHAnsi" w:cstheme="minorBidi"/>
          <w:sz w:val="20"/>
          <w:szCs w:val="20"/>
        </w:rPr>
        <w:t>European Bank for Reconstruction and Development (</w:t>
      </w:r>
      <w:r w:rsidRPr="059B78C6">
        <w:rPr>
          <w:rFonts w:asciiTheme="minorHAnsi" w:hAnsiTheme="minorHAnsi" w:cstheme="minorBidi"/>
          <w:sz w:val="20"/>
          <w:szCs w:val="20"/>
        </w:rPr>
        <w:t>EBRD</w:t>
      </w:r>
      <w:r w:rsidR="00E002A3" w:rsidRPr="059B78C6">
        <w:rPr>
          <w:rFonts w:asciiTheme="minorHAnsi" w:hAnsiTheme="minorHAnsi" w:cstheme="minorBidi"/>
          <w:sz w:val="20"/>
          <w:szCs w:val="20"/>
        </w:rPr>
        <w:t>)</w:t>
      </w:r>
      <w:r w:rsidRPr="059B78C6">
        <w:rPr>
          <w:rFonts w:asciiTheme="minorHAnsi" w:hAnsiTheme="minorHAnsi" w:cstheme="minorBidi"/>
          <w:sz w:val="20"/>
          <w:szCs w:val="20"/>
        </w:rPr>
        <w:t xml:space="preserve">. This collaboration has funded pioneering projects in </w:t>
      </w:r>
      <w:r w:rsidR="002E6B5A" w:rsidRPr="059B78C6">
        <w:rPr>
          <w:rFonts w:asciiTheme="minorHAnsi" w:hAnsiTheme="minorHAnsi" w:cstheme="minorBidi"/>
          <w:sz w:val="20"/>
          <w:szCs w:val="20"/>
        </w:rPr>
        <w:t>Türkiye</w:t>
      </w:r>
      <w:r w:rsidRPr="059B78C6">
        <w:rPr>
          <w:rFonts w:asciiTheme="minorHAnsi" w:hAnsiTheme="minorHAnsi" w:cstheme="minorBidi"/>
          <w:sz w:val="20"/>
          <w:szCs w:val="20"/>
        </w:rPr>
        <w:t xml:space="preserve">, leveraging private sector capital </w:t>
      </w:r>
      <w:r w:rsidRPr="059B78C6">
        <w:rPr>
          <w:rFonts w:asciiTheme="minorHAnsi" w:hAnsiTheme="minorHAnsi" w:cstheme="minorBidi"/>
          <w:sz w:val="20"/>
          <w:szCs w:val="20"/>
        </w:rPr>
        <w:lastRenderedPageBreak/>
        <w:t xml:space="preserve">and </w:t>
      </w:r>
      <w:r w:rsidR="009E1565" w:rsidRPr="059B78C6">
        <w:rPr>
          <w:rFonts w:asciiTheme="minorHAnsi" w:hAnsiTheme="minorHAnsi" w:cstheme="minorBidi"/>
          <w:sz w:val="20"/>
          <w:szCs w:val="20"/>
        </w:rPr>
        <w:t xml:space="preserve">the </w:t>
      </w:r>
      <w:r w:rsidRPr="059B78C6">
        <w:rPr>
          <w:rFonts w:asciiTheme="minorHAnsi" w:hAnsiTheme="minorHAnsi" w:cstheme="minorBidi"/>
          <w:sz w:val="20"/>
          <w:szCs w:val="20"/>
        </w:rPr>
        <w:t>CTF</w:t>
      </w:r>
      <w:r w:rsidR="009E1565" w:rsidRPr="059B78C6">
        <w:rPr>
          <w:rFonts w:asciiTheme="minorHAnsi" w:hAnsiTheme="minorHAnsi" w:cstheme="minorBidi"/>
          <w:sz w:val="20"/>
          <w:szCs w:val="20"/>
        </w:rPr>
        <w:t xml:space="preserve"> has been</w:t>
      </w:r>
      <w:r w:rsidR="00C602C1" w:rsidRPr="059B78C6">
        <w:rPr>
          <w:rFonts w:asciiTheme="minorHAnsi" w:hAnsiTheme="minorHAnsi" w:cstheme="minorBidi"/>
          <w:sz w:val="20"/>
          <w:szCs w:val="20"/>
        </w:rPr>
        <w:t xml:space="preserve"> </w:t>
      </w:r>
      <w:r w:rsidRPr="059B78C6">
        <w:rPr>
          <w:rFonts w:asciiTheme="minorHAnsi" w:hAnsiTheme="minorHAnsi" w:cstheme="minorBidi"/>
          <w:sz w:val="20"/>
          <w:szCs w:val="20"/>
        </w:rPr>
        <w:t xml:space="preserve">instrumental in advancing Türkiye's transition to a sustainable energy future, as part of its broader digital and green transformation efforts. </w:t>
      </w:r>
    </w:p>
    <w:p w14:paraId="52EC6B5E" w14:textId="06FE219B" w:rsidR="059B78C6" w:rsidRDefault="009345F6" w:rsidP="059B78C6">
      <w:pPr>
        <w:pStyle w:val="NormalWeb"/>
        <w:jc w:val="both"/>
        <w:rPr>
          <w:rFonts w:asciiTheme="minorHAnsi" w:hAnsiTheme="minorHAnsi" w:cstheme="minorBidi"/>
          <w:sz w:val="20"/>
          <w:szCs w:val="20"/>
        </w:rPr>
      </w:pPr>
      <w:r w:rsidRPr="059B78C6">
        <w:rPr>
          <w:rFonts w:asciiTheme="minorHAnsi" w:eastAsia="Calibri" w:hAnsiTheme="minorHAnsi" w:cstheme="minorBidi"/>
          <w:sz w:val="20"/>
          <w:szCs w:val="20"/>
        </w:rPr>
        <w:t xml:space="preserve">The objective of Türkiye’s Clean Technology Fund (CTF) Renewable Energy Integration (REI) </w:t>
      </w:r>
      <w:r w:rsidR="005B7B47" w:rsidRPr="059B78C6">
        <w:rPr>
          <w:rFonts w:asciiTheme="minorHAnsi" w:hAnsiTheme="minorHAnsi" w:cstheme="minorBidi"/>
          <w:sz w:val="20"/>
          <w:szCs w:val="20"/>
        </w:rPr>
        <w:t xml:space="preserve">new </w:t>
      </w:r>
      <w:r w:rsidR="004A3AA5" w:rsidRPr="059B78C6">
        <w:rPr>
          <w:rFonts w:asciiTheme="minorHAnsi" w:eastAsia="Calibri" w:hAnsiTheme="minorHAnsi" w:cstheme="minorBidi"/>
          <w:sz w:val="20"/>
          <w:szCs w:val="20"/>
        </w:rPr>
        <w:t xml:space="preserve">Program </w:t>
      </w:r>
      <w:r w:rsidRPr="059B78C6">
        <w:rPr>
          <w:rFonts w:asciiTheme="minorHAnsi" w:eastAsia="Calibri" w:hAnsiTheme="minorHAnsi" w:cstheme="minorBidi"/>
          <w:sz w:val="20"/>
          <w:szCs w:val="20"/>
        </w:rPr>
        <w:t>Investment Plan (IP) is to support Türkiye’s ambitious plan to scale-up renewable energy by 2035 including by</w:t>
      </w:r>
      <w:r w:rsidRPr="059B78C6">
        <w:rPr>
          <w:rFonts w:asciiTheme="minorHAnsi" w:eastAsia="Calibri" w:hAnsiTheme="minorHAnsi" w:cstheme="minorBidi"/>
          <w:sz w:val="20"/>
          <w:szCs w:val="20"/>
        </w:rPr>
        <w:t xml:space="preserve"> </w:t>
      </w:r>
      <w:r w:rsidRPr="059B78C6">
        <w:rPr>
          <w:rFonts w:asciiTheme="minorHAnsi" w:hAnsiTheme="minorHAnsi" w:cstheme="minorBidi"/>
          <w:sz w:val="20"/>
          <w:szCs w:val="20"/>
        </w:rPr>
        <w:t>enabling flexibility of energy systems for smooth integration of higher shares of variable renewable energy generation in Türkiye's grid. This objective aligns with the REI Program Impact objective excluding focus on increasing off-grid access to renewable energy, since the latter aspect is not relevant for Türkiye</w:t>
      </w:r>
      <w:r w:rsidR="0004022F" w:rsidRPr="059B78C6">
        <w:rPr>
          <w:rFonts w:asciiTheme="minorHAnsi" w:hAnsiTheme="minorHAnsi" w:cstheme="minorBidi"/>
          <w:sz w:val="20"/>
          <w:szCs w:val="20"/>
        </w:rPr>
        <w:t>.</w:t>
      </w:r>
      <w:r w:rsidR="00FC4116" w:rsidRPr="059B78C6">
        <w:rPr>
          <w:rFonts w:asciiTheme="minorHAnsi" w:hAnsiTheme="minorHAnsi" w:cstheme="minorBidi"/>
          <w:sz w:val="20"/>
          <w:szCs w:val="20"/>
        </w:rPr>
        <w:t xml:space="preserve"> </w:t>
      </w:r>
      <w:r w:rsidR="005B7B47" w:rsidRPr="059B78C6">
        <w:rPr>
          <w:rFonts w:asciiTheme="minorHAnsi" w:hAnsiTheme="minorHAnsi" w:cstheme="minorBidi"/>
          <w:sz w:val="20"/>
          <w:szCs w:val="20"/>
        </w:rPr>
        <w:t xml:space="preserve"> </w:t>
      </w:r>
      <w:r w:rsidR="00FA4B1E" w:rsidRPr="059B78C6">
        <w:rPr>
          <w:rFonts w:asciiTheme="minorHAnsi" w:hAnsiTheme="minorHAnsi" w:cstheme="minorBidi"/>
          <w:sz w:val="20"/>
          <w:szCs w:val="20"/>
        </w:rPr>
        <w:t xml:space="preserve">The IP </w:t>
      </w:r>
      <w:r w:rsidR="00CA7A73" w:rsidRPr="059B78C6">
        <w:rPr>
          <w:rFonts w:asciiTheme="minorHAnsi" w:hAnsiTheme="minorHAnsi" w:cstheme="minorBidi"/>
          <w:sz w:val="20"/>
          <w:szCs w:val="20"/>
        </w:rPr>
        <w:t xml:space="preserve">will also support the government in its efforts to tackle the barriers </w:t>
      </w:r>
      <w:proofErr w:type="gramStart"/>
      <w:r w:rsidR="00CA7A73" w:rsidRPr="059B78C6">
        <w:rPr>
          <w:rFonts w:asciiTheme="minorHAnsi" w:hAnsiTheme="minorHAnsi" w:cstheme="minorBidi"/>
          <w:sz w:val="20"/>
          <w:szCs w:val="20"/>
        </w:rPr>
        <w:t>with regard to</w:t>
      </w:r>
      <w:proofErr w:type="gramEnd"/>
      <w:r w:rsidR="00CA7A73" w:rsidRPr="059B78C6">
        <w:rPr>
          <w:rFonts w:asciiTheme="minorHAnsi" w:hAnsiTheme="minorHAnsi" w:cstheme="minorBidi"/>
          <w:sz w:val="20"/>
          <w:szCs w:val="20"/>
        </w:rPr>
        <w:t xml:space="preserve"> the REI, including </w:t>
      </w:r>
      <w:r w:rsidR="00BD0990" w:rsidRPr="059B78C6">
        <w:rPr>
          <w:rFonts w:asciiTheme="minorHAnsi" w:hAnsiTheme="minorHAnsi" w:cstheme="minorBidi"/>
          <w:sz w:val="20"/>
          <w:szCs w:val="20"/>
        </w:rPr>
        <w:t>economic, financial, operational</w:t>
      </w:r>
      <w:r w:rsidR="005A108A" w:rsidRPr="059B78C6">
        <w:rPr>
          <w:rFonts w:asciiTheme="minorHAnsi" w:hAnsiTheme="minorHAnsi" w:cstheme="minorBidi"/>
          <w:sz w:val="20"/>
          <w:szCs w:val="20"/>
        </w:rPr>
        <w:t>, social</w:t>
      </w:r>
      <w:r w:rsidR="00BD0990" w:rsidRPr="059B78C6">
        <w:rPr>
          <w:rFonts w:asciiTheme="minorHAnsi" w:hAnsiTheme="minorHAnsi" w:cstheme="minorBidi"/>
          <w:sz w:val="20"/>
          <w:szCs w:val="20"/>
        </w:rPr>
        <w:t xml:space="preserve"> and regulatory barriers</w:t>
      </w:r>
      <w:r w:rsidR="00B97AFC" w:rsidRPr="059B78C6">
        <w:rPr>
          <w:rFonts w:asciiTheme="minorHAnsi" w:hAnsiTheme="minorHAnsi" w:cstheme="minorBidi"/>
          <w:sz w:val="20"/>
          <w:szCs w:val="20"/>
        </w:rPr>
        <w:t>, elaborated in the document</w:t>
      </w:r>
      <w:r w:rsidR="00BD0990" w:rsidRPr="059B78C6">
        <w:rPr>
          <w:rFonts w:asciiTheme="minorHAnsi" w:hAnsiTheme="minorHAnsi" w:cstheme="minorBidi"/>
          <w:sz w:val="20"/>
          <w:szCs w:val="20"/>
        </w:rPr>
        <w:t xml:space="preserve">. </w:t>
      </w:r>
      <w:r w:rsidR="00CA7A73" w:rsidRPr="059B78C6">
        <w:rPr>
          <w:rFonts w:asciiTheme="minorHAnsi" w:hAnsiTheme="minorHAnsi" w:cstheme="minorBidi"/>
          <w:sz w:val="20"/>
          <w:szCs w:val="20"/>
        </w:rPr>
        <w:t xml:space="preserve"> </w:t>
      </w:r>
    </w:p>
    <w:p w14:paraId="2CF13BB6" w14:textId="21CF34E6" w:rsidR="00FC00D4" w:rsidRPr="0043215C" w:rsidRDefault="00FC00D4" w:rsidP="00FC00D4">
      <w:pPr>
        <w:spacing w:after="0" w:line="257" w:lineRule="auto"/>
        <w:ind w:left="-14" w:right="-14"/>
        <w:rPr>
          <w:rFonts w:eastAsia="Times New Roman" w:cstheme="minorHAnsi"/>
          <w:sz w:val="20"/>
          <w:szCs w:val="20"/>
          <w:lang w:val="en-GB" w:eastAsia="en-GB"/>
        </w:rPr>
      </w:pPr>
      <w:r w:rsidRPr="0043215C">
        <w:rPr>
          <w:rFonts w:eastAsia="Times New Roman" w:cstheme="minorHAnsi"/>
          <w:sz w:val="20"/>
          <w:szCs w:val="20"/>
          <w:lang w:val="en-GB" w:eastAsia="en-GB"/>
        </w:rPr>
        <w:t xml:space="preserve">CTF-REI concessional resources will </w:t>
      </w:r>
      <w:r w:rsidR="00BC3B6B" w:rsidRPr="0043215C">
        <w:rPr>
          <w:rFonts w:eastAsia="Times New Roman" w:cstheme="minorHAnsi"/>
          <w:sz w:val="20"/>
          <w:szCs w:val="20"/>
          <w:lang w:val="en-GB" w:eastAsia="en-GB"/>
        </w:rPr>
        <w:t>catalyse</w:t>
      </w:r>
      <w:r w:rsidRPr="0043215C">
        <w:rPr>
          <w:rFonts w:eastAsia="Times New Roman" w:cstheme="minorHAnsi"/>
          <w:sz w:val="20"/>
          <w:szCs w:val="20"/>
          <w:lang w:val="en-GB" w:eastAsia="en-GB"/>
        </w:rPr>
        <w:t xml:space="preserve"> MDBs financing</w:t>
      </w:r>
      <w:r w:rsidR="000D6725" w:rsidRPr="0043215C">
        <w:rPr>
          <w:rFonts w:eastAsia="Times New Roman" w:cstheme="minorHAnsi"/>
          <w:sz w:val="20"/>
          <w:szCs w:val="20"/>
          <w:lang w:val="en-GB" w:eastAsia="en-GB"/>
        </w:rPr>
        <w:t xml:space="preserve"> (namely The World Bank, EBRD and IFC as per the government’s request)</w:t>
      </w:r>
      <w:r w:rsidRPr="0043215C">
        <w:rPr>
          <w:rFonts w:eastAsia="Times New Roman" w:cstheme="minorHAnsi"/>
          <w:sz w:val="20"/>
          <w:szCs w:val="20"/>
          <w:lang w:val="en-GB" w:eastAsia="en-GB"/>
        </w:rPr>
        <w:t>, private investment and other co-financing in technologies/projects required to meet the country’s NDC and decarbonization commitments. The types of technologies, infrastructure, innovative models, and enhancement activities prioritized by the program which will be eligible for receiving funding correspond to those described in the Supported Activities section.</w:t>
      </w:r>
    </w:p>
    <w:p w14:paraId="3D8C8AB0" w14:textId="77777777" w:rsidR="00FC00D4" w:rsidRPr="0043215C" w:rsidRDefault="00FC00D4" w:rsidP="00FC00D4">
      <w:pPr>
        <w:spacing w:after="0" w:line="257" w:lineRule="auto"/>
        <w:ind w:left="-20" w:right="-20"/>
        <w:rPr>
          <w:rFonts w:eastAsia="Times New Roman" w:cstheme="minorHAnsi"/>
          <w:sz w:val="20"/>
          <w:szCs w:val="20"/>
          <w:lang w:val="en-GB" w:eastAsia="en-GB"/>
        </w:rPr>
      </w:pPr>
    </w:p>
    <w:p w14:paraId="600252EB" w14:textId="37C6464B" w:rsidR="000E0598" w:rsidRPr="0043215C" w:rsidRDefault="00FC00D4" w:rsidP="000E0598">
      <w:pPr>
        <w:pStyle w:val="Default"/>
        <w:jc w:val="both"/>
        <w:rPr>
          <w:rFonts w:asciiTheme="minorHAnsi" w:hAnsiTheme="minorHAnsi" w:cstheme="minorBidi"/>
          <w:sz w:val="20"/>
          <w:szCs w:val="20"/>
          <w:lang w:val="en-GB"/>
        </w:rPr>
      </w:pPr>
      <w:r w:rsidRPr="64C52A75">
        <w:rPr>
          <w:rFonts w:asciiTheme="minorHAnsi" w:eastAsia="Times New Roman" w:hAnsiTheme="minorHAnsi" w:cstheme="minorBidi"/>
          <w:sz w:val="20"/>
          <w:szCs w:val="20"/>
          <w:lang w:val="en-GB" w:eastAsia="en-GB"/>
        </w:rPr>
        <w:t xml:space="preserve">CTF-REI resources will be implemented through two components as follows: </w:t>
      </w:r>
      <w:r w:rsidR="00895F7C" w:rsidRPr="64C52A75">
        <w:rPr>
          <w:rFonts w:asciiTheme="minorHAnsi" w:eastAsia="Times New Roman" w:hAnsiTheme="minorHAnsi" w:cstheme="minorBidi"/>
          <w:sz w:val="20"/>
          <w:szCs w:val="20"/>
          <w:lang w:val="en-GB" w:eastAsia="en-GB"/>
        </w:rPr>
        <w:t xml:space="preserve">1) </w:t>
      </w:r>
      <w:r w:rsidRPr="64C52A75">
        <w:rPr>
          <w:rFonts w:asciiTheme="minorHAnsi" w:eastAsia="Times New Roman" w:hAnsiTheme="minorHAnsi" w:cstheme="minorBidi"/>
          <w:sz w:val="20"/>
          <w:szCs w:val="20"/>
          <w:lang w:val="en-GB" w:eastAsia="en-GB"/>
        </w:rPr>
        <w:t>Component 1 (Beneficiary: TEİAŞ) Transforming Power Transmission System for REI</w:t>
      </w:r>
      <w:r w:rsidR="00895F7C" w:rsidRPr="64C52A75">
        <w:rPr>
          <w:rFonts w:asciiTheme="minorHAnsi" w:eastAsia="Times New Roman" w:hAnsiTheme="minorHAnsi" w:cstheme="minorBidi"/>
          <w:sz w:val="20"/>
          <w:szCs w:val="20"/>
          <w:lang w:val="en-GB" w:eastAsia="en-GB"/>
        </w:rPr>
        <w:t xml:space="preserve">, and </w:t>
      </w:r>
      <w:r w:rsidR="000C29E2" w:rsidRPr="64C52A75">
        <w:rPr>
          <w:rFonts w:asciiTheme="minorHAnsi" w:eastAsia="Times New Roman" w:hAnsiTheme="minorHAnsi" w:cstheme="minorBidi"/>
          <w:sz w:val="20"/>
          <w:szCs w:val="20"/>
          <w:lang w:val="en-GB" w:eastAsia="en-GB"/>
        </w:rPr>
        <w:t xml:space="preserve">2) </w:t>
      </w:r>
      <w:r w:rsidRPr="64C52A75">
        <w:rPr>
          <w:rFonts w:asciiTheme="minorHAnsi" w:eastAsia="Times New Roman" w:hAnsiTheme="minorHAnsi" w:cstheme="minorBidi"/>
          <w:sz w:val="20"/>
          <w:szCs w:val="20"/>
          <w:lang w:val="en-GB" w:eastAsia="en-GB"/>
        </w:rPr>
        <w:t>Component 2 (Beneficiary: private sector): System Flexibility</w:t>
      </w:r>
      <w:r w:rsidRPr="64C52A75">
        <w:rPr>
          <w:rFonts w:asciiTheme="minorHAnsi" w:eastAsia="Times New Roman" w:hAnsiTheme="minorHAnsi" w:cstheme="minorBidi"/>
          <w:color w:val="auto"/>
          <w:sz w:val="20"/>
          <w:szCs w:val="20"/>
          <w:lang w:val="en-GB" w:eastAsia="en-GB"/>
        </w:rPr>
        <w:t xml:space="preserve">, Balancing, Stabilization and </w:t>
      </w:r>
      <w:r w:rsidRPr="64C52A75">
        <w:rPr>
          <w:rFonts w:asciiTheme="minorHAnsi" w:eastAsia="Times New Roman" w:hAnsiTheme="minorHAnsi" w:cstheme="minorBidi"/>
          <w:sz w:val="20"/>
          <w:szCs w:val="20"/>
          <w:lang w:val="en-GB" w:eastAsia="en-GB"/>
        </w:rPr>
        <w:t>Strengthening Power Infrastructure</w:t>
      </w:r>
      <w:r w:rsidR="00BE13ED" w:rsidRPr="64C52A75">
        <w:rPr>
          <w:rFonts w:asciiTheme="minorHAnsi" w:eastAsia="Times New Roman" w:hAnsiTheme="minorHAnsi" w:cstheme="minorBidi"/>
          <w:sz w:val="20"/>
          <w:szCs w:val="20"/>
          <w:lang w:val="en-GB" w:eastAsia="en-GB"/>
        </w:rPr>
        <w:t xml:space="preserve">, that covers </w:t>
      </w:r>
      <w:r w:rsidR="00693682" w:rsidRPr="64C52A75">
        <w:rPr>
          <w:rFonts w:asciiTheme="minorHAnsi" w:eastAsia="Times New Roman" w:hAnsiTheme="minorHAnsi" w:cstheme="minorBidi"/>
          <w:sz w:val="20"/>
          <w:szCs w:val="20"/>
          <w:lang w:val="en-GB" w:eastAsia="en-GB"/>
        </w:rPr>
        <w:t>e</w:t>
      </w:r>
      <w:r w:rsidRPr="64C52A75">
        <w:rPr>
          <w:rFonts w:asciiTheme="minorHAnsi" w:eastAsia="Times New Roman" w:hAnsiTheme="minorHAnsi" w:cstheme="minorBidi"/>
          <w:sz w:val="20"/>
          <w:szCs w:val="20"/>
          <w:lang w:val="en-GB" w:eastAsia="en-GB"/>
        </w:rPr>
        <w:t>-mobility infrastructure</w:t>
      </w:r>
      <w:r w:rsidR="00693682" w:rsidRPr="64C52A75">
        <w:rPr>
          <w:rFonts w:asciiTheme="minorHAnsi" w:eastAsia="Times New Roman" w:hAnsiTheme="minorHAnsi" w:cstheme="minorBidi"/>
          <w:sz w:val="20"/>
          <w:szCs w:val="20"/>
          <w:lang w:val="en-GB" w:eastAsia="en-GB"/>
        </w:rPr>
        <w:t>, b</w:t>
      </w:r>
      <w:r w:rsidRPr="64C52A75">
        <w:rPr>
          <w:rFonts w:asciiTheme="minorHAnsi" w:eastAsia="Times New Roman" w:hAnsiTheme="minorHAnsi" w:cstheme="minorBidi"/>
          <w:sz w:val="20"/>
          <w:szCs w:val="20"/>
          <w:lang w:val="en-GB" w:eastAsia="en-GB"/>
        </w:rPr>
        <w:t xml:space="preserve">attery </w:t>
      </w:r>
      <w:r w:rsidR="00693682" w:rsidRPr="64C52A75">
        <w:rPr>
          <w:rFonts w:asciiTheme="minorHAnsi" w:eastAsia="Times New Roman" w:hAnsiTheme="minorHAnsi" w:cstheme="minorBidi"/>
          <w:sz w:val="20"/>
          <w:szCs w:val="20"/>
          <w:lang w:val="en-GB" w:eastAsia="en-GB"/>
        </w:rPr>
        <w:t>s</w:t>
      </w:r>
      <w:r w:rsidRPr="64C52A75">
        <w:rPr>
          <w:rFonts w:asciiTheme="minorHAnsi" w:eastAsia="Times New Roman" w:hAnsiTheme="minorHAnsi" w:cstheme="minorBidi"/>
          <w:sz w:val="20"/>
          <w:szCs w:val="20"/>
          <w:lang w:val="en-GB" w:eastAsia="en-GB"/>
        </w:rPr>
        <w:t>torage</w:t>
      </w:r>
      <w:r w:rsidR="00693682" w:rsidRPr="64C52A75">
        <w:rPr>
          <w:rFonts w:asciiTheme="minorHAnsi" w:eastAsia="Times New Roman" w:hAnsiTheme="minorHAnsi" w:cstheme="minorBidi"/>
          <w:sz w:val="20"/>
          <w:szCs w:val="20"/>
          <w:lang w:val="en-GB" w:eastAsia="en-GB"/>
        </w:rPr>
        <w:t>,</w:t>
      </w:r>
      <w:r w:rsidRPr="64C52A75">
        <w:rPr>
          <w:rFonts w:asciiTheme="minorHAnsi" w:eastAsia="Times New Roman" w:hAnsiTheme="minorHAnsi" w:cstheme="minorBidi"/>
          <w:sz w:val="20"/>
          <w:szCs w:val="20"/>
          <w:lang w:val="en-GB" w:eastAsia="en-GB"/>
        </w:rPr>
        <w:t xml:space="preserve"> and </w:t>
      </w:r>
      <w:r w:rsidR="00693682" w:rsidRPr="64C52A75">
        <w:rPr>
          <w:rFonts w:asciiTheme="minorHAnsi" w:eastAsia="Times New Roman" w:hAnsiTheme="minorHAnsi" w:cstheme="minorBidi"/>
          <w:sz w:val="20"/>
          <w:szCs w:val="20"/>
          <w:lang w:val="en-GB" w:eastAsia="en-GB"/>
        </w:rPr>
        <w:t>d</w:t>
      </w:r>
      <w:r w:rsidRPr="64C52A75">
        <w:rPr>
          <w:rFonts w:asciiTheme="minorHAnsi" w:eastAsia="Times New Roman" w:hAnsiTheme="minorHAnsi" w:cstheme="minorBidi"/>
          <w:sz w:val="20"/>
          <w:szCs w:val="20"/>
          <w:lang w:val="en-GB" w:eastAsia="en-GB"/>
        </w:rPr>
        <w:t>igitalization of the power distribution grid</w:t>
      </w:r>
      <w:r w:rsidR="00693682" w:rsidRPr="64C52A75">
        <w:rPr>
          <w:rFonts w:asciiTheme="minorHAnsi" w:eastAsia="Times New Roman" w:hAnsiTheme="minorHAnsi" w:cstheme="minorBidi"/>
          <w:sz w:val="20"/>
          <w:szCs w:val="20"/>
          <w:lang w:val="en-GB" w:eastAsia="en-GB"/>
        </w:rPr>
        <w:t xml:space="preserve">. </w:t>
      </w:r>
      <w:r w:rsidR="00DD0B71" w:rsidRPr="64C52A75">
        <w:rPr>
          <w:rFonts w:asciiTheme="minorHAnsi" w:hAnsiTheme="minorHAnsi" w:cstheme="minorBidi"/>
          <w:sz w:val="20"/>
          <w:szCs w:val="20"/>
          <w:lang w:val="en-GB"/>
        </w:rPr>
        <w:t>In case of availability of additional CTF grant financing of $3 million. the Government of Türkiye would like to use it for Component 3</w:t>
      </w:r>
      <w:r w:rsidR="002714F5" w:rsidRPr="64C52A75">
        <w:rPr>
          <w:rFonts w:asciiTheme="minorHAnsi" w:hAnsiTheme="minorHAnsi" w:cstheme="minorBidi"/>
          <w:sz w:val="20"/>
          <w:szCs w:val="20"/>
          <w:lang w:val="en-GB"/>
        </w:rPr>
        <w:t xml:space="preserve"> on technical assistance projects</w:t>
      </w:r>
      <w:r w:rsidR="00446383" w:rsidRPr="64C52A75">
        <w:rPr>
          <w:rFonts w:asciiTheme="minorHAnsi" w:hAnsiTheme="minorHAnsi" w:cstheme="minorBidi"/>
          <w:sz w:val="20"/>
          <w:szCs w:val="20"/>
          <w:lang w:val="en-GB"/>
        </w:rPr>
        <w:t xml:space="preserve">, </w:t>
      </w:r>
      <w:r w:rsidR="002714F5" w:rsidRPr="64C52A75">
        <w:rPr>
          <w:rFonts w:asciiTheme="minorHAnsi" w:hAnsiTheme="minorHAnsi" w:cstheme="minorBidi"/>
          <w:sz w:val="20"/>
          <w:szCs w:val="20"/>
          <w:lang w:val="en-GB"/>
        </w:rPr>
        <w:t>including</w:t>
      </w:r>
      <w:r w:rsidR="002B5DE9" w:rsidRPr="64C52A75">
        <w:rPr>
          <w:rFonts w:asciiTheme="minorHAnsi" w:hAnsiTheme="minorHAnsi" w:cstheme="minorBidi"/>
          <w:sz w:val="20"/>
          <w:szCs w:val="20"/>
          <w:lang w:val="en-GB"/>
        </w:rPr>
        <w:t xml:space="preserve"> the</w:t>
      </w:r>
      <w:r w:rsidR="00446383" w:rsidRPr="64C52A75">
        <w:rPr>
          <w:rFonts w:asciiTheme="minorHAnsi" w:hAnsiTheme="minorHAnsi" w:cstheme="minorBidi"/>
          <w:sz w:val="20"/>
          <w:szCs w:val="20"/>
          <w:lang w:val="en-GB"/>
        </w:rPr>
        <w:t xml:space="preserve"> </w:t>
      </w:r>
      <w:r w:rsidR="00483B74" w:rsidRPr="64C52A75">
        <w:rPr>
          <w:rFonts w:asciiTheme="minorHAnsi" w:hAnsiTheme="minorHAnsi" w:cstheme="minorBidi"/>
          <w:sz w:val="20"/>
          <w:szCs w:val="20"/>
          <w:lang w:val="en-GB"/>
        </w:rPr>
        <w:t>f</w:t>
      </w:r>
      <w:r w:rsidR="002714F5" w:rsidRPr="64C52A75">
        <w:rPr>
          <w:rFonts w:asciiTheme="minorHAnsi" w:hAnsiTheme="minorHAnsi" w:cstheme="minorBidi"/>
          <w:sz w:val="20"/>
          <w:szCs w:val="20"/>
          <w:lang w:val="en-GB"/>
        </w:rPr>
        <w:t>irst pumped hydro storage and</w:t>
      </w:r>
      <w:r w:rsidR="00446383" w:rsidRPr="64C52A75">
        <w:rPr>
          <w:rFonts w:asciiTheme="minorHAnsi" w:hAnsiTheme="minorHAnsi" w:cstheme="minorBidi"/>
          <w:sz w:val="20"/>
          <w:szCs w:val="20"/>
          <w:lang w:val="en-GB"/>
        </w:rPr>
        <w:t xml:space="preserve"> </w:t>
      </w:r>
      <w:r w:rsidR="00396B80" w:rsidRPr="64C52A75">
        <w:rPr>
          <w:rFonts w:asciiTheme="minorHAnsi" w:hAnsiTheme="minorHAnsi" w:cstheme="minorBidi"/>
          <w:sz w:val="20"/>
          <w:szCs w:val="20"/>
          <w:lang w:val="en-GB"/>
        </w:rPr>
        <w:t>hydropower energy efficiency</w:t>
      </w:r>
      <w:r w:rsidR="00483B74" w:rsidRPr="64C52A75">
        <w:rPr>
          <w:rFonts w:asciiTheme="minorHAnsi" w:hAnsiTheme="minorHAnsi" w:cstheme="minorBidi"/>
          <w:sz w:val="20"/>
          <w:szCs w:val="20"/>
          <w:lang w:val="en-GB"/>
        </w:rPr>
        <w:t xml:space="preserve"> technical assistance</w:t>
      </w:r>
      <w:r w:rsidR="00C20F49" w:rsidRPr="64C52A75">
        <w:rPr>
          <w:rFonts w:asciiTheme="minorHAnsi" w:hAnsiTheme="minorHAnsi" w:cstheme="minorBidi"/>
          <w:sz w:val="20"/>
          <w:szCs w:val="20"/>
          <w:lang w:val="en-GB"/>
        </w:rPr>
        <w:t xml:space="preserve">. </w:t>
      </w:r>
      <w:r w:rsidR="000E0598" w:rsidRPr="64C52A75">
        <w:rPr>
          <w:rFonts w:asciiTheme="minorHAnsi" w:hAnsiTheme="minorHAnsi" w:cstheme="minorBidi"/>
          <w:sz w:val="20"/>
          <w:szCs w:val="20"/>
          <w:lang w:val="en-GB"/>
        </w:rPr>
        <w:t xml:space="preserve">The requested envelope for Türkiye´s CTF-REI amounts to US$70 m., of which US$68 m. correspond to the CTF-REI financing, and grant financing of US$2 m. </w:t>
      </w:r>
    </w:p>
    <w:p w14:paraId="4D3660C8" w14:textId="5433F4D6" w:rsidR="00DD0B71" w:rsidRPr="0043215C" w:rsidRDefault="00DD0B71" w:rsidP="00DD0B71">
      <w:pPr>
        <w:pStyle w:val="FootnoteText"/>
        <w:rPr>
          <w:lang w:val="en-GB"/>
        </w:rPr>
      </w:pPr>
    </w:p>
    <w:p w14:paraId="57009F9D" w14:textId="4ED78525" w:rsidR="000A7C43" w:rsidRPr="0043215C" w:rsidRDefault="000A7C43" w:rsidP="000A7C43">
      <w:pPr>
        <w:pStyle w:val="BodyText"/>
        <w:jc w:val="both"/>
        <w:rPr>
          <w:rFonts w:asciiTheme="minorHAnsi" w:hAnsiTheme="minorHAnsi" w:cstheme="minorBidi"/>
          <w:sz w:val="20"/>
          <w:szCs w:val="20"/>
        </w:rPr>
      </w:pPr>
      <w:r w:rsidRPr="6DD41888">
        <w:rPr>
          <w:rFonts w:asciiTheme="minorHAnsi" w:hAnsiTheme="minorHAnsi" w:cstheme="minorBidi"/>
          <w:sz w:val="20"/>
          <w:szCs w:val="20"/>
        </w:rPr>
        <w:t xml:space="preserve">Monitoring and evaluation of the Investment Plan will be conducted using an Integrated Results Framework (IRF), as described in this </w:t>
      </w:r>
      <w:r w:rsidR="002F16F1" w:rsidRPr="6DD41888">
        <w:rPr>
          <w:rFonts w:asciiTheme="minorHAnsi" w:hAnsiTheme="minorHAnsi" w:cstheme="minorBidi"/>
          <w:sz w:val="20"/>
          <w:szCs w:val="20"/>
        </w:rPr>
        <w:t>IP</w:t>
      </w:r>
      <w:r w:rsidRPr="6DD41888">
        <w:rPr>
          <w:rFonts w:asciiTheme="minorHAnsi" w:hAnsiTheme="minorHAnsi" w:cstheme="minorBidi"/>
          <w:sz w:val="20"/>
          <w:szCs w:val="20"/>
        </w:rPr>
        <w:t xml:space="preserve">. The IRF, based on the REI Monitoring and Reporting (M&amp;R) System toolkit, includes a set of results indicators across the following levels: CIF impacts; REI program impacts; program outcomes (including </w:t>
      </w:r>
      <w:proofErr w:type="spellStart"/>
      <w:r w:rsidRPr="6DD41888">
        <w:rPr>
          <w:rFonts w:asciiTheme="minorHAnsi" w:hAnsiTheme="minorHAnsi" w:cstheme="minorBidi"/>
          <w:sz w:val="20"/>
          <w:szCs w:val="20"/>
        </w:rPr>
        <w:t>co-benefits</w:t>
      </w:r>
      <w:proofErr w:type="spellEnd"/>
      <w:r w:rsidRPr="6DD41888">
        <w:rPr>
          <w:rFonts w:asciiTheme="minorHAnsi" w:hAnsiTheme="minorHAnsi" w:cstheme="minorBidi"/>
          <w:sz w:val="20"/>
          <w:szCs w:val="20"/>
        </w:rPr>
        <w:t xml:space="preserve">); and program outputs. The Investment Plan’s </w:t>
      </w:r>
      <w:r w:rsidR="005A0161" w:rsidRPr="6DD41888">
        <w:rPr>
          <w:rFonts w:asciiTheme="minorHAnsi" w:hAnsiTheme="minorHAnsi" w:cstheme="minorBidi"/>
          <w:sz w:val="20"/>
          <w:szCs w:val="20"/>
        </w:rPr>
        <w:t>three</w:t>
      </w:r>
      <w:r w:rsidRPr="6DD41888">
        <w:rPr>
          <w:rFonts w:asciiTheme="minorHAnsi" w:hAnsiTheme="minorHAnsi" w:cstheme="minorBidi"/>
          <w:sz w:val="20"/>
          <w:szCs w:val="20"/>
        </w:rPr>
        <w:t xml:space="preserve"> components relate to each level of results with a view to achieving program-level impacts as detailed below, responding to the whole</w:t>
      </w:r>
      <w:r w:rsidRPr="6DD41888">
        <w:rPr>
          <w:rFonts w:asciiTheme="minorHAnsi" w:hAnsiTheme="minorHAnsi" w:cstheme="minorBidi"/>
          <w:sz w:val="20"/>
          <w:szCs w:val="20"/>
        </w:rPr>
        <w:t xml:space="preserve"> </w:t>
      </w:r>
      <w:r w:rsidRPr="6DD41888">
        <w:rPr>
          <w:rFonts w:asciiTheme="minorHAnsi" w:hAnsiTheme="minorHAnsi" w:cstheme="minorBidi"/>
          <w:sz w:val="20"/>
          <w:szCs w:val="20"/>
        </w:rPr>
        <w:t xml:space="preserve">energy system analysis as described </w:t>
      </w:r>
      <w:r w:rsidR="005A0161" w:rsidRPr="6DD41888">
        <w:rPr>
          <w:rFonts w:asciiTheme="minorHAnsi" w:hAnsiTheme="minorHAnsi" w:cstheme="minorBidi"/>
          <w:sz w:val="20"/>
          <w:szCs w:val="20"/>
        </w:rPr>
        <w:t>below</w:t>
      </w:r>
      <w:r w:rsidRPr="6DD41888">
        <w:rPr>
          <w:rFonts w:asciiTheme="minorHAnsi" w:hAnsiTheme="minorHAnsi" w:cstheme="minorBidi"/>
          <w:sz w:val="20"/>
          <w:szCs w:val="20"/>
        </w:rPr>
        <w:t>.</w:t>
      </w:r>
    </w:p>
    <w:p w14:paraId="431941CA" w14:textId="5C3B43F5" w:rsidR="000D198D" w:rsidRPr="0043215C" w:rsidRDefault="000D198D" w:rsidP="000D198D">
      <w:pPr>
        <w:rPr>
          <w:rFonts w:cstheme="minorHAnsi"/>
          <w:b/>
          <w:color w:val="000000"/>
          <w:sz w:val="20"/>
          <w:szCs w:val="20"/>
        </w:rPr>
      </w:pPr>
      <w:r w:rsidRPr="0043215C">
        <w:rPr>
          <w:rFonts w:cstheme="minorHAnsi"/>
          <w:b/>
          <w:sz w:val="20"/>
          <w:szCs w:val="20"/>
        </w:rPr>
        <w:br w:type="page"/>
      </w:r>
    </w:p>
    <w:p w14:paraId="6D1F15C7" w14:textId="77777777" w:rsidR="003E224E" w:rsidRPr="0043215C" w:rsidRDefault="003E224E" w:rsidP="00AA6FE9">
      <w:pPr>
        <w:pStyle w:val="Heading1"/>
        <w:rPr>
          <w:rFonts w:asciiTheme="minorHAnsi" w:eastAsia="SimSun" w:hAnsiTheme="minorHAnsi" w:cstheme="minorHAnsi"/>
          <w:b w:val="0"/>
          <w:color w:val="auto"/>
          <w:sz w:val="20"/>
          <w:szCs w:val="20"/>
        </w:rPr>
      </w:pPr>
      <w:bookmarkStart w:id="7" w:name="_Toc162898756"/>
      <w:bookmarkStart w:id="8" w:name="_Toc162898818"/>
    </w:p>
    <w:p w14:paraId="3AFDCAAF" w14:textId="5D179795" w:rsidR="000D198D" w:rsidRPr="0043215C" w:rsidRDefault="000D198D" w:rsidP="00AA6FE9">
      <w:pPr>
        <w:pStyle w:val="Heading1"/>
        <w:rPr>
          <w:rFonts w:asciiTheme="minorHAnsi" w:hAnsiTheme="minorHAnsi" w:cstheme="minorHAnsi"/>
          <w:sz w:val="20"/>
          <w:szCs w:val="20"/>
        </w:rPr>
      </w:pPr>
      <w:bookmarkStart w:id="9" w:name="_Toc162962939"/>
      <w:bookmarkStart w:id="10" w:name="_Toc162964116"/>
      <w:bookmarkStart w:id="11" w:name="_Toc170319815"/>
      <w:r w:rsidRPr="0043215C">
        <w:rPr>
          <w:rFonts w:asciiTheme="minorHAnsi" w:hAnsiTheme="minorHAnsi" w:cstheme="minorHAnsi"/>
          <w:sz w:val="20"/>
          <w:szCs w:val="20"/>
        </w:rPr>
        <w:t>II. Country Context</w:t>
      </w:r>
      <w:bookmarkEnd w:id="7"/>
      <w:bookmarkEnd w:id="8"/>
      <w:bookmarkEnd w:id="9"/>
      <w:bookmarkEnd w:id="10"/>
      <w:bookmarkEnd w:id="11"/>
      <w:r w:rsidRPr="0043215C">
        <w:rPr>
          <w:rFonts w:asciiTheme="minorHAnsi" w:hAnsiTheme="minorHAnsi" w:cstheme="minorHAnsi"/>
          <w:sz w:val="20"/>
          <w:szCs w:val="20"/>
        </w:rPr>
        <w:t xml:space="preserve"> </w:t>
      </w:r>
    </w:p>
    <w:p w14:paraId="35556F6C" w14:textId="77777777" w:rsidR="000D198D" w:rsidRPr="0043215C" w:rsidRDefault="000D198D" w:rsidP="00AA6FE9">
      <w:pPr>
        <w:pStyle w:val="Heading2"/>
        <w:rPr>
          <w:rFonts w:cstheme="minorHAnsi"/>
          <w:sz w:val="20"/>
          <w:szCs w:val="20"/>
        </w:rPr>
      </w:pPr>
      <w:bookmarkStart w:id="12" w:name="_Toc162898757"/>
      <w:bookmarkStart w:id="13" w:name="_Toc162898819"/>
      <w:bookmarkStart w:id="14" w:name="_Toc162962940"/>
      <w:bookmarkStart w:id="15" w:name="_Toc162964117"/>
      <w:bookmarkStart w:id="16" w:name="_Toc170319816"/>
      <w:r w:rsidRPr="0043215C">
        <w:rPr>
          <w:rFonts w:cstheme="minorHAnsi"/>
          <w:sz w:val="20"/>
          <w:szCs w:val="20"/>
        </w:rPr>
        <w:t>Economic Social, and Political Context</w:t>
      </w:r>
      <w:bookmarkEnd w:id="12"/>
      <w:bookmarkEnd w:id="13"/>
      <w:bookmarkEnd w:id="14"/>
      <w:bookmarkEnd w:id="15"/>
      <w:bookmarkEnd w:id="16"/>
      <w:r w:rsidRPr="0043215C">
        <w:rPr>
          <w:rFonts w:cstheme="minorHAnsi"/>
          <w:sz w:val="20"/>
          <w:szCs w:val="20"/>
        </w:rPr>
        <w:t xml:space="preserve"> </w:t>
      </w:r>
    </w:p>
    <w:p w14:paraId="29A03F87" w14:textId="77442BD1" w:rsidR="000D198D" w:rsidRPr="0043215C" w:rsidRDefault="7D4E5835" w:rsidP="005C544C">
      <w:pPr>
        <w:pStyle w:val="BodyText"/>
        <w:jc w:val="both"/>
        <w:rPr>
          <w:rFonts w:asciiTheme="minorHAnsi" w:hAnsiTheme="minorHAnsi" w:cstheme="minorHAnsi"/>
          <w:sz w:val="20"/>
          <w:szCs w:val="20"/>
        </w:rPr>
      </w:pPr>
      <w:r w:rsidRPr="0043215C">
        <w:rPr>
          <w:rFonts w:asciiTheme="minorHAnsi" w:hAnsiTheme="minorHAnsi" w:cstheme="minorHAnsi"/>
          <w:b/>
          <w:bCs/>
          <w:sz w:val="20"/>
          <w:szCs w:val="20"/>
        </w:rPr>
        <w:t>As described in the recent Country Partnership Framework Document</w:t>
      </w:r>
      <w:r w:rsidR="084A8057" w:rsidRPr="0043215C">
        <w:rPr>
          <w:rFonts w:asciiTheme="minorHAnsi" w:hAnsiTheme="minorHAnsi" w:cstheme="minorHAnsi"/>
          <w:b/>
          <w:bCs/>
          <w:sz w:val="20"/>
          <w:szCs w:val="20"/>
        </w:rPr>
        <w:t xml:space="preserve"> (CPF)</w:t>
      </w:r>
      <w:r w:rsidRPr="0043215C">
        <w:rPr>
          <w:rStyle w:val="FootnoteReference"/>
          <w:rFonts w:asciiTheme="minorHAnsi" w:hAnsiTheme="minorHAnsi" w:cstheme="minorHAnsi"/>
          <w:b/>
          <w:bCs/>
          <w:sz w:val="20"/>
          <w:szCs w:val="20"/>
        </w:rPr>
        <w:footnoteReference w:id="2"/>
      </w:r>
      <w:r w:rsidRPr="0043215C">
        <w:rPr>
          <w:rFonts w:asciiTheme="minorHAnsi" w:hAnsiTheme="minorHAnsi" w:cstheme="minorHAnsi"/>
          <w:b/>
          <w:bCs/>
          <w:sz w:val="20"/>
          <w:szCs w:val="20"/>
        </w:rPr>
        <w:t xml:space="preserve">, </w:t>
      </w:r>
      <w:r w:rsidR="000D198D" w:rsidRPr="0043215C">
        <w:rPr>
          <w:rFonts w:asciiTheme="minorHAnsi" w:hAnsiTheme="minorHAnsi" w:cstheme="minorHAnsi"/>
          <w:b/>
          <w:bCs/>
          <w:sz w:val="20"/>
          <w:szCs w:val="20"/>
        </w:rPr>
        <w:t>Türkiye’s development achievements over the past two decades have been remarkable.</w:t>
      </w:r>
      <w:r w:rsidR="000D198D" w:rsidRPr="0043215C">
        <w:rPr>
          <w:rFonts w:asciiTheme="minorHAnsi" w:hAnsiTheme="minorHAnsi" w:cstheme="minorHAnsi"/>
          <w:sz w:val="20"/>
          <w:szCs w:val="20"/>
        </w:rPr>
        <w:t xml:space="preserve"> Real gross domestic product (GDP) growth averaged 5.4 percent between 2002 and 2022 resulting in income per capita (in real terms) more than doubling over the same period. Moreover, growth was accompanied by rapid poverty reduction with the poverty rate (</w:t>
      </w:r>
      <w:r w:rsidR="00636124" w:rsidRPr="0043215C">
        <w:rPr>
          <w:rFonts w:asciiTheme="minorHAnsi" w:hAnsiTheme="minorHAnsi" w:cstheme="minorHAnsi"/>
          <w:sz w:val="20"/>
          <w:szCs w:val="20"/>
        </w:rPr>
        <w:t>US$</w:t>
      </w:r>
      <w:r w:rsidR="000D198D" w:rsidRPr="0043215C">
        <w:rPr>
          <w:rFonts w:asciiTheme="minorHAnsi" w:hAnsiTheme="minorHAnsi" w:cstheme="minorHAnsi"/>
          <w:sz w:val="20"/>
          <w:szCs w:val="20"/>
        </w:rPr>
        <w:t>6.85 2017 purchasing power parity</w:t>
      </w:r>
      <w:r w:rsidR="00D17B75" w:rsidRPr="0043215C">
        <w:rPr>
          <w:rFonts w:asciiTheme="minorHAnsi" w:hAnsiTheme="minorHAnsi" w:cstheme="minorHAnsi"/>
          <w:sz w:val="20"/>
          <w:szCs w:val="20"/>
        </w:rPr>
        <w:t>–(</w:t>
      </w:r>
      <w:r w:rsidR="000D198D" w:rsidRPr="0043215C">
        <w:rPr>
          <w:rFonts w:asciiTheme="minorHAnsi" w:hAnsiTheme="minorHAnsi" w:cstheme="minorHAnsi"/>
          <w:sz w:val="20"/>
          <w:szCs w:val="20"/>
        </w:rPr>
        <w:t>PPP</w:t>
      </w:r>
      <w:r w:rsidR="00D17B75" w:rsidRPr="0043215C">
        <w:rPr>
          <w:rFonts w:asciiTheme="minorHAnsi" w:hAnsiTheme="minorHAnsi" w:cstheme="minorHAnsi"/>
          <w:sz w:val="20"/>
          <w:szCs w:val="20"/>
        </w:rPr>
        <w:t>)</w:t>
      </w:r>
      <w:r w:rsidR="000D198D" w:rsidRPr="0043215C">
        <w:rPr>
          <w:rFonts w:asciiTheme="minorHAnsi" w:hAnsiTheme="minorHAnsi" w:cstheme="minorHAnsi"/>
          <w:sz w:val="20"/>
          <w:szCs w:val="20"/>
        </w:rPr>
        <w:t xml:space="preserve">) decreasing by more than half, from above 20 percent in 2007 to 7.6 percent in 2021. On the sustainability front, the country has managed, through expansion of services, to relatively decouple growth from greenhouse </w:t>
      </w:r>
      <w:r w:rsidR="00F311AC" w:rsidRPr="0043215C">
        <w:rPr>
          <w:rFonts w:asciiTheme="minorHAnsi" w:hAnsiTheme="minorHAnsi" w:cstheme="minorHAnsi"/>
          <w:sz w:val="20"/>
          <w:szCs w:val="20"/>
        </w:rPr>
        <w:t>gas</w:t>
      </w:r>
      <w:r w:rsidR="000D198D" w:rsidRPr="0043215C">
        <w:rPr>
          <w:rFonts w:asciiTheme="minorHAnsi" w:hAnsiTheme="minorHAnsi" w:cstheme="minorHAnsi"/>
          <w:sz w:val="20"/>
          <w:szCs w:val="20"/>
        </w:rPr>
        <w:t xml:space="preserve"> (GHG) emissions and maintain per capita emissions below the </w:t>
      </w:r>
      <w:r w:rsidR="004F18E2" w:rsidRPr="0043215C">
        <w:rPr>
          <w:rFonts w:asciiTheme="minorHAnsi" w:hAnsiTheme="minorHAnsi" w:cstheme="minorHAnsi"/>
          <w:sz w:val="20"/>
          <w:szCs w:val="20"/>
        </w:rPr>
        <w:t>Organization</w:t>
      </w:r>
      <w:r w:rsidR="000D198D" w:rsidRPr="0043215C">
        <w:rPr>
          <w:rFonts w:asciiTheme="minorHAnsi" w:hAnsiTheme="minorHAnsi" w:cstheme="minorHAnsi"/>
          <w:sz w:val="20"/>
          <w:szCs w:val="20"/>
        </w:rPr>
        <w:t xml:space="preserve"> for Economic Co-</w:t>
      </w:r>
      <w:r w:rsidR="003334A5" w:rsidRPr="0043215C">
        <w:rPr>
          <w:rFonts w:asciiTheme="minorHAnsi" w:hAnsiTheme="minorHAnsi" w:cstheme="minorHAnsi"/>
          <w:sz w:val="20"/>
          <w:szCs w:val="20"/>
        </w:rPr>
        <w:t>O</w:t>
      </w:r>
      <w:r w:rsidR="000D198D" w:rsidRPr="0043215C">
        <w:rPr>
          <w:rFonts w:asciiTheme="minorHAnsi" w:hAnsiTheme="minorHAnsi" w:cstheme="minorHAnsi"/>
          <w:sz w:val="20"/>
          <w:szCs w:val="20"/>
        </w:rPr>
        <w:t>peration and Development (OECD) and European Union (EU) averages</w:t>
      </w:r>
      <w:r w:rsidR="00623733" w:rsidRPr="0043215C">
        <w:rPr>
          <w:rFonts w:asciiTheme="minorHAnsi" w:hAnsiTheme="minorHAnsi" w:cstheme="minorHAnsi"/>
          <w:sz w:val="20"/>
          <w:szCs w:val="20"/>
        </w:rPr>
        <w:t>.</w:t>
      </w:r>
      <w:r w:rsidR="000D198D" w:rsidRPr="0043215C">
        <w:rPr>
          <w:rFonts w:asciiTheme="minorHAnsi" w:hAnsiTheme="minorHAnsi" w:cstheme="minorHAnsi"/>
          <w:sz w:val="20"/>
          <w:szCs w:val="20"/>
        </w:rPr>
        <w:t xml:space="preserve"> </w:t>
      </w:r>
    </w:p>
    <w:p w14:paraId="0B1725E6" w14:textId="77777777" w:rsidR="005C544C" w:rsidRPr="0043215C" w:rsidRDefault="005C544C" w:rsidP="005C544C">
      <w:pPr>
        <w:pStyle w:val="BodyText"/>
        <w:jc w:val="both"/>
        <w:rPr>
          <w:rFonts w:asciiTheme="minorHAnsi" w:hAnsiTheme="minorHAnsi" w:cstheme="minorHAnsi"/>
          <w:sz w:val="20"/>
          <w:szCs w:val="20"/>
        </w:rPr>
      </w:pPr>
    </w:p>
    <w:p w14:paraId="03B1E7DA" w14:textId="2A784DE3" w:rsidR="000D198D" w:rsidRPr="0043215C" w:rsidRDefault="000D198D" w:rsidP="005C544C">
      <w:pPr>
        <w:pStyle w:val="BodyText"/>
        <w:jc w:val="both"/>
        <w:rPr>
          <w:rFonts w:asciiTheme="minorHAnsi" w:hAnsiTheme="minorHAnsi" w:cstheme="minorBidi"/>
          <w:sz w:val="20"/>
          <w:szCs w:val="20"/>
        </w:rPr>
      </w:pPr>
      <w:r w:rsidRPr="6DD41888">
        <w:rPr>
          <w:rFonts w:asciiTheme="minorHAnsi" w:hAnsiTheme="minorHAnsi" w:cstheme="minorBidi"/>
          <w:b/>
          <w:sz w:val="20"/>
          <w:szCs w:val="20"/>
        </w:rPr>
        <w:t>Yet, to ensure that these positive trends continue and are sustained over time, Türkiye will need to address several emerging challenges on the growth, poverty and inclusion, and sustainability fronts</w:t>
      </w:r>
      <w:r w:rsidRPr="6DD41888">
        <w:rPr>
          <w:rFonts w:asciiTheme="minorHAnsi" w:hAnsiTheme="minorHAnsi" w:cstheme="minorBidi"/>
          <w:sz w:val="20"/>
          <w:szCs w:val="20"/>
        </w:rPr>
        <w:t>. First, the combination of a difficult macro</w:t>
      </w:r>
      <w:r w:rsidR="003334A5" w:rsidRPr="6DD41888">
        <w:rPr>
          <w:rFonts w:asciiTheme="minorHAnsi" w:hAnsiTheme="minorHAnsi" w:cstheme="minorBidi"/>
          <w:sz w:val="20"/>
          <w:szCs w:val="20"/>
        </w:rPr>
        <w:t>-</w:t>
      </w:r>
      <w:r w:rsidRPr="6DD41888">
        <w:rPr>
          <w:rFonts w:asciiTheme="minorHAnsi" w:hAnsiTheme="minorHAnsi" w:cstheme="minorBidi"/>
          <w:sz w:val="20"/>
          <w:szCs w:val="20"/>
        </w:rPr>
        <w:t xml:space="preserve">economic situation in the aftermath of the </w:t>
      </w:r>
      <w:r w:rsidR="00641622" w:rsidRPr="6DD41888">
        <w:rPr>
          <w:rFonts w:asciiTheme="minorHAnsi" w:hAnsiTheme="minorHAnsi" w:cstheme="minorBidi"/>
          <w:sz w:val="20"/>
          <w:szCs w:val="20"/>
        </w:rPr>
        <w:t>Coro</w:t>
      </w:r>
      <w:r w:rsidR="00D924ED" w:rsidRPr="6DD41888">
        <w:rPr>
          <w:rFonts w:asciiTheme="minorHAnsi" w:hAnsiTheme="minorHAnsi" w:cstheme="minorBidi"/>
          <w:sz w:val="20"/>
          <w:szCs w:val="20"/>
        </w:rPr>
        <w:t>navirus D</w:t>
      </w:r>
      <w:r w:rsidR="004F18E2" w:rsidRPr="6DD41888">
        <w:rPr>
          <w:rFonts w:asciiTheme="minorHAnsi" w:hAnsiTheme="minorHAnsi" w:cstheme="minorBidi"/>
          <w:sz w:val="20"/>
          <w:szCs w:val="20"/>
        </w:rPr>
        <w:t>isease 2019</w:t>
      </w:r>
      <w:r w:rsidRPr="6DD41888">
        <w:rPr>
          <w:rFonts w:asciiTheme="minorHAnsi" w:hAnsiTheme="minorHAnsi" w:cstheme="minorBidi"/>
          <w:sz w:val="20"/>
          <w:szCs w:val="20"/>
        </w:rPr>
        <w:t xml:space="preserve"> </w:t>
      </w:r>
      <w:r w:rsidR="004F18E2" w:rsidRPr="6DD41888">
        <w:rPr>
          <w:rFonts w:asciiTheme="minorHAnsi" w:hAnsiTheme="minorHAnsi" w:cstheme="minorBidi"/>
          <w:sz w:val="20"/>
          <w:szCs w:val="20"/>
        </w:rPr>
        <w:t>(</w:t>
      </w:r>
      <w:r w:rsidRPr="6DD41888">
        <w:rPr>
          <w:rFonts w:asciiTheme="minorHAnsi" w:hAnsiTheme="minorHAnsi" w:cstheme="minorBidi"/>
          <w:sz w:val="20"/>
          <w:szCs w:val="20"/>
        </w:rPr>
        <w:t>COVID</w:t>
      </w:r>
      <w:r w:rsidR="00127FCA" w:rsidRPr="6DD41888">
        <w:rPr>
          <w:rFonts w:asciiTheme="minorHAnsi" w:hAnsiTheme="minorHAnsi" w:cstheme="minorBidi"/>
          <w:sz w:val="20"/>
          <w:szCs w:val="20"/>
        </w:rPr>
        <w:t>-19</w:t>
      </w:r>
      <w:r w:rsidR="004F18E2" w:rsidRPr="6DD41888">
        <w:rPr>
          <w:rFonts w:asciiTheme="minorHAnsi" w:hAnsiTheme="minorHAnsi" w:cstheme="minorBidi"/>
          <w:sz w:val="20"/>
          <w:szCs w:val="20"/>
        </w:rPr>
        <w:t>)</w:t>
      </w:r>
      <w:r w:rsidRPr="6DD41888">
        <w:rPr>
          <w:rFonts w:asciiTheme="minorHAnsi" w:hAnsiTheme="minorHAnsi" w:cstheme="minorBidi"/>
          <w:sz w:val="20"/>
          <w:szCs w:val="20"/>
        </w:rPr>
        <w:t xml:space="preserve"> pandemic, the composition of investment,</w:t>
      </w:r>
      <w:r w:rsidR="003B26B2" w:rsidRPr="6DD41888">
        <w:rPr>
          <w:rStyle w:val="FootnoteReference"/>
          <w:rFonts w:asciiTheme="minorHAnsi" w:hAnsiTheme="minorHAnsi" w:cstheme="minorBidi"/>
          <w:sz w:val="20"/>
          <w:szCs w:val="20"/>
        </w:rPr>
        <w:footnoteReference w:id="3"/>
      </w:r>
      <w:r w:rsidR="17F36B0B" w:rsidRPr="6DD41888">
        <w:rPr>
          <w:rFonts w:asciiTheme="minorHAnsi" w:hAnsiTheme="minorHAnsi" w:cstheme="minorBidi"/>
          <w:sz w:val="20"/>
          <w:szCs w:val="20"/>
        </w:rPr>
        <w:t xml:space="preserve"> </w:t>
      </w:r>
      <w:r w:rsidRPr="6DD41888">
        <w:rPr>
          <w:rFonts w:asciiTheme="minorHAnsi" w:hAnsiTheme="minorHAnsi" w:cstheme="minorBidi"/>
          <w:sz w:val="20"/>
          <w:szCs w:val="20"/>
        </w:rPr>
        <w:t xml:space="preserve"> and declining factor productivity since the mid-2010s raise questions about future medium-term growth prospects. Second, the speed of poverty reduction has slowed since 2016, as increases in inequality have offset the poverty gains from continued strong growth. Third, Türkiye suffers from an emissions intensive industrial base, continued reliance on fossil fuels, carbon-intensive transport, and inefficient buildings. The country’s carbon intensive manufacturing sector exposes it to both risks and opportunities when the EU (which represents 41 percent of Turkish exports) starts implementing the Carbon Border Adjustment Mechanism (CBAM) in 2026. Fourth, its geographic, climatic, and </w:t>
      </w:r>
      <w:r w:rsidR="0064639E" w:rsidRPr="6DD41888">
        <w:rPr>
          <w:rFonts w:asciiTheme="minorHAnsi" w:hAnsiTheme="minorHAnsi" w:cstheme="minorBidi"/>
          <w:sz w:val="20"/>
          <w:szCs w:val="20"/>
        </w:rPr>
        <w:t>socio-economic</w:t>
      </w:r>
      <w:r w:rsidRPr="6DD41888">
        <w:rPr>
          <w:rFonts w:asciiTheme="minorHAnsi" w:hAnsiTheme="minorHAnsi" w:cstheme="minorBidi"/>
          <w:sz w:val="20"/>
          <w:szCs w:val="20"/>
        </w:rPr>
        <w:t xml:space="preserve"> conditions leave Türkiye particularly vulnerable to the impacts of climate change, making adaptation a high priority.  </w:t>
      </w:r>
    </w:p>
    <w:p w14:paraId="63040595" w14:textId="77777777" w:rsidR="005C544C" w:rsidRPr="0043215C" w:rsidRDefault="005C544C" w:rsidP="005C544C">
      <w:pPr>
        <w:pStyle w:val="BodyText"/>
        <w:jc w:val="both"/>
        <w:rPr>
          <w:rFonts w:asciiTheme="minorHAnsi" w:hAnsiTheme="minorHAnsi" w:cstheme="minorHAnsi"/>
          <w:sz w:val="20"/>
          <w:szCs w:val="20"/>
        </w:rPr>
      </w:pPr>
    </w:p>
    <w:p w14:paraId="16DD7EF1" w14:textId="158592D2" w:rsidR="00C2442A" w:rsidRPr="0043215C" w:rsidRDefault="00C2442A" w:rsidP="005C544C">
      <w:pPr>
        <w:pStyle w:val="BodyText"/>
        <w:jc w:val="both"/>
        <w:rPr>
          <w:rFonts w:asciiTheme="minorHAnsi" w:hAnsiTheme="minorHAnsi" w:cstheme="minorHAnsi"/>
          <w:color w:val="000000" w:themeColor="text1"/>
          <w:sz w:val="20"/>
          <w:szCs w:val="20"/>
          <w:lang w:val="en"/>
        </w:rPr>
      </w:pPr>
      <w:r w:rsidRPr="0043215C">
        <w:rPr>
          <w:rFonts w:asciiTheme="minorHAnsi" w:hAnsiTheme="minorHAnsi" w:cstheme="minorHAnsi"/>
          <w:b/>
          <w:bCs/>
          <w:sz w:val="20"/>
          <w:szCs w:val="20"/>
        </w:rPr>
        <w:t xml:space="preserve">Following the May 2023 elections, the Government has taken steps towards normalizing the economy in a gradual way </w:t>
      </w:r>
      <w:proofErr w:type="gramStart"/>
      <w:r w:rsidRPr="0043215C">
        <w:rPr>
          <w:rFonts w:asciiTheme="minorHAnsi" w:hAnsiTheme="minorHAnsi" w:cstheme="minorHAnsi"/>
          <w:b/>
          <w:bCs/>
          <w:sz w:val="20"/>
          <w:szCs w:val="20"/>
        </w:rPr>
        <w:t>in order to</w:t>
      </w:r>
      <w:proofErr w:type="gramEnd"/>
      <w:r w:rsidRPr="0043215C">
        <w:rPr>
          <w:rFonts w:asciiTheme="minorHAnsi" w:hAnsiTheme="minorHAnsi" w:cstheme="minorHAnsi"/>
          <w:b/>
          <w:bCs/>
          <w:sz w:val="20"/>
          <w:szCs w:val="20"/>
        </w:rPr>
        <w:t xml:space="preserve"> manage risks associated with the adjustment process. </w:t>
      </w:r>
      <w:r w:rsidRPr="0043215C">
        <w:rPr>
          <w:rFonts w:asciiTheme="minorHAnsi" w:hAnsiTheme="minorHAnsi" w:cstheme="minorHAnsi"/>
          <w:sz w:val="20"/>
          <w:szCs w:val="20"/>
        </w:rPr>
        <w:t xml:space="preserve">This includes monetary policy tightening, with interest rates increasing from 8.5 percent in May to </w:t>
      </w:r>
      <w:r w:rsidR="005D202A" w:rsidRPr="0043215C">
        <w:rPr>
          <w:rFonts w:asciiTheme="minorHAnsi" w:hAnsiTheme="minorHAnsi" w:cstheme="minorHAnsi"/>
          <w:sz w:val="20"/>
          <w:szCs w:val="20"/>
        </w:rPr>
        <w:t>50</w:t>
      </w:r>
      <w:r w:rsidRPr="0043215C">
        <w:rPr>
          <w:rFonts w:asciiTheme="minorHAnsi" w:hAnsiTheme="minorHAnsi" w:cstheme="minorHAnsi"/>
          <w:sz w:val="20"/>
          <w:szCs w:val="20"/>
        </w:rPr>
        <w:t xml:space="preserve"> percent in </w:t>
      </w:r>
      <w:r w:rsidR="005D202A" w:rsidRPr="0043215C">
        <w:rPr>
          <w:rFonts w:asciiTheme="minorHAnsi" w:hAnsiTheme="minorHAnsi" w:cstheme="minorHAnsi"/>
          <w:sz w:val="20"/>
          <w:szCs w:val="20"/>
        </w:rPr>
        <w:t xml:space="preserve">March </w:t>
      </w:r>
      <w:r w:rsidRPr="0043215C">
        <w:rPr>
          <w:rFonts w:asciiTheme="minorHAnsi" w:hAnsiTheme="minorHAnsi" w:cstheme="minorHAnsi"/>
          <w:sz w:val="20"/>
          <w:szCs w:val="20"/>
        </w:rPr>
        <w:t xml:space="preserve">2024, the unwinding of distortive financial regulations, and fiscal revenue measures to curtail the fiscal deficit. Markets are reacting positively with 5-year CDSs declining from </w:t>
      </w:r>
      <w:r w:rsidR="005D202A" w:rsidRPr="0043215C">
        <w:rPr>
          <w:rFonts w:asciiTheme="minorHAnsi" w:hAnsiTheme="minorHAnsi" w:cstheme="minorHAnsi"/>
          <w:sz w:val="20"/>
          <w:szCs w:val="20"/>
        </w:rPr>
        <w:t xml:space="preserve">around 700 </w:t>
      </w:r>
      <w:r w:rsidRPr="0043215C">
        <w:rPr>
          <w:rFonts w:asciiTheme="minorHAnsi" w:hAnsiTheme="minorHAnsi" w:cstheme="minorHAnsi"/>
          <w:sz w:val="20"/>
          <w:szCs w:val="20"/>
        </w:rPr>
        <w:t xml:space="preserve">basis points (bps) in May 2023 to </w:t>
      </w:r>
      <w:r w:rsidR="005D202A" w:rsidRPr="0043215C">
        <w:rPr>
          <w:rFonts w:asciiTheme="minorHAnsi" w:hAnsiTheme="minorHAnsi" w:cstheme="minorHAnsi"/>
          <w:sz w:val="20"/>
          <w:szCs w:val="20"/>
        </w:rPr>
        <w:t xml:space="preserve">below </w:t>
      </w:r>
      <w:r w:rsidRPr="0043215C">
        <w:rPr>
          <w:rFonts w:asciiTheme="minorHAnsi" w:hAnsiTheme="minorHAnsi" w:cstheme="minorHAnsi"/>
          <w:sz w:val="20"/>
          <w:szCs w:val="20"/>
        </w:rPr>
        <w:t xml:space="preserve">300bps in </w:t>
      </w:r>
      <w:r w:rsidR="005D202A" w:rsidRPr="0043215C">
        <w:rPr>
          <w:rFonts w:asciiTheme="minorHAnsi" w:hAnsiTheme="minorHAnsi" w:cstheme="minorHAnsi"/>
          <w:sz w:val="20"/>
          <w:szCs w:val="20"/>
        </w:rPr>
        <w:t xml:space="preserve">May </w:t>
      </w:r>
      <w:r w:rsidRPr="0043215C">
        <w:rPr>
          <w:rFonts w:asciiTheme="minorHAnsi" w:hAnsiTheme="minorHAnsi" w:cstheme="minorHAnsi"/>
          <w:sz w:val="20"/>
          <w:szCs w:val="20"/>
        </w:rPr>
        <w:t xml:space="preserve">2024, major rating agencies upgrading their outlook to positive recently, and </w:t>
      </w:r>
      <w:r w:rsidR="005D202A" w:rsidRPr="0043215C">
        <w:rPr>
          <w:rFonts w:asciiTheme="minorHAnsi" w:hAnsiTheme="minorHAnsi" w:cstheme="minorHAnsi"/>
          <w:sz w:val="20"/>
          <w:szCs w:val="20"/>
        </w:rPr>
        <w:t xml:space="preserve">two </w:t>
      </w:r>
      <w:r w:rsidRPr="0043215C">
        <w:rPr>
          <w:rFonts w:asciiTheme="minorHAnsi" w:hAnsiTheme="minorHAnsi" w:cstheme="minorHAnsi"/>
          <w:sz w:val="20"/>
          <w:szCs w:val="20"/>
        </w:rPr>
        <w:t>of them (Fitch</w:t>
      </w:r>
      <w:r w:rsidR="005D202A" w:rsidRPr="0043215C">
        <w:rPr>
          <w:rFonts w:asciiTheme="minorHAnsi" w:hAnsiTheme="minorHAnsi" w:cstheme="minorHAnsi"/>
          <w:sz w:val="20"/>
          <w:szCs w:val="20"/>
        </w:rPr>
        <w:t xml:space="preserve"> &amp; S&amp;P</w:t>
      </w:r>
      <w:r w:rsidRPr="0043215C">
        <w:rPr>
          <w:rFonts w:asciiTheme="minorHAnsi" w:hAnsiTheme="minorHAnsi" w:cstheme="minorHAnsi"/>
          <w:sz w:val="20"/>
          <w:szCs w:val="20"/>
        </w:rPr>
        <w:t xml:space="preserve">) upgrading the credit rating (to B+) on March 8, </w:t>
      </w:r>
      <w:r w:rsidR="00326C25" w:rsidRPr="0043215C">
        <w:rPr>
          <w:rFonts w:asciiTheme="minorHAnsi" w:hAnsiTheme="minorHAnsi" w:cstheme="minorHAnsi"/>
          <w:sz w:val="20"/>
          <w:szCs w:val="20"/>
        </w:rPr>
        <w:t>2024,</w:t>
      </w:r>
      <w:r w:rsidR="006D76B5" w:rsidRPr="0043215C">
        <w:rPr>
          <w:rFonts w:asciiTheme="minorHAnsi" w:hAnsiTheme="minorHAnsi" w:cstheme="minorHAnsi"/>
          <w:sz w:val="20"/>
          <w:szCs w:val="20"/>
        </w:rPr>
        <w:t xml:space="preserve"> and May 3</w:t>
      </w:r>
      <w:r w:rsidR="702B76E1" w:rsidRPr="04FD2087">
        <w:rPr>
          <w:rFonts w:asciiTheme="minorHAnsi" w:hAnsiTheme="minorHAnsi" w:cstheme="minorBidi"/>
          <w:sz w:val="20"/>
          <w:szCs w:val="20"/>
        </w:rPr>
        <w:t>,</w:t>
      </w:r>
      <w:r w:rsidR="006D76B5" w:rsidRPr="0043215C">
        <w:rPr>
          <w:rFonts w:asciiTheme="minorHAnsi" w:hAnsiTheme="minorHAnsi" w:cstheme="minorHAnsi"/>
          <w:sz w:val="20"/>
          <w:szCs w:val="20"/>
        </w:rPr>
        <w:t xml:space="preserve"> 2024</w:t>
      </w:r>
      <w:r w:rsidR="702B76E1" w:rsidRPr="04FD2087">
        <w:rPr>
          <w:rFonts w:asciiTheme="minorHAnsi" w:hAnsiTheme="minorHAnsi" w:cstheme="minorBidi"/>
          <w:sz w:val="20"/>
          <w:szCs w:val="20"/>
        </w:rPr>
        <w:t>,</w:t>
      </w:r>
      <w:r w:rsidR="006D76B5" w:rsidRPr="0043215C">
        <w:rPr>
          <w:rFonts w:asciiTheme="minorHAnsi" w:hAnsiTheme="minorHAnsi" w:cstheme="minorHAnsi"/>
          <w:sz w:val="20"/>
          <w:szCs w:val="20"/>
        </w:rPr>
        <w:t xml:space="preserve"> respectively</w:t>
      </w:r>
      <w:r w:rsidRPr="0043215C">
        <w:rPr>
          <w:rFonts w:asciiTheme="minorHAnsi" w:hAnsiTheme="minorHAnsi" w:cstheme="minorHAnsi"/>
          <w:sz w:val="20"/>
          <w:szCs w:val="20"/>
        </w:rPr>
        <w:t>.</w:t>
      </w:r>
      <w:r w:rsidRPr="0043215C">
        <w:rPr>
          <w:rFonts w:asciiTheme="minorHAnsi" w:hAnsiTheme="minorHAnsi" w:cstheme="minorHAnsi"/>
          <w:b/>
          <w:color w:val="000000" w:themeColor="text1"/>
          <w:sz w:val="20"/>
          <w:szCs w:val="20"/>
        </w:rPr>
        <w:t xml:space="preserve"> </w:t>
      </w:r>
      <w:r w:rsidRPr="0043215C">
        <w:rPr>
          <w:rFonts w:asciiTheme="minorHAnsi" w:hAnsiTheme="minorHAnsi" w:cstheme="minorHAnsi"/>
          <w:color w:val="000000" w:themeColor="text1"/>
          <w:sz w:val="20"/>
          <w:szCs w:val="20"/>
        </w:rPr>
        <w:t xml:space="preserve">The authorities are also contemplating how to complement these actions with structural reforms that may help with growth prospects going </w:t>
      </w:r>
      <w:r w:rsidRPr="0043215C">
        <w:rPr>
          <w:rFonts w:asciiTheme="minorHAnsi" w:hAnsiTheme="minorHAnsi" w:cstheme="minorHAnsi"/>
          <w:sz w:val="20"/>
          <w:szCs w:val="20"/>
        </w:rPr>
        <w:t>forward</w:t>
      </w:r>
      <w:r w:rsidRPr="0043215C">
        <w:rPr>
          <w:rFonts w:asciiTheme="minorHAnsi" w:hAnsiTheme="minorHAnsi" w:cstheme="minorHAnsi"/>
          <w:color w:val="000000" w:themeColor="text1"/>
          <w:sz w:val="20"/>
          <w:szCs w:val="20"/>
        </w:rPr>
        <w:t>.</w:t>
      </w:r>
      <w:r w:rsidRPr="0043215C">
        <w:rPr>
          <w:rFonts w:asciiTheme="minorHAnsi" w:hAnsiTheme="minorHAnsi" w:cstheme="minorHAnsi"/>
          <w:sz w:val="20"/>
          <w:szCs w:val="20"/>
        </w:rPr>
        <w:t xml:space="preserve"> These efforts will need to be sustained and supported in the coming months</w:t>
      </w:r>
      <w:r w:rsidRPr="0043215C">
        <w:rPr>
          <w:rFonts w:asciiTheme="minorHAnsi" w:hAnsiTheme="minorHAnsi" w:cstheme="minorHAnsi"/>
          <w:color w:val="000000" w:themeColor="text1"/>
          <w:sz w:val="20"/>
          <w:szCs w:val="20"/>
        </w:rPr>
        <w:t xml:space="preserve"> because the monetary, </w:t>
      </w:r>
      <w:r w:rsidR="004E1525" w:rsidRPr="0043215C">
        <w:rPr>
          <w:rFonts w:asciiTheme="minorHAnsi" w:hAnsiTheme="minorHAnsi" w:cstheme="minorHAnsi"/>
          <w:color w:val="000000" w:themeColor="text1"/>
          <w:sz w:val="20"/>
          <w:szCs w:val="20"/>
        </w:rPr>
        <w:t>fiscal,</w:t>
      </w:r>
      <w:r w:rsidRPr="0043215C">
        <w:rPr>
          <w:rFonts w:asciiTheme="minorHAnsi" w:hAnsiTheme="minorHAnsi" w:cstheme="minorHAnsi"/>
          <w:color w:val="000000" w:themeColor="text1"/>
          <w:sz w:val="20"/>
          <w:szCs w:val="20"/>
        </w:rPr>
        <w:t xml:space="preserve"> and macro-prudential challenges and associated economic vulnerabilities were of such magnitude that despite the significant progress, there is some road ahead.</w:t>
      </w:r>
    </w:p>
    <w:p w14:paraId="3368AC9D" w14:textId="77777777" w:rsidR="00C2442A" w:rsidRPr="0043215C" w:rsidRDefault="00C2442A" w:rsidP="005C544C">
      <w:pPr>
        <w:pStyle w:val="BodyText"/>
        <w:jc w:val="both"/>
        <w:rPr>
          <w:rFonts w:asciiTheme="minorHAnsi" w:hAnsiTheme="minorHAnsi" w:cstheme="minorHAnsi"/>
          <w:color w:val="000000" w:themeColor="text1"/>
          <w:sz w:val="20"/>
          <w:szCs w:val="20"/>
          <w:lang w:val="en"/>
        </w:rPr>
      </w:pPr>
    </w:p>
    <w:p w14:paraId="5B184673" w14:textId="18B3D229" w:rsidR="000D198D" w:rsidRPr="0043215C" w:rsidRDefault="00560B12" w:rsidP="005C544C">
      <w:pPr>
        <w:pStyle w:val="BodyText"/>
        <w:jc w:val="both"/>
        <w:rPr>
          <w:rFonts w:asciiTheme="minorHAnsi" w:hAnsiTheme="minorHAnsi" w:cstheme="minorHAnsi"/>
          <w:sz w:val="20"/>
          <w:szCs w:val="20"/>
        </w:rPr>
      </w:pPr>
      <w:r w:rsidRPr="00FB0F51">
        <w:rPr>
          <w:rFonts w:asciiTheme="minorHAnsi" w:hAnsiTheme="minorHAnsi" w:cstheme="minorHAnsi"/>
          <w:b/>
          <w:bCs/>
          <w:color w:val="000000" w:themeColor="text1"/>
          <w:sz w:val="20"/>
          <w:szCs w:val="20"/>
          <w:lang w:val="en"/>
        </w:rPr>
        <w:t xml:space="preserve">In parallel, </w:t>
      </w:r>
      <w:r w:rsidR="000D198D" w:rsidRPr="00FB0F51">
        <w:rPr>
          <w:rFonts w:asciiTheme="minorHAnsi" w:hAnsiTheme="minorHAnsi" w:cstheme="minorHAnsi"/>
          <w:b/>
          <w:bCs/>
          <w:sz w:val="20"/>
          <w:szCs w:val="20"/>
        </w:rPr>
        <w:t>Türkiye</w:t>
      </w:r>
      <w:r w:rsidR="000D198D" w:rsidRPr="0043215C">
        <w:rPr>
          <w:rFonts w:asciiTheme="minorHAnsi" w:hAnsiTheme="minorHAnsi" w:cstheme="minorHAnsi"/>
          <w:b/>
          <w:bCs/>
          <w:sz w:val="20"/>
          <w:szCs w:val="20"/>
        </w:rPr>
        <w:t xml:space="preserve"> </w:t>
      </w:r>
      <w:r w:rsidRPr="0043215C">
        <w:rPr>
          <w:rFonts w:asciiTheme="minorHAnsi" w:hAnsiTheme="minorHAnsi" w:cstheme="minorHAnsi"/>
          <w:b/>
          <w:bCs/>
          <w:sz w:val="20"/>
          <w:szCs w:val="20"/>
        </w:rPr>
        <w:t>continues to address</w:t>
      </w:r>
      <w:r w:rsidR="000D198D" w:rsidRPr="0043215C">
        <w:rPr>
          <w:rFonts w:asciiTheme="minorHAnsi" w:hAnsiTheme="minorHAnsi" w:cstheme="minorHAnsi"/>
          <w:b/>
          <w:bCs/>
          <w:sz w:val="20"/>
          <w:szCs w:val="20"/>
        </w:rPr>
        <w:t xml:space="preserve"> the effects of the earthquakes that hit the country on February 6, 2023. </w:t>
      </w:r>
      <w:r w:rsidR="000D198D" w:rsidRPr="0043215C">
        <w:rPr>
          <w:rFonts w:asciiTheme="minorHAnsi" w:hAnsiTheme="minorHAnsi" w:cstheme="minorHAnsi"/>
          <w:sz w:val="20"/>
          <w:szCs w:val="20"/>
        </w:rPr>
        <w:t xml:space="preserve">With magnitudes of 7.8 and 7.5, the earthquakes were followed by thousands of aftershocks and another 6.7 magnitude earthquake on February 20. According to official statistics, they caused more than 50,000 casualties, </w:t>
      </w:r>
      <w:r w:rsidR="000D198D" w:rsidRPr="0043215C">
        <w:rPr>
          <w:rFonts w:asciiTheme="minorHAnsi" w:hAnsiTheme="minorHAnsi" w:cstheme="minorHAnsi"/>
          <w:sz w:val="20"/>
          <w:szCs w:val="20"/>
        </w:rPr>
        <w:lastRenderedPageBreak/>
        <w:t xml:space="preserve">injured 107,000 people, damaged or destroyed 1.9 million housing units, and displaced 3.3 million people, of whom 2 million needed </w:t>
      </w:r>
      <w:r w:rsidR="004F18E2" w:rsidRPr="0043215C">
        <w:rPr>
          <w:rFonts w:asciiTheme="minorHAnsi" w:hAnsiTheme="minorHAnsi" w:cstheme="minorHAnsi"/>
          <w:sz w:val="20"/>
          <w:szCs w:val="20"/>
        </w:rPr>
        <w:t>shelters</w:t>
      </w:r>
      <w:r w:rsidR="000D198D" w:rsidRPr="0043215C">
        <w:rPr>
          <w:rFonts w:asciiTheme="minorHAnsi" w:hAnsiTheme="minorHAnsi" w:cstheme="minorHAnsi"/>
          <w:sz w:val="20"/>
          <w:szCs w:val="20"/>
        </w:rPr>
        <w:t>. An assessment</w:t>
      </w:r>
      <w:r w:rsidR="000D198D" w:rsidRPr="0043215C">
        <w:rPr>
          <w:rFonts w:asciiTheme="minorHAnsi" w:hAnsiTheme="minorHAnsi" w:cstheme="minorHAnsi"/>
          <w:sz w:val="20"/>
          <w:szCs w:val="20"/>
          <w:vertAlign w:val="superscript"/>
        </w:rPr>
        <w:footnoteReference w:id="4"/>
      </w:r>
      <w:r w:rsidR="000D198D" w:rsidRPr="0043215C">
        <w:rPr>
          <w:rFonts w:asciiTheme="minorHAnsi" w:hAnsiTheme="minorHAnsi" w:cstheme="minorHAnsi"/>
          <w:sz w:val="20"/>
          <w:szCs w:val="20"/>
          <w:vertAlign w:val="superscript"/>
        </w:rPr>
        <w:t xml:space="preserve"> </w:t>
      </w:r>
      <w:r w:rsidR="000D198D" w:rsidRPr="0043215C">
        <w:rPr>
          <w:rFonts w:asciiTheme="minorHAnsi" w:hAnsiTheme="minorHAnsi" w:cstheme="minorHAnsi"/>
          <w:sz w:val="20"/>
          <w:szCs w:val="20"/>
        </w:rPr>
        <w:t xml:space="preserve">conducted by the </w:t>
      </w:r>
      <w:r w:rsidR="00B04034" w:rsidRPr="0043215C">
        <w:rPr>
          <w:rFonts w:asciiTheme="minorHAnsi" w:hAnsiTheme="minorHAnsi" w:cstheme="minorHAnsi"/>
          <w:sz w:val="20"/>
          <w:szCs w:val="20"/>
        </w:rPr>
        <w:t>Government</w:t>
      </w:r>
      <w:r w:rsidR="000D198D" w:rsidRPr="0043215C">
        <w:rPr>
          <w:rFonts w:asciiTheme="minorHAnsi" w:hAnsiTheme="minorHAnsi" w:cstheme="minorHAnsi"/>
          <w:sz w:val="20"/>
          <w:szCs w:val="20"/>
        </w:rPr>
        <w:t xml:space="preserve"> of Türkiye with support from the EU, the United Nations (UN), and the World Bank (WB) estimated recovery and reconstruction needs associated with the earthquakes at around </w:t>
      </w:r>
      <w:r w:rsidR="00636124" w:rsidRPr="0043215C">
        <w:rPr>
          <w:rFonts w:asciiTheme="minorHAnsi" w:hAnsiTheme="minorHAnsi" w:cstheme="minorHAnsi"/>
          <w:sz w:val="20"/>
          <w:szCs w:val="20"/>
        </w:rPr>
        <w:t>US$</w:t>
      </w:r>
      <w:r w:rsidR="000D198D" w:rsidRPr="0043215C">
        <w:rPr>
          <w:rFonts w:asciiTheme="minorHAnsi" w:hAnsiTheme="minorHAnsi" w:cstheme="minorHAnsi"/>
          <w:sz w:val="20"/>
          <w:szCs w:val="20"/>
        </w:rPr>
        <w:t>81.5 billion. Risks also remain high: according to the UN, Türkiye ranks 9th globally with regards to human losses due to earthquakes, with about 70 percent of its population living in first- and second-degree seismic zones.</w:t>
      </w:r>
    </w:p>
    <w:p w14:paraId="661E6155" w14:textId="77777777" w:rsidR="005C544C" w:rsidRPr="0043215C" w:rsidRDefault="005C544C" w:rsidP="005C544C">
      <w:pPr>
        <w:pStyle w:val="BodyText"/>
        <w:jc w:val="both"/>
        <w:rPr>
          <w:rFonts w:asciiTheme="minorHAnsi" w:hAnsiTheme="minorHAnsi" w:cstheme="minorHAnsi"/>
          <w:sz w:val="20"/>
          <w:szCs w:val="20"/>
        </w:rPr>
      </w:pPr>
    </w:p>
    <w:p w14:paraId="17CA97A0" w14:textId="13D54513" w:rsidR="000D198D" w:rsidRPr="0043215C" w:rsidRDefault="000D198D" w:rsidP="005C544C">
      <w:pPr>
        <w:pStyle w:val="BodyText"/>
        <w:jc w:val="both"/>
        <w:rPr>
          <w:rFonts w:asciiTheme="minorHAnsi" w:hAnsiTheme="minorHAnsi" w:cstheme="minorHAnsi"/>
          <w:sz w:val="20"/>
          <w:szCs w:val="20"/>
        </w:rPr>
      </w:pPr>
      <w:r w:rsidRPr="0043215C">
        <w:rPr>
          <w:rFonts w:asciiTheme="minorHAnsi" w:hAnsiTheme="minorHAnsi" w:cstheme="minorHAnsi"/>
          <w:b/>
          <w:bCs/>
          <w:sz w:val="20"/>
          <w:szCs w:val="20"/>
        </w:rPr>
        <w:t>The country’s strategic geographic location as a door to the Black Sea and a bridge between Europe and Asia has elevated the profile of Türkiye in recent regional conflicts</w:t>
      </w:r>
      <w:r w:rsidRPr="0043215C">
        <w:rPr>
          <w:rFonts w:asciiTheme="minorHAnsi" w:hAnsiTheme="minorHAnsi" w:cstheme="minorHAnsi"/>
          <w:sz w:val="20"/>
          <w:szCs w:val="20"/>
        </w:rPr>
        <w:t>. Türkiye, because of its geographical and diplomatic position as well as its own socio-economic interests, has turned into a key interlocutor between Russia and Ukraine, helping secure global shipments of food through Turkish straits. Also, the Syrian civil war led to an inflow of Syrians under Temporary Protection (</w:t>
      </w:r>
      <w:proofErr w:type="spellStart"/>
      <w:r w:rsidRPr="0043215C">
        <w:rPr>
          <w:rFonts w:asciiTheme="minorHAnsi" w:hAnsiTheme="minorHAnsi" w:cstheme="minorHAnsi"/>
          <w:sz w:val="20"/>
          <w:szCs w:val="20"/>
        </w:rPr>
        <w:t>SuTPs</w:t>
      </w:r>
      <w:proofErr w:type="spellEnd"/>
      <w:r w:rsidRPr="0043215C">
        <w:rPr>
          <w:rFonts w:asciiTheme="minorHAnsi" w:hAnsiTheme="minorHAnsi" w:cstheme="minorHAnsi"/>
          <w:sz w:val="20"/>
          <w:szCs w:val="20"/>
        </w:rPr>
        <w:t xml:space="preserve">) into Türkiye (3.2 million in 2024) and to an agreement with the EU to support </w:t>
      </w:r>
      <w:proofErr w:type="spellStart"/>
      <w:r w:rsidRPr="0043215C">
        <w:rPr>
          <w:rFonts w:asciiTheme="minorHAnsi" w:hAnsiTheme="minorHAnsi" w:cstheme="minorHAnsi"/>
          <w:sz w:val="20"/>
          <w:szCs w:val="20"/>
        </w:rPr>
        <w:t>SuTPs</w:t>
      </w:r>
      <w:proofErr w:type="spellEnd"/>
      <w:r w:rsidRPr="0043215C">
        <w:rPr>
          <w:rFonts w:asciiTheme="minorHAnsi" w:hAnsiTheme="minorHAnsi" w:cstheme="minorHAnsi"/>
          <w:sz w:val="20"/>
          <w:szCs w:val="20"/>
        </w:rPr>
        <w:t xml:space="preserve"> and their host communities as well as preventing irregular migration into the EU. Indeed, Türkiye’s efforts to support the </w:t>
      </w:r>
      <w:proofErr w:type="spellStart"/>
      <w:r w:rsidRPr="0043215C">
        <w:rPr>
          <w:rFonts w:asciiTheme="minorHAnsi" w:hAnsiTheme="minorHAnsi" w:cstheme="minorHAnsi"/>
          <w:sz w:val="20"/>
          <w:szCs w:val="20"/>
        </w:rPr>
        <w:t>SuTP</w:t>
      </w:r>
      <w:proofErr w:type="spellEnd"/>
      <w:r w:rsidRPr="0043215C">
        <w:rPr>
          <w:rFonts w:asciiTheme="minorHAnsi" w:hAnsiTheme="minorHAnsi" w:cstheme="minorHAnsi"/>
          <w:sz w:val="20"/>
          <w:szCs w:val="20"/>
        </w:rPr>
        <w:t xml:space="preserve"> have been significant, and the country is also a key stakeholder for the Middle Corridor which represents an important Asia-Europe route for improved transport and trade connectivity.</w:t>
      </w:r>
    </w:p>
    <w:p w14:paraId="256E28FE" w14:textId="77777777" w:rsidR="005C544C" w:rsidRPr="0043215C" w:rsidRDefault="005C544C" w:rsidP="005C544C">
      <w:pPr>
        <w:pStyle w:val="BodyText"/>
        <w:jc w:val="both"/>
        <w:rPr>
          <w:rFonts w:asciiTheme="minorHAnsi" w:hAnsiTheme="minorHAnsi" w:cstheme="minorHAnsi"/>
          <w:sz w:val="20"/>
          <w:szCs w:val="20"/>
        </w:rPr>
      </w:pPr>
    </w:p>
    <w:p w14:paraId="5227933D" w14:textId="22F23562" w:rsidR="000D198D" w:rsidRPr="0043215C" w:rsidRDefault="000D198D" w:rsidP="005C544C">
      <w:pPr>
        <w:pStyle w:val="BodyText"/>
        <w:jc w:val="both"/>
        <w:rPr>
          <w:rFonts w:asciiTheme="minorHAnsi" w:hAnsiTheme="minorHAnsi" w:cstheme="minorHAnsi"/>
          <w:sz w:val="20"/>
          <w:szCs w:val="20"/>
        </w:rPr>
      </w:pPr>
      <w:r w:rsidRPr="0043215C">
        <w:rPr>
          <w:rFonts w:asciiTheme="minorHAnsi" w:hAnsiTheme="minorHAnsi" w:cstheme="minorHAnsi"/>
          <w:b/>
          <w:sz w:val="20"/>
          <w:szCs w:val="20"/>
        </w:rPr>
        <w:t xml:space="preserve">The development of its private sector is key for Türkiye’s transition to high-income status. </w:t>
      </w:r>
      <w:r w:rsidRPr="0043215C">
        <w:rPr>
          <w:rFonts w:asciiTheme="minorHAnsi" w:hAnsiTheme="minorHAnsi" w:cstheme="minorHAnsi"/>
          <w:sz w:val="20"/>
          <w:szCs w:val="20"/>
        </w:rPr>
        <w:t xml:space="preserve">The private sector constitutes 98 percent of the country’s top 500 firms in terms of turnover and as it accounts for 78 percent of investment, state-owned enterprises </w:t>
      </w:r>
      <w:r w:rsidR="00EF7620" w:rsidRPr="0043215C">
        <w:rPr>
          <w:rFonts w:asciiTheme="minorHAnsi" w:hAnsiTheme="minorHAnsi" w:cstheme="minorHAnsi"/>
          <w:sz w:val="20"/>
          <w:szCs w:val="20"/>
        </w:rPr>
        <w:t xml:space="preserve">(SOE) </w:t>
      </w:r>
      <w:r w:rsidRPr="0043215C">
        <w:rPr>
          <w:rFonts w:asciiTheme="minorHAnsi" w:hAnsiTheme="minorHAnsi" w:cstheme="minorHAnsi"/>
          <w:sz w:val="20"/>
          <w:szCs w:val="20"/>
        </w:rPr>
        <w:t>take up a smaller share of the economy compared to other countries.</w:t>
      </w:r>
      <w:r w:rsidRPr="0043215C">
        <w:rPr>
          <w:rStyle w:val="FootnoteReference"/>
          <w:rFonts w:asciiTheme="minorHAnsi" w:hAnsiTheme="minorHAnsi" w:cstheme="minorHAnsi"/>
          <w:sz w:val="20"/>
          <w:szCs w:val="20"/>
        </w:rPr>
        <w:footnoteReference w:id="5"/>
      </w:r>
      <w:r w:rsidRPr="0043215C">
        <w:rPr>
          <w:rFonts w:asciiTheme="minorHAnsi" w:hAnsiTheme="minorHAnsi" w:cstheme="minorHAnsi"/>
          <w:sz w:val="20"/>
          <w:szCs w:val="20"/>
        </w:rPr>
        <w:t xml:space="preserve"> It is also the major employer in the country, as about 85 percent of employees work in private companies,</w:t>
      </w:r>
      <w:r w:rsidRPr="0043215C">
        <w:rPr>
          <w:rStyle w:val="FootnoteReference"/>
          <w:rFonts w:asciiTheme="minorHAnsi" w:hAnsiTheme="minorHAnsi" w:cstheme="minorHAnsi"/>
          <w:sz w:val="20"/>
          <w:szCs w:val="20"/>
        </w:rPr>
        <w:footnoteReference w:id="6"/>
      </w:r>
      <w:r w:rsidRPr="0043215C">
        <w:rPr>
          <w:rFonts w:asciiTheme="minorHAnsi" w:hAnsiTheme="minorHAnsi" w:cstheme="minorHAnsi"/>
          <w:sz w:val="20"/>
          <w:szCs w:val="20"/>
        </w:rPr>
        <w:t xml:space="preserve"> with Small and Medium Enterprises (SMEs) employing 72 percent of the overall workforce. At the same time, SMEs generate more than 50 percent of gross value added.</w:t>
      </w:r>
      <w:r w:rsidRPr="0043215C">
        <w:rPr>
          <w:rStyle w:val="FootnoteReference"/>
          <w:rFonts w:asciiTheme="minorHAnsi" w:hAnsiTheme="minorHAnsi" w:cstheme="minorHAnsi"/>
          <w:sz w:val="20"/>
          <w:szCs w:val="20"/>
        </w:rPr>
        <w:footnoteReference w:id="7"/>
      </w:r>
      <w:r w:rsidRPr="0043215C">
        <w:rPr>
          <w:rFonts w:asciiTheme="minorHAnsi" w:hAnsiTheme="minorHAnsi" w:cstheme="minorHAnsi"/>
          <w:sz w:val="20"/>
          <w:szCs w:val="20"/>
        </w:rPr>
        <w:t xml:space="preserve"> In this context, Türkiye’s ability to build a productive, sustainably growing economy depends on the capacity of SMEs to expand, adopt the latest technologies, innovate, and participate in global value chains.</w:t>
      </w:r>
    </w:p>
    <w:p w14:paraId="19577F76" w14:textId="77777777" w:rsidR="005C544C" w:rsidRPr="0043215C" w:rsidRDefault="005C544C" w:rsidP="005C544C">
      <w:pPr>
        <w:pStyle w:val="BodyText"/>
        <w:jc w:val="both"/>
        <w:rPr>
          <w:rFonts w:asciiTheme="minorHAnsi" w:hAnsiTheme="minorHAnsi" w:cstheme="minorHAnsi"/>
          <w:sz w:val="20"/>
          <w:szCs w:val="20"/>
        </w:rPr>
      </w:pPr>
    </w:p>
    <w:p w14:paraId="06F03AE3" w14:textId="3F4A237A" w:rsidR="000D198D" w:rsidRPr="0043215C" w:rsidRDefault="00A07FC3" w:rsidP="005C544C">
      <w:pPr>
        <w:pStyle w:val="BodyText"/>
        <w:jc w:val="both"/>
        <w:rPr>
          <w:rFonts w:asciiTheme="minorHAnsi" w:hAnsiTheme="minorHAnsi" w:cstheme="minorBidi"/>
          <w:sz w:val="20"/>
          <w:szCs w:val="20"/>
        </w:rPr>
      </w:pPr>
      <w:r w:rsidRPr="0AF290DF">
        <w:rPr>
          <w:rFonts w:asciiTheme="minorHAnsi" w:hAnsiTheme="minorHAnsi" w:cstheme="minorBidi"/>
          <w:b/>
          <w:sz w:val="20"/>
          <w:szCs w:val="20"/>
        </w:rPr>
        <w:t xml:space="preserve">COVID-19 is still present </w:t>
      </w:r>
      <w:r w:rsidR="3DFE6A2E" w:rsidRPr="0AF290DF">
        <w:rPr>
          <w:rFonts w:asciiTheme="minorHAnsi" w:hAnsiTheme="minorHAnsi" w:cstheme="minorBidi"/>
          <w:b/>
          <w:bCs/>
          <w:sz w:val="20"/>
          <w:szCs w:val="20"/>
        </w:rPr>
        <w:t>on</w:t>
      </w:r>
      <w:r w:rsidRPr="0AF290DF">
        <w:rPr>
          <w:rFonts w:asciiTheme="minorHAnsi" w:hAnsiTheme="minorHAnsi" w:cstheme="minorBidi"/>
          <w:b/>
          <w:sz w:val="20"/>
          <w:szCs w:val="20"/>
        </w:rPr>
        <w:t xml:space="preserve"> the policy agenda. </w:t>
      </w:r>
      <w:r w:rsidRPr="0AF290DF">
        <w:rPr>
          <w:rFonts w:asciiTheme="minorHAnsi" w:hAnsiTheme="minorHAnsi" w:cstheme="minorBidi"/>
          <w:sz w:val="20"/>
          <w:szCs w:val="20"/>
        </w:rPr>
        <w:t>Türkiye successfully mobilized to respond to the health and socio-economic effects of the pandemic, and quickly intensified infrastructure investments for COVID-19 screening and treatment. Indeed, it was among the first countries to launch its vaccination program, administering at its peak more than 1.5 million doses per day</w:t>
      </w:r>
      <w:r w:rsidR="000D198D" w:rsidRPr="0AF290DF">
        <w:rPr>
          <w:rStyle w:val="FootnoteReference"/>
          <w:rFonts w:asciiTheme="minorHAnsi" w:hAnsiTheme="minorHAnsi" w:cstheme="minorBidi"/>
          <w:sz w:val="20"/>
          <w:szCs w:val="20"/>
        </w:rPr>
        <w:footnoteReference w:id="8"/>
      </w:r>
      <w:r w:rsidRPr="0AF290DF">
        <w:rPr>
          <w:rFonts w:asciiTheme="minorHAnsi" w:hAnsiTheme="minorHAnsi" w:cstheme="minorBidi"/>
          <w:sz w:val="20"/>
          <w:szCs w:val="20"/>
        </w:rPr>
        <w:t xml:space="preserve">. The </w:t>
      </w:r>
      <w:r w:rsidR="00B04034" w:rsidRPr="0AF290DF">
        <w:rPr>
          <w:rFonts w:asciiTheme="minorHAnsi" w:hAnsiTheme="minorHAnsi" w:cstheme="minorBidi"/>
          <w:sz w:val="20"/>
          <w:szCs w:val="20"/>
        </w:rPr>
        <w:t>government</w:t>
      </w:r>
      <w:r w:rsidRPr="0AF290DF">
        <w:rPr>
          <w:rFonts w:asciiTheme="minorHAnsi" w:hAnsiTheme="minorHAnsi" w:cstheme="minorBidi"/>
          <w:sz w:val="20"/>
          <w:szCs w:val="20"/>
        </w:rPr>
        <w:t xml:space="preserve">’s policy response also helped cushion the blow for businesses and households, and Türkiye was among the few emerging-market economies that did not experience negative economic growth in 2020. Türkiye is working to build on the recent experience with enhanced pandemic preparedness in both monitoring and response. </w:t>
      </w:r>
    </w:p>
    <w:p w14:paraId="3910DC87" w14:textId="77777777" w:rsidR="005C544C" w:rsidRPr="0043215C" w:rsidRDefault="005C544C" w:rsidP="005C544C">
      <w:pPr>
        <w:pStyle w:val="BodyText"/>
        <w:jc w:val="both"/>
        <w:rPr>
          <w:rFonts w:asciiTheme="minorHAnsi" w:hAnsiTheme="minorHAnsi" w:cstheme="minorHAnsi"/>
          <w:sz w:val="20"/>
          <w:szCs w:val="20"/>
        </w:rPr>
      </w:pPr>
    </w:p>
    <w:p w14:paraId="20FC44C1" w14:textId="77777777" w:rsidR="00DB5EBF" w:rsidRPr="0043215C" w:rsidRDefault="00DB5EBF" w:rsidP="00DB5EBF">
      <w:pPr>
        <w:pStyle w:val="BodyText"/>
        <w:jc w:val="both"/>
        <w:rPr>
          <w:rFonts w:asciiTheme="minorHAnsi" w:hAnsiTheme="minorHAnsi" w:cstheme="minorHAnsi"/>
          <w:sz w:val="20"/>
          <w:szCs w:val="20"/>
        </w:rPr>
      </w:pPr>
      <w:r w:rsidRPr="0043215C">
        <w:rPr>
          <w:rFonts w:asciiTheme="minorHAnsi" w:hAnsiTheme="minorHAnsi" w:cstheme="minorHAnsi"/>
          <w:b/>
          <w:bCs/>
          <w:sz w:val="20"/>
          <w:szCs w:val="20"/>
        </w:rPr>
        <w:t>Türkiye’s geographic, climatic, and socioeconomic conditions make it highly vulnerable to the impacts of earthquakes, climate change, and other environmental hazards, making adaptation and resilience high priorities</w:t>
      </w:r>
      <w:r w:rsidRPr="0043215C">
        <w:rPr>
          <w:rFonts w:asciiTheme="minorHAnsi" w:hAnsiTheme="minorHAnsi" w:cstheme="minorHAnsi"/>
          <w:sz w:val="20"/>
          <w:szCs w:val="20"/>
        </w:rPr>
        <w:t xml:space="preserve">. It has a ‘high vulnerability’ in 9 out of 10 climate vulnerability dimensions, compared with a median of 2 out of 10 in other OECD countries.  Climate-related disasters have been striking with greater frequency and intensity over the last two decades. In 2019 alone, 935 extreme events occurred, caused mainly by heavy rains and floods, windstorms, snow, and hail. Climate models predict this trend to continue with increasing abnormalities in precipitation patterns </w:t>
      </w:r>
      <w:r w:rsidRPr="0043215C">
        <w:rPr>
          <w:rFonts w:asciiTheme="minorHAnsi" w:hAnsiTheme="minorHAnsi" w:cstheme="minorHAnsi"/>
          <w:sz w:val="20"/>
          <w:szCs w:val="20"/>
        </w:rPr>
        <w:lastRenderedPageBreak/>
        <w:t>with more frequent extreme rain and floodings, as well as protracted drought and wildfires, and sea-level rise. The earthquakes in February 2023 were a tragic reminder of Türkiye’s high exposure and vulnerability to seismic hazards. Over 70 percent of the country’s population and 80 percent of its GDP are in seismic risk zones, including its largest metropolis and major economic hub Istanbul according to the latest CPF. Climate change is expected to aggravate the pressure exerted by extreme events posing multidimensional risks to welfare and livelihood security. Türkiye has started to lay a solid foundation for building resilience and addressing depletion of natural resources through planning and policy development, including institutional arrangements at various levels of government and in various sectors. In addition, incentives for earthquake resilient reconstruction of existing non-resilient building stock and long-term, affordable local currency financing to enable residential reconstruction are much needed.</w:t>
      </w:r>
    </w:p>
    <w:p w14:paraId="1EDE981C" w14:textId="77777777" w:rsidR="00DB5EBF" w:rsidRPr="0043215C" w:rsidRDefault="00DB5EBF" w:rsidP="387A7631">
      <w:pPr>
        <w:pStyle w:val="BodyText"/>
        <w:jc w:val="both"/>
        <w:rPr>
          <w:rFonts w:asciiTheme="minorHAnsi" w:hAnsiTheme="minorHAnsi" w:cstheme="minorHAnsi"/>
          <w:b/>
          <w:bCs/>
          <w:sz w:val="20"/>
          <w:szCs w:val="20"/>
        </w:rPr>
      </w:pPr>
    </w:p>
    <w:p w14:paraId="41B3A00B" w14:textId="6EB5D9CC" w:rsidR="000D198D" w:rsidRPr="0043215C" w:rsidRDefault="00B9046D" w:rsidP="005C544C">
      <w:pPr>
        <w:pStyle w:val="BodyText"/>
        <w:jc w:val="both"/>
        <w:rPr>
          <w:rFonts w:asciiTheme="minorHAnsi" w:hAnsiTheme="minorHAnsi" w:cstheme="minorHAnsi"/>
          <w:sz w:val="20"/>
          <w:szCs w:val="20"/>
        </w:rPr>
      </w:pPr>
      <w:proofErr w:type="gramStart"/>
      <w:r w:rsidRPr="0043215C">
        <w:rPr>
          <w:rFonts w:asciiTheme="minorHAnsi" w:hAnsiTheme="minorHAnsi" w:cstheme="minorHAnsi"/>
          <w:b/>
          <w:bCs/>
          <w:sz w:val="20"/>
          <w:szCs w:val="20"/>
        </w:rPr>
        <w:t>In particular, c</w:t>
      </w:r>
      <w:r w:rsidR="5FF34872" w:rsidRPr="0043215C">
        <w:rPr>
          <w:rFonts w:asciiTheme="minorHAnsi" w:hAnsiTheme="minorHAnsi" w:cstheme="minorHAnsi"/>
          <w:b/>
          <w:bCs/>
          <w:sz w:val="20"/>
          <w:szCs w:val="20"/>
        </w:rPr>
        <w:t>limate</w:t>
      </w:r>
      <w:proofErr w:type="gramEnd"/>
      <w:r w:rsidR="5FF34872" w:rsidRPr="0043215C">
        <w:rPr>
          <w:rFonts w:asciiTheme="minorHAnsi" w:hAnsiTheme="minorHAnsi" w:cstheme="minorHAnsi"/>
          <w:b/>
          <w:bCs/>
          <w:sz w:val="20"/>
          <w:szCs w:val="20"/>
        </w:rPr>
        <w:t xml:space="preserve"> change is having a significant effect on Türkiye and impacting policy making. </w:t>
      </w:r>
      <w:r w:rsidR="5FF34872" w:rsidRPr="0043215C">
        <w:rPr>
          <w:rFonts w:asciiTheme="minorHAnsi" w:hAnsiTheme="minorHAnsi" w:cstheme="minorHAnsi"/>
          <w:sz w:val="20"/>
          <w:szCs w:val="20"/>
        </w:rPr>
        <w:t>Türkiye has experienced a growing exposure to climate-related disaster risks. A serious drought occurred in the central and eastern regions of the country during the 2020/2021 agricultural season, whereas flooding in the Black Sea region in 2021 caused the loss of many lives, and significantly damaged or destroyed public and private infrastructure. Also in 2021, forest fires in the Mediterranean Region, considered amongst the worst in the country, burnt around 1,700 square kilometers of forest. The outbreak of sea mucilage in the Marmara Sea affected sea life, damaged the fishing industry, and threatened to impede the only shipping access to the Black Sea. Although carbon intensity and energy efficiency have improved in recent years, total emissions have increased, and Türkiye ranks 15</w:t>
      </w:r>
      <w:r w:rsidR="5FF34872" w:rsidRPr="0043215C">
        <w:rPr>
          <w:rFonts w:asciiTheme="minorHAnsi" w:hAnsiTheme="minorHAnsi" w:cstheme="minorHAnsi"/>
          <w:sz w:val="20"/>
          <w:szCs w:val="20"/>
          <w:vertAlign w:val="superscript"/>
        </w:rPr>
        <w:t>th</w:t>
      </w:r>
      <w:r w:rsidR="5FF34872" w:rsidRPr="0043215C">
        <w:rPr>
          <w:rFonts w:asciiTheme="minorHAnsi" w:hAnsiTheme="minorHAnsi" w:cstheme="minorHAnsi"/>
          <w:sz w:val="20"/>
          <w:szCs w:val="20"/>
        </w:rPr>
        <w:t xml:space="preserve"> among countries in annual GHG emissions, up from 18</w:t>
      </w:r>
      <w:r w:rsidR="5FF34872" w:rsidRPr="0043215C">
        <w:rPr>
          <w:rFonts w:asciiTheme="minorHAnsi" w:hAnsiTheme="minorHAnsi" w:cstheme="minorHAnsi"/>
          <w:sz w:val="20"/>
          <w:szCs w:val="20"/>
          <w:vertAlign w:val="superscript"/>
        </w:rPr>
        <w:t>th</w:t>
      </w:r>
      <w:r w:rsidR="5FF34872" w:rsidRPr="0043215C">
        <w:rPr>
          <w:rFonts w:asciiTheme="minorHAnsi" w:hAnsiTheme="minorHAnsi" w:cstheme="minorHAnsi"/>
          <w:sz w:val="20"/>
          <w:szCs w:val="20"/>
        </w:rPr>
        <w:t xml:space="preserve"> in 2019. The country is responding to these challenges with adaptation and mitigation interventions, such as the Water Efficiency Campaign initiated in January 2023. </w:t>
      </w:r>
    </w:p>
    <w:p w14:paraId="45E76032" w14:textId="77777777" w:rsidR="005C544C" w:rsidRPr="0043215C" w:rsidRDefault="005C544C" w:rsidP="005C544C">
      <w:pPr>
        <w:pStyle w:val="BodyText"/>
        <w:jc w:val="both"/>
        <w:rPr>
          <w:rFonts w:asciiTheme="minorHAnsi" w:hAnsiTheme="minorHAnsi" w:cstheme="minorHAnsi"/>
          <w:sz w:val="20"/>
          <w:szCs w:val="20"/>
        </w:rPr>
      </w:pPr>
    </w:p>
    <w:p w14:paraId="6CFCBDED" w14:textId="5D56F7AF" w:rsidR="00C51C39" w:rsidRPr="0043215C" w:rsidRDefault="0011059E" w:rsidP="00370836">
      <w:pPr>
        <w:pStyle w:val="ListParagraph"/>
        <w:spacing w:after="0" w:line="240" w:lineRule="auto"/>
        <w:ind w:left="0"/>
        <w:rPr>
          <w:rFonts w:eastAsia="Calibri" w:cstheme="minorHAnsi"/>
          <w:sz w:val="20"/>
          <w:szCs w:val="20"/>
        </w:rPr>
      </w:pPr>
      <w:r w:rsidRPr="0043215C">
        <w:rPr>
          <w:rFonts w:cstheme="minorHAnsi"/>
          <w:b/>
          <w:bCs/>
          <w:sz w:val="20"/>
          <w:szCs w:val="20"/>
        </w:rPr>
        <w:t xml:space="preserve">However, </w:t>
      </w:r>
      <w:r w:rsidR="00C51C39" w:rsidRPr="0043215C">
        <w:rPr>
          <w:rFonts w:cstheme="minorHAnsi"/>
          <w:b/>
          <w:bCs/>
          <w:sz w:val="20"/>
          <w:szCs w:val="20"/>
        </w:rPr>
        <w:t xml:space="preserve">Türkiye’s rapid economic growth alongside a rising population has also led to unsustainable increases in resource use, waste generation and greenhouse gas emissions. </w:t>
      </w:r>
      <w:r w:rsidR="00C51C39" w:rsidRPr="0043215C">
        <w:rPr>
          <w:rFonts w:cstheme="minorHAnsi"/>
          <w:sz w:val="20"/>
          <w:szCs w:val="20"/>
        </w:rPr>
        <w:t xml:space="preserve">Total domestic extraction of natural resources more than tripled over the past two decades, while </w:t>
      </w:r>
      <w:bookmarkStart w:id="17" w:name="_Ref142144502"/>
      <w:r w:rsidR="00C51C39" w:rsidRPr="0043215C">
        <w:rPr>
          <w:rFonts w:cstheme="minorHAnsi"/>
          <w:sz w:val="20"/>
          <w:szCs w:val="20"/>
        </w:rPr>
        <w:t>Türkiye’s net Greenhouse Gases (GHG) emissions have increased from 164 MtCO</w:t>
      </w:r>
      <w:r w:rsidR="00C51C39" w:rsidRPr="0043215C">
        <w:rPr>
          <w:rFonts w:cstheme="minorHAnsi"/>
          <w:sz w:val="20"/>
          <w:szCs w:val="20"/>
          <w:vertAlign w:val="subscript"/>
        </w:rPr>
        <w:t>2</w:t>
      </w:r>
      <w:r w:rsidR="00C51C39" w:rsidRPr="0043215C">
        <w:rPr>
          <w:rFonts w:cstheme="minorHAnsi"/>
          <w:sz w:val="20"/>
          <w:szCs w:val="20"/>
        </w:rPr>
        <w:t>e in 1990 to 467 MtCO</w:t>
      </w:r>
      <w:r w:rsidR="00C51C39" w:rsidRPr="0043215C">
        <w:rPr>
          <w:rFonts w:cstheme="minorHAnsi"/>
          <w:sz w:val="20"/>
          <w:szCs w:val="20"/>
          <w:vertAlign w:val="subscript"/>
        </w:rPr>
        <w:t>2</w:t>
      </w:r>
      <w:r w:rsidR="00C51C39" w:rsidRPr="0043215C">
        <w:rPr>
          <w:rFonts w:cstheme="minorHAnsi"/>
          <w:sz w:val="20"/>
          <w:szCs w:val="20"/>
        </w:rPr>
        <w:t>e in 2020, the fastest pace in the OECD over the last decade. This increase in GHG emissions reflects continued GDP and population growth and was observed across all sectors of the economy, but particularly in energy,</w:t>
      </w:r>
      <w:r w:rsidR="00C51C39" w:rsidRPr="0043215C">
        <w:rPr>
          <w:rStyle w:val="FootnoteReference"/>
          <w:rFonts w:cstheme="minorHAnsi"/>
          <w:sz w:val="20"/>
          <w:szCs w:val="20"/>
        </w:rPr>
        <w:footnoteReference w:id="9"/>
      </w:r>
      <w:r w:rsidR="00C51C39" w:rsidRPr="0043215C">
        <w:rPr>
          <w:rFonts w:cstheme="minorHAnsi"/>
          <w:sz w:val="20"/>
          <w:szCs w:val="20"/>
        </w:rPr>
        <w:t xml:space="preserve"> with emissions growing 3.8-fold between 1990 and 2020 as </w:t>
      </w:r>
      <w:bookmarkEnd w:id="17"/>
      <w:r w:rsidR="00C51C39" w:rsidRPr="0043215C">
        <w:rPr>
          <w:rFonts w:cstheme="minorHAnsi"/>
          <w:sz w:val="20"/>
          <w:szCs w:val="20"/>
        </w:rPr>
        <w:t>Türkiye is still heavily reliant on fossil fuels for its energy supply.</w:t>
      </w:r>
      <w:r w:rsidR="00C51C39" w:rsidRPr="0043215C">
        <w:rPr>
          <w:rStyle w:val="FootnoteReference"/>
          <w:rFonts w:cstheme="minorHAnsi"/>
          <w:sz w:val="20"/>
          <w:szCs w:val="20"/>
        </w:rPr>
        <w:footnoteReference w:id="10"/>
      </w:r>
      <w:r w:rsidR="00C51C39" w:rsidRPr="0043215C">
        <w:rPr>
          <w:rStyle w:val="Style2"/>
          <w:rFonts w:cstheme="minorHAnsi"/>
          <w:sz w:val="20"/>
          <w:szCs w:val="20"/>
        </w:rPr>
        <w:t xml:space="preserve"> </w:t>
      </w:r>
      <w:r w:rsidR="00C51C39" w:rsidRPr="0043215C">
        <w:rPr>
          <w:rFonts w:cstheme="minorHAnsi"/>
          <w:sz w:val="20"/>
          <w:szCs w:val="20"/>
        </w:rPr>
        <w:t xml:space="preserve">Türkiye is also highly vulnerable to the impacts of climate change and other environmental hazards due to a combination of geographic, climatic, and socioeconomic conditions; Türkiye has high vulnerability on 9 out of 10 climate vulnerability dimensions, compared with a median of 2 out of 10 in other Organization of Economic Co-operation and Development (OECD) countries. </w:t>
      </w:r>
    </w:p>
    <w:p w14:paraId="331E8FFD" w14:textId="77777777" w:rsidR="00C51C39" w:rsidRPr="0043215C" w:rsidRDefault="00C51C39" w:rsidP="387A7631">
      <w:pPr>
        <w:pStyle w:val="ListParagraph"/>
        <w:spacing w:after="0" w:line="240" w:lineRule="auto"/>
        <w:ind w:left="0"/>
        <w:rPr>
          <w:rFonts w:cstheme="minorHAnsi"/>
          <w:b/>
          <w:bCs/>
          <w:sz w:val="20"/>
          <w:szCs w:val="20"/>
        </w:rPr>
      </w:pPr>
    </w:p>
    <w:p w14:paraId="370F262F" w14:textId="16C2D54A" w:rsidR="00C51C39" w:rsidRPr="0043215C" w:rsidRDefault="00C51C39" w:rsidP="00370836">
      <w:pPr>
        <w:pStyle w:val="ListParagraph"/>
        <w:spacing w:after="0" w:line="240" w:lineRule="auto"/>
        <w:ind w:left="0"/>
        <w:rPr>
          <w:sz w:val="20"/>
          <w:szCs w:val="20"/>
        </w:rPr>
      </w:pPr>
      <w:r w:rsidRPr="0AF290DF">
        <w:rPr>
          <w:b/>
          <w:sz w:val="20"/>
          <w:szCs w:val="20"/>
        </w:rPr>
        <w:t xml:space="preserve">As a large producer of emission intensive products, Türkiye faces risks from the global transition to a low carbon future. </w:t>
      </w:r>
      <w:r w:rsidRPr="0AF290DF">
        <w:rPr>
          <w:sz w:val="20"/>
          <w:szCs w:val="20"/>
        </w:rPr>
        <w:t>Türkiye is the 5</w:t>
      </w:r>
      <w:r w:rsidRPr="0AF290DF">
        <w:rPr>
          <w:sz w:val="20"/>
          <w:szCs w:val="20"/>
          <w:vertAlign w:val="superscript"/>
        </w:rPr>
        <w:t>th</w:t>
      </w:r>
      <w:r w:rsidRPr="0AF290DF">
        <w:rPr>
          <w:sz w:val="20"/>
          <w:szCs w:val="20"/>
        </w:rPr>
        <w:t xml:space="preserve"> largest producer globally of cement and </w:t>
      </w:r>
      <w:r w:rsidR="006469DA" w:rsidRPr="0AF290DF">
        <w:rPr>
          <w:sz w:val="20"/>
          <w:szCs w:val="20"/>
        </w:rPr>
        <w:t>the 8</w:t>
      </w:r>
      <w:r w:rsidR="006D76B5" w:rsidRPr="0AF290DF">
        <w:rPr>
          <w:sz w:val="20"/>
          <w:szCs w:val="20"/>
          <w:vertAlign w:val="superscript"/>
        </w:rPr>
        <w:t>th</w:t>
      </w:r>
      <w:r w:rsidRPr="0AF290DF">
        <w:rPr>
          <w:sz w:val="20"/>
          <w:szCs w:val="20"/>
        </w:rPr>
        <w:t xml:space="preserve"> largest producer of steel. As countries take action to decarbonize their economies, demand will drop for fossil fuels and emissions intensive goods. The EU Carbon Border Adjustment Mechanism (CBAM) is a tangible example, where the EU will place a fee on the import of certain emissions intensive products to create a level playing field for domestic producers subject to the EU emissions trading system. The CBAM will only apply to a select group of the most emissions intensive and trade exposed sectors, beginning in 2026, although </w:t>
      </w:r>
      <w:r w:rsidR="45A6CEC1" w:rsidRPr="0AF290DF">
        <w:rPr>
          <w:sz w:val="20"/>
          <w:szCs w:val="20"/>
        </w:rPr>
        <w:t>it</w:t>
      </w:r>
      <w:r w:rsidRPr="0AF290DF">
        <w:rPr>
          <w:sz w:val="20"/>
          <w:szCs w:val="20"/>
        </w:rPr>
        <w:t xml:space="preserve"> is likely to expand to other sectors over time. With the EU as Türkiye’s largest trading partner, absorbing 49 percent of Türkiye’s total goods exports, these trends emphasize the need for the corporate sector to transition towards green to preserve growth potential. This transition requires long-term finance to scale up private capital and minimize costs, but macro-financial volatility, specifically currency volatility and persistently high inflation, undermine the development of domestic sources of long-term finance in Türkiye. </w:t>
      </w:r>
    </w:p>
    <w:p w14:paraId="1D283FBB" w14:textId="77777777" w:rsidR="00370836" w:rsidRPr="0043215C" w:rsidRDefault="00370836" w:rsidP="387A7631">
      <w:pPr>
        <w:pStyle w:val="paragraph"/>
        <w:spacing w:beforeAutospacing="0" w:after="0" w:afterAutospacing="0" w:line="240" w:lineRule="auto"/>
        <w:textAlignment w:val="baseline"/>
        <w:rPr>
          <w:rFonts w:asciiTheme="minorHAnsi" w:eastAsia="Calibri" w:hAnsiTheme="minorHAnsi" w:cstheme="minorHAnsi"/>
          <w:color w:val="000000" w:themeColor="text1"/>
          <w:sz w:val="20"/>
          <w:szCs w:val="20"/>
        </w:rPr>
      </w:pPr>
    </w:p>
    <w:p w14:paraId="713FE58F" w14:textId="138CEA00" w:rsidR="00326C25" w:rsidRPr="0043215C" w:rsidRDefault="00C51C39" w:rsidP="059B78C6">
      <w:pPr>
        <w:pStyle w:val="paragraph"/>
        <w:spacing w:beforeAutospacing="0" w:after="0" w:afterAutospacing="0" w:line="240" w:lineRule="auto"/>
        <w:textAlignment w:val="baseline"/>
        <w:rPr>
          <w:rStyle w:val="normaltextrun"/>
          <w:rFonts w:asciiTheme="minorHAnsi" w:eastAsiaTheme="majorEastAsia" w:hAnsiTheme="minorHAnsi" w:cstheme="minorBidi"/>
          <w:sz w:val="20"/>
          <w:szCs w:val="20"/>
        </w:rPr>
      </w:pPr>
      <w:r w:rsidRPr="059B78C6">
        <w:rPr>
          <w:rFonts w:asciiTheme="minorHAnsi" w:eastAsia="Calibri" w:hAnsiTheme="minorHAnsi" w:cstheme="minorBidi"/>
          <w:color w:val="000000" w:themeColor="text1"/>
          <w:sz w:val="20"/>
          <w:szCs w:val="20"/>
        </w:rPr>
        <w:lastRenderedPageBreak/>
        <w:t xml:space="preserve">To respond to these challenges, </w:t>
      </w:r>
      <w:r w:rsidRPr="059B78C6">
        <w:rPr>
          <w:rFonts w:asciiTheme="minorHAnsi" w:eastAsia="Calibri" w:hAnsiTheme="minorHAnsi" w:cstheme="minorBidi"/>
          <w:sz w:val="20"/>
          <w:szCs w:val="20"/>
        </w:rPr>
        <w:t>in July 2021</w:t>
      </w:r>
      <w:r w:rsidRPr="059B78C6">
        <w:rPr>
          <w:rFonts w:asciiTheme="minorHAnsi" w:eastAsia="Calibri" w:hAnsiTheme="minorHAnsi" w:cstheme="minorBidi"/>
          <w:color w:val="000000" w:themeColor="text1"/>
          <w:sz w:val="20"/>
          <w:szCs w:val="20"/>
        </w:rPr>
        <w:t>, the government released its Green Deal Action Plan</w:t>
      </w:r>
      <w:r w:rsidRPr="059B78C6">
        <w:rPr>
          <w:rStyle w:val="FootnoteReference"/>
          <w:rFonts w:asciiTheme="minorHAnsi" w:eastAsia="Calibri" w:hAnsiTheme="minorHAnsi" w:cstheme="minorBidi"/>
          <w:color w:val="000000" w:themeColor="text1"/>
          <w:sz w:val="20"/>
          <w:szCs w:val="20"/>
        </w:rPr>
        <w:footnoteReference w:id="11"/>
      </w:r>
      <w:r w:rsidRPr="059B78C6">
        <w:rPr>
          <w:rFonts w:asciiTheme="minorHAnsi" w:eastAsia="Calibri" w:hAnsiTheme="minorHAnsi" w:cstheme="minorBidi"/>
          <w:color w:val="000000" w:themeColor="text1"/>
          <w:sz w:val="20"/>
          <w:szCs w:val="20"/>
        </w:rPr>
        <w:t xml:space="preserve"> to help transition towards a sustainable and resource efficient economy and prepare for the comprehensive changes envisaged by the European Green </w:t>
      </w:r>
      <w:r w:rsidRPr="059B78C6">
        <w:rPr>
          <w:rFonts w:asciiTheme="minorHAnsi" w:eastAsia="Calibri" w:hAnsiTheme="minorHAnsi" w:cstheme="minorBidi"/>
          <w:sz w:val="20"/>
          <w:szCs w:val="20"/>
        </w:rPr>
        <w:t>Deal.</w:t>
      </w:r>
      <w:r w:rsidRPr="059B78C6">
        <w:rPr>
          <w:rFonts w:asciiTheme="minorHAnsi" w:hAnsiTheme="minorHAnsi" w:cstheme="minorBidi"/>
          <w:sz w:val="20"/>
          <w:szCs w:val="20"/>
        </w:rPr>
        <w:t xml:space="preserve"> </w:t>
      </w:r>
      <w:r w:rsidRPr="059B78C6">
        <w:rPr>
          <w:rStyle w:val="normaltextrun"/>
          <w:rFonts w:asciiTheme="minorHAnsi" w:eastAsiaTheme="majorEastAsia" w:hAnsiTheme="minorHAnsi" w:cstheme="minorBidi"/>
          <w:sz w:val="20"/>
          <w:szCs w:val="20"/>
        </w:rPr>
        <w:t>In October and November 2021, T</w:t>
      </w:r>
      <w:r w:rsidRPr="059B78C6">
        <w:rPr>
          <w:rFonts w:asciiTheme="minorHAnsi" w:eastAsia="Calibri" w:hAnsiTheme="minorHAnsi" w:cstheme="minorBidi"/>
          <w:color w:val="000000" w:themeColor="text1"/>
          <w:sz w:val="20"/>
          <w:szCs w:val="20"/>
        </w:rPr>
        <w:t xml:space="preserve">ürkiye ratified the Paris Agreement, committing to net zero emissions by 2053, and advancing plans for resilient decarbonization, it also </w:t>
      </w:r>
      <w:r w:rsidRPr="059B78C6">
        <w:rPr>
          <w:rStyle w:val="normaltextrun"/>
          <w:rFonts w:asciiTheme="minorHAnsi" w:eastAsiaTheme="majorEastAsia" w:hAnsiTheme="minorHAnsi" w:cstheme="minorBidi"/>
          <w:sz w:val="20"/>
          <w:szCs w:val="20"/>
        </w:rPr>
        <w:t xml:space="preserve">created a new </w:t>
      </w:r>
      <w:r w:rsidR="07FFC8F1" w:rsidRPr="059B78C6">
        <w:rPr>
          <w:rStyle w:val="normaltextrun"/>
          <w:rFonts w:asciiTheme="minorHAnsi" w:eastAsiaTheme="majorEastAsia" w:hAnsiTheme="minorHAnsi" w:cstheme="minorBidi"/>
          <w:sz w:val="20"/>
          <w:szCs w:val="20"/>
        </w:rPr>
        <w:t xml:space="preserve">Directorate of </w:t>
      </w:r>
      <w:r w:rsidRPr="059B78C6">
        <w:rPr>
          <w:rStyle w:val="normaltextrun"/>
          <w:rFonts w:asciiTheme="minorHAnsi" w:eastAsiaTheme="majorEastAsia" w:hAnsiTheme="minorHAnsi" w:cstheme="minorBidi"/>
          <w:sz w:val="20"/>
          <w:szCs w:val="20"/>
        </w:rPr>
        <w:t xml:space="preserve">Climate </w:t>
      </w:r>
      <w:r w:rsidR="60182850" w:rsidRPr="059B78C6">
        <w:rPr>
          <w:rStyle w:val="normaltextrun"/>
          <w:rFonts w:asciiTheme="minorHAnsi" w:eastAsiaTheme="majorEastAsia" w:hAnsiTheme="minorHAnsi" w:cstheme="minorBidi"/>
          <w:sz w:val="20"/>
          <w:szCs w:val="20"/>
        </w:rPr>
        <w:t xml:space="preserve">Change </w:t>
      </w:r>
      <w:r w:rsidRPr="059B78C6">
        <w:rPr>
          <w:rStyle w:val="normaltextrun"/>
          <w:rFonts w:asciiTheme="minorHAnsi" w:eastAsiaTheme="majorEastAsia" w:hAnsiTheme="minorHAnsi" w:cstheme="minorBidi"/>
          <w:sz w:val="20"/>
          <w:szCs w:val="20"/>
        </w:rPr>
        <w:t xml:space="preserve">in charge of coordinating the climate transition across all Governments, and signed a Memorandum of Understanding (MoU) for increased climate action with six key development partners of which the World Bank and IFC are two. As per the Climate MoU, the Bank is following through on its pledge to mobilize an additional IBRD </w:t>
      </w:r>
      <w:r w:rsidR="00636124" w:rsidRPr="059B78C6">
        <w:rPr>
          <w:rStyle w:val="normaltextrun"/>
          <w:rFonts w:asciiTheme="minorHAnsi" w:eastAsiaTheme="majorEastAsia" w:hAnsiTheme="minorHAnsi" w:cstheme="minorBidi"/>
          <w:sz w:val="20"/>
          <w:szCs w:val="20"/>
        </w:rPr>
        <w:t>US$</w:t>
      </w:r>
      <w:r w:rsidRPr="059B78C6">
        <w:rPr>
          <w:rStyle w:val="normaltextrun"/>
          <w:rFonts w:asciiTheme="minorHAnsi" w:eastAsiaTheme="majorEastAsia" w:hAnsiTheme="minorHAnsi" w:cstheme="minorBidi"/>
          <w:sz w:val="20"/>
          <w:szCs w:val="20"/>
        </w:rPr>
        <w:t>2bn across FY23-24 for climate financing with a robust set of climate-focused projects being prepared for FY23 and FY24.</w:t>
      </w:r>
      <w:r w:rsidRPr="059B78C6">
        <w:rPr>
          <w:rFonts w:asciiTheme="minorHAnsi" w:eastAsia="Calibri" w:hAnsiTheme="minorHAnsi" w:cstheme="minorBidi"/>
          <w:color w:val="000000" w:themeColor="text1"/>
          <w:sz w:val="20"/>
          <w:szCs w:val="20"/>
        </w:rPr>
        <w:t xml:space="preserve"> </w:t>
      </w:r>
      <w:r w:rsidRPr="059B78C6">
        <w:rPr>
          <w:rFonts w:asciiTheme="minorHAnsi" w:hAnsiTheme="minorHAnsi" w:cstheme="minorBidi"/>
          <w:sz w:val="20"/>
          <w:szCs w:val="20"/>
        </w:rPr>
        <w:t>Local and global events have also led to increasing awareness of climate change impacts and the need for reduced emissions. In December 2022, the government issued the National Energy Plan (2023-2035) with targets to massively scale-up renewables and flexibility resources by 2035. Issued in November 2023, the 12</w:t>
      </w:r>
      <w:r w:rsidRPr="059B78C6">
        <w:rPr>
          <w:rFonts w:asciiTheme="minorHAnsi" w:hAnsiTheme="minorHAnsi" w:cstheme="minorBidi"/>
          <w:sz w:val="20"/>
          <w:szCs w:val="20"/>
          <w:vertAlign w:val="superscript"/>
        </w:rPr>
        <w:t>th</w:t>
      </w:r>
      <w:r w:rsidRPr="059B78C6">
        <w:rPr>
          <w:rFonts w:asciiTheme="minorHAnsi" w:hAnsiTheme="minorHAnsi" w:cstheme="minorBidi"/>
          <w:sz w:val="20"/>
          <w:szCs w:val="20"/>
        </w:rPr>
        <w:t xml:space="preserve"> National Development Plan (2024-2028) lays out a comprehensive agenda to transform Türkiye’s economy in line with climate goals, with a focus on immediate actions until 2028. More recently, in January 2024, the Minister of Energy has announced the new National Energy Efficiency Action Plan (NEEAP).</w:t>
      </w:r>
      <w:bookmarkStart w:id="18" w:name="_Toc162898758"/>
      <w:bookmarkStart w:id="19" w:name="_Toc162898820"/>
      <w:bookmarkStart w:id="20" w:name="_Toc162962941"/>
      <w:bookmarkStart w:id="21" w:name="_Toc162964118"/>
    </w:p>
    <w:p w14:paraId="0FABA05E" w14:textId="191C6448" w:rsidR="000D198D" w:rsidRPr="0043215C" w:rsidRDefault="000D198D" w:rsidP="00E7146B">
      <w:pPr>
        <w:pStyle w:val="Heading2"/>
        <w:rPr>
          <w:rFonts w:cstheme="minorHAnsi"/>
          <w:sz w:val="20"/>
          <w:szCs w:val="20"/>
        </w:rPr>
      </w:pPr>
      <w:bookmarkStart w:id="22" w:name="_Toc170319817"/>
      <w:r w:rsidRPr="0043215C">
        <w:rPr>
          <w:rFonts w:cstheme="minorHAnsi"/>
          <w:sz w:val="20"/>
          <w:szCs w:val="20"/>
        </w:rPr>
        <w:t>Sectoral and Institutional Context</w:t>
      </w:r>
      <w:bookmarkEnd w:id="18"/>
      <w:bookmarkEnd w:id="19"/>
      <w:bookmarkEnd w:id="20"/>
      <w:bookmarkEnd w:id="21"/>
      <w:bookmarkEnd w:id="22"/>
    </w:p>
    <w:p w14:paraId="29AD8B82" w14:textId="1192D5B5" w:rsidR="00265A06" w:rsidRPr="0043215C" w:rsidRDefault="00265A06" w:rsidP="387A7631">
      <w:pPr>
        <w:pStyle w:val="BodyText"/>
        <w:rPr>
          <w:rFonts w:asciiTheme="minorHAnsi" w:hAnsiTheme="minorHAnsi" w:cstheme="minorHAnsi"/>
          <w:sz w:val="20"/>
          <w:szCs w:val="20"/>
        </w:rPr>
      </w:pPr>
    </w:p>
    <w:p w14:paraId="0AD741F3" w14:textId="77777777" w:rsidR="00B76315" w:rsidRPr="0043215C" w:rsidRDefault="0060634A" w:rsidP="005C544C">
      <w:pPr>
        <w:pStyle w:val="BodyText"/>
        <w:jc w:val="both"/>
        <w:rPr>
          <w:rFonts w:asciiTheme="minorHAnsi" w:hAnsiTheme="minorHAnsi" w:cstheme="minorHAnsi"/>
          <w:sz w:val="20"/>
          <w:szCs w:val="20"/>
        </w:rPr>
      </w:pPr>
      <w:r w:rsidRPr="0043215C">
        <w:rPr>
          <w:rFonts w:asciiTheme="minorHAnsi" w:hAnsiTheme="minorHAnsi" w:cstheme="minorHAnsi"/>
          <w:b/>
          <w:bCs/>
          <w:sz w:val="20"/>
          <w:szCs w:val="20"/>
        </w:rPr>
        <w:t xml:space="preserve">As mentioned above, </w:t>
      </w:r>
      <w:r w:rsidR="000D198D" w:rsidRPr="0043215C">
        <w:rPr>
          <w:rFonts w:asciiTheme="minorHAnsi" w:hAnsiTheme="minorHAnsi" w:cstheme="minorHAnsi"/>
          <w:b/>
          <w:bCs/>
          <w:sz w:val="20"/>
          <w:szCs w:val="20"/>
        </w:rPr>
        <w:t xml:space="preserve">Türkiye aspires to achieve carbon neutrality by 2053, but reaching such a goal requires major changes in its energy system. </w:t>
      </w:r>
      <w:r w:rsidR="000D198D" w:rsidRPr="0043215C">
        <w:rPr>
          <w:rFonts w:asciiTheme="minorHAnsi" w:hAnsiTheme="minorHAnsi" w:cstheme="minorHAnsi"/>
          <w:sz w:val="20"/>
          <w:szCs w:val="20"/>
        </w:rPr>
        <w:t xml:space="preserve">Türkiye’s ratification of the Paris Agreement in October 2021 and its pledge to achieve net zero emissions by 2053, were strong signals of the country’s commitment to join the global community in tackling the climate global emergency. As part of the Paris Agreement process, Türkiye submitted the first iteration of its Nationally Determined Contribution (NDC) to the United Nations Framework Convention on Climate Change (UNFCCC) in November 2022, outlining its climate actions and targets. The </w:t>
      </w:r>
      <w:r w:rsidR="00B04034" w:rsidRPr="0043215C">
        <w:rPr>
          <w:rFonts w:asciiTheme="minorHAnsi" w:hAnsiTheme="minorHAnsi" w:cstheme="minorHAnsi"/>
          <w:sz w:val="20"/>
          <w:szCs w:val="20"/>
        </w:rPr>
        <w:t>Government</w:t>
      </w:r>
      <w:r w:rsidR="000D198D" w:rsidRPr="0043215C">
        <w:rPr>
          <w:rFonts w:asciiTheme="minorHAnsi" w:hAnsiTheme="minorHAnsi" w:cstheme="minorHAnsi"/>
          <w:sz w:val="20"/>
          <w:szCs w:val="20"/>
        </w:rPr>
        <w:t xml:space="preserve"> of Türkiye (</w:t>
      </w:r>
      <w:proofErr w:type="spellStart"/>
      <w:r w:rsidR="000D198D" w:rsidRPr="0043215C">
        <w:rPr>
          <w:rFonts w:asciiTheme="minorHAnsi" w:hAnsiTheme="minorHAnsi" w:cstheme="minorHAnsi"/>
          <w:sz w:val="20"/>
          <w:szCs w:val="20"/>
        </w:rPr>
        <w:t>GoT</w:t>
      </w:r>
      <w:proofErr w:type="spellEnd"/>
      <w:r w:rsidR="000D198D" w:rsidRPr="0043215C">
        <w:rPr>
          <w:rFonts w:asciiTheme="minorHAnsi" w:hAnsiTheme="minorHAnsi" w:cstheme="minorHAnsi"/>
          <w:sz w:val="20"/>
          <w:szCs w:val="20"/>
        </w:rPr>
        <w:t xml:space="preserve">) is also currently working on its Long-Term Decarbonization Strategy, which will further define measures and actions to address climate change. </w:t>
      </w:r>
    </w:p>
    <w:p w14:paraId="19898476" w14:textId="77777777" w:rsidR="00B76315" w:rsidRPr="0043215C" w:rsidRDefault="00B76315" w:rsidP="005C544C">
      <w:pPr>
        <w:pStyle w:val="BodyText"/>
        <w:jc w:val="both"/>
        <w:rPr>
          <w:rFonts w:asciiTheme="minorHAnsi" w:hAnsiTheme="minorHAnsi" w:cstheme="minorHAnsi"/>
          <w:sz w:val="20"/>
          <w:szCs w:val="20"/>
        </w:rPr>
      </w:pPr>
    </w:p>
    <w:p w14:paraId="4633F517" w14:textId="03C78D6F" w:rsidR="000D198D" w:rsidRPr="0043215C" w:rsidRDefault="000D198D" w:rsidP="005C544C">
      <w:pPr>
        <w:pStyle w:val="BodyText"/>
        <w:jc w:val="both"/>
        <w:rPr>
          <w:rFonts w:asciiTheme="minorHAnsi" w:hAnsiTheme="minorHAnsi" w:cstheme="minorHAnsi"/>
          <w:b/>
          <w:sz w:val="20"/>
          <w:szCs w:val="20"/>
        </w:rPr>
      </w:pPr>
      <w:r w:rsidRPr="0043215C">
        <w:rPr>
          <w:rFonts w:asciiTheme="minorHAnsi" w:hAnsiTheme="minorHAnsi" w:cstheme="minorHAnsi"/>
          <w:b/>
          <w:bCs/>
          <w:sz w:val="20"/>
          <w:szCs w:val="20"/>
        </w:rPr>
        <w:t xml:space="preserve">As indicated in the World Bank’s </w:t>
      </w:r>
      <w:r w:rsidR="003156FC" w:rsidRPr="0043215C">
        <w:rPr>
          <w:rFonts w:asciiTheme="minorHAnsi" w:hAnsiTheme="minorHAnsi" w:cstheme="minorHAnsi"/>
          <w:b/>
          <w:bCs/>
          <w:sz w:val="20"/>
          <w:szCs w:val="20"/>
        </w:rPr>
        <w:t>Türkiye</w:t>
      </w:r>
      <w:r w:rsidRPr="0043215C">
        <w:rPr>
          <w:rFonts w:asciiTheme="minorHAnsi" w:hAnsiTheme="minorHAnsi" w:cstheme="minorHAnsi"/>
          <w:b/>
          <w:bCs/>
          <w:sz w:val="20"/>
          <w:szCs w:val="20"/>
        </w:rPr>
        <w:t xml:space="preserve"> Country Climate and Development Report (CCDR, 2022), Türkiye can also improve energy security through an accelerated pace of least-cost investments in domestic solar and wind</w:t>
      </w:r>
      <w:r w:rsidRPr="0043215C">
        <w:rPr>
          <w:rFonts w:asciiTheme="minorHAnsi" w:hAnsiTheme="minorHAnsi" w:cstheme="minorHAnsi"/>
          <w:sz w:val="20"/>
          <w:szCs w:val="20"/>
        </w:rPr>
        <w:t>—building on its track record of tripling renewable energy capacity in the last decade and investing in energy efficiency, battery, and pumped storage, geothermal, and gas generation with carbon capture and storage. This would require substantial commercial financing to enable the country to meet a doubling of energy demand by 2053 needed to fuel its growth ambitions, with the added benefits of lowering emissions and improving energy security.</w:t>
      </w:r>
      <w:r w:rsidRPr="0043215C">
        <w:rPr>
          <w:rFonts w:asciiTheme="minorHAnsi" w:hAnsiTheme="minorHAnsi" w:cstheme="minorHAnsi"/>
          <w:b/>
          <w:sz w:val="20"/>
          <w:szCs w:val="20"/>
        </w:rPr>
        <w:t xml:space="preserve"> </w:t>
      </w:r>
    </w:p>
    <w:p w14:paraId="62724F78" w14:textId="77777777" w:rsidR="005D693D" w:rsidRPr="0043215C" w:rsidRDefault="005D693D" w:rsidP="005C544C">
      <w:pPr>
        <w:pStyle w:val="BodyText"/>
        <w:jc w:val="both"/>
        <w:rPr>
          <w:rFonts w:asciiTheme="minorHAnsi" w:hAnsiTheme="minorHAnsi" w:cstheme="minorHAnsi"/>
          <w:sz w:val="20"/>
          <w:szCs w:val="20"/>
        </w:rPr>
      </w:pPr>
    </w:p>
    <w:p w14:paraId="1E8764C6" w14:textId="11738AF0" w:rsidR="000D198D" w:rsidRPr="0043215C" w:rsidRDefault="000D198D" w:rsidP="005C544C">
      <w:pPr>
        <w:pStyle w:val="BodyText"/>
        <w:jc w:val="both"/>
        <w:rPr>
          <w:rStyle w:val="Heading2Char"/>
          <w:rFonts w:asciiTheme="minorHAnsi" w:eastAsia="Calibri" w:hAnsiTheme="minorHAnsi" w:cstheme="minorBidi"/>
          <w:color w:val="auto"/>
          <w:sz w:val="20"/>
          <w:szCs w:val="20"/>
        </w:rPr>
      </w:pPr>
      <w:r w:rsidRPr="50FB9C14">
        <w:rPr>
          <w:rFonts w:asciiTheme="minorHAnsi" w:hAnsiTheme="minorHAnsi" w:cstheme="minorBidi"/>
          <w:b/>
          <w:sz w:val="20"/>
          <w:szCs w:val="20"/>
        </w:rPr>
        <w:t>Increasing energy demand (expected over 3 percent per year for the next 10 years), driven by Türkiye’s growing economy, constitutes another macroeconomic challenge and an energy security risk</w:t>
      </w:r>
      <w:r w:rsidRPr="50FB9C14">
        <w:rPr>
          <w:rFonts w:asciiTheme="minorHAnsi" w:hAnsiTheme="minorHAnsi" w:cstheme="minorBidi"/>
          <w:sz w:val="20"/>
          <w:szCs w:val="20"/>
        </w:rPr>
        <w:t xml:space="preserve">. The primary energy consumption in Türkiye has more than doubled over the past two decades to fuel economic growth and is projected to increase by 50 percent over the next two decades. A large portion of its energy demand (up to 75 percent) depends on imports (99 percent of gas and 93 percent of oils are being imported), and its energy imports accounted for almost 20 percent of Türkiye’s total imports in 2021, contributing to massive current account deficits (nearly </w:t>
      </w:r>
      <w:r w:rsidR="00636124" w:rsidRPr="50FB9C14">
        <w:rPr>
          <w:rFonts w:asciiTheme="minorHAnsi" w:hAnsiTheme="minorHAnsi" w:cstheme="minorBidi"/>
          <w:sz w:val="20"/>
          <w:szCs w:val="20"/>
        </w:rPr>
        <w:t>US$</w:t>
      </w:r>
      <w:r w:rsidRPr="50FB9C14">
        <w:rPr>
          <w:rFonts w:asciiTheme="minorHAnsi" w:hAnsiTheme="minorHAnsi" w:cstheme="minorBidi"/>
          <w:sz w:val="20"/>
          <w:szCs w:val="20"/>
        </w:rPr>
        <w:t xml:space="preserve">51 billion in 2021). The country’s high energy and carbon intensity, 145 </w:t>
      </w:r>
      <w:r w:rsidR="00A32B3A" w:rsidRPr="50FB9C14">
        <w:rPr>
          <w:rFonts w:asciiTheme="minorHAnsi" w:hAnsiTheme="minorHAnsi" w:cstheme="minorBidi"/>
          <w:sz w:val="20"/>
          <w:szCs w:val="20"/>
        </w:rPr>
        <w:t xml:space="preserve">ton of oil </w:t>
      </w:r>
      <w:r w:rsidR="00332AC7" w:rsidRPr="50FB9C14">
        <w:rPr>
          <w:rFonts w:asciiTheme="minorHAnsi" w:hAnsiTheme="minorHAnsi" w:cstheme="minorBidi"/>
          <w:sz w:val="20"/>
          <w:szCs w:val="20"/>
        </w:rPr>
        <w:t>equivalent</w:t>
      </w:r>
      <w:r w:rsidR="00332AC7" w:rsidRPr="50FB9C14">
        <w:rPr>
          <w:rFonts w:asciiTheme="minorHAnsi" w:hAnsiTheme="minorHAnsi" w:cstheme="minorBidi"/>
          <w:sz w:val="20"/>
          <w:szCs w:val="20"/>
        </w:rPr>
        <w:t xml:space="preserve"> </w:t>
      </w:r>
      <w:proofErr w:type="spellStart"/>
      <w:r w:rsidRPr="50FB9C14">
        <w:rPr>
          <w:rFonts w:asciiTheme="minorHAnsi" w:hAnsiTheme="minorHAnsi" w:cstheme="minorBidi"/>
          <w:sz w:val="20"/>
          <w:szCs w:val="20"/>
        </w:rPr>
        <w:t>ktoe</w:t>
      </w:r>
      <w:proofErr w:type="spellEnd"/>
      <w:r w:rsidRPr="50FB9C14">
        <w:rPr>
          <w:rFonts w:asciiTheme="minorHAnsi" w:hAnsiTheme="minorHAnsi" w:cstheme="minorBidi"/>
          <w:sz w:val="20"/>
          <w:szCs w:val="20"/>
        </w:rPr>
        <w:t>/</w:t>
      </w:r>
      <w:r w:rsidR="00636124" w:rsidRPr="50FB9C14">
        <w:rPr>
          <w:rFonts w:asciiTheme="minorHAnsi" w:hAnsiTheme="minorHAnsi" w:cstheme="minorBidi"/>
          <w:sz w:val="20"/>
          <w:szCs w:val="20"/>
        </w:rPr>
        <w:t>US$</w:t>
      </w:r>
      <w:r w:rsidRPr="50FB9C14">
        <w:rPr>
          <w:rFonts w:asciiTheme="minorHAnsi" w:hAnsiTheme="minorHAnsi" w:cstheme="minorBidi"/>
          <w:sz w:val="20"/>
          <w:szCs w:val="20"/>
        </w:rPr>
        <w:t xml:space="preserve"> 2015 and 440 </w:t>
      </w:r>
      <w:r w:rsidR="006303D3" w:rsidRPr="50FB9C14">
        <w:rPr>
          <w:rFonts w:asciiTheme="minorHAnsi" w:hAnsiTheme="minorHAnsi" w:cstheme="minorBidi"/>
          <w:sz w:val="20"/>
          <w:szCs w:val="20"/>
        </w:rPr>
        <w:t>grams of carbon dioxide equivalent</w:t>
      </w:r>
      <w:r w:rsidR="00E024C6" w:rsidRPr="50FB9C14">
        <w:rPr>
          <w:rFonts w:asciiTheme="minorHAnsi" w:hAnsiTheme="minorHAnsi" w:cstheme="minorBidi"/>
          <w:sz w:val="20"/>
          <w:szCs w:val="20"/>
        </w:rPr>
        <w:t xml:space="preserve"> per kilowatt hour</w:t>
      </w:r>
      <w:r w:rsidR="006303D3" w:rsidRPr="50FB9C14">
        <w:rPr>
          <w:rFonts w:asciiTheme="minorHAnsi" w:hAnsiTheme="minorHAnsi" w:cstheme="minorBidi"/>
          <w:sz w:val="20"/>
          <w:szCs w:val="20"/>
        </w:rPr>
        <w:t xml:space="preserve"> </w:t>
      </w:r>
      <w:r w:rsidR="006303D3" w:rsidRPr="50FB9C14">
        <w:rPr>
          <w:rFonts w:asciiTheme="minorHAnsi" w:hAnsiTheme="minorHAnsi" w:cstheme="minorBidi"/>
          <w:color w:val="474747"/>
          <w:sz w:val="20"/>
          <w:szCs w:val="20"/>
        </w:rPr>
        <w:t>(</w:t>
      </w:r>
      <w:r w:rsidRPr="50FB9C14">
        <w:rPr>
          <w:rFonts w:asciiTheme="minorHAnsi" w:hAnsiTheme="minorHAnsi" w:cstheme="minorBidi"/>
          <w:sz w:val="20"/>
          <w:szCs w:val="20"/>
        </w:rPr>
        <w:t>gCO2e/kWh</w:t>
      </w:r>
      <w:r w:rsidR="006303D3" w:rsidRPr="50FB9C14">
        <w:rPr>
          <w:rFonts w:asciiTheme="minorHAnsi" w:hAnsiTheme="minorHAnsi" w:cstheme="minorBidi"/>
          <w:sz w:val="20"/>
          <w:szCs w:val="20"/>
        </w:rPr>
        <w:t>)</w:t>
      </w:r>
      <w:r w:rsidRPr="50FB9C14">
        <w:rPr>
          <w:rFonts w:asciiTheme="minorHAnsi" w:hAnsiTheme="minorHAnsi" w:cstheme="minorBidi"/>
          <w:sz w:val="20"/>
          <w:szCs w:val="20"/>
        </w:rPr>
        <w:t xml:space="preserve">, respectively (well above the EU averages which are 88 </w:t>
      </w:r>
      <w:proofErr w:type="spellStart"/>
      <w:r w:rsidRPr="50FB9C14">
        <w:rPr>
          <w:rFonts w:asciiTheme="minorHAnsi" w:hAnsiTheme="minorHAnsi" w:cstheme="minorBidi"/>
          <w:sz w:val="20"/>
          <w:szCs w:val="20"/>
        </w:rPr>
        <w:t>ktoe</w:t>
      </w:r>
      <w:proofErr w:type="spellEnd"/>
      <w:r w:rsidRPr="50FB9C14">
        <w:rPr>
          <w:rFonts w:asciiTheme="minorHAnsi" w:hAnsiTheme="minorHAnsi" w:cstheme="minorBidi"/>
          <w:sz w:val="20"/>
          <w:szCs w:val="20"/>
        </w:rPr>
        <w:t>/</w:t>
      </w:r>
      <w:r w:rsidR="00636124" w:rsidRPr="50FB9C14">
        <w:rPr>
          <w:rFonts w:asciiTheme="minorHAnsi" w:hAnsiTheme="minorHAnsi" w:cstheme="minorBidi"/>
          <w:sz w:val="20"/>
          <w:szCs w:val="20"/>
        </w:rPr>
        <w:t>US$</w:t>
      </w:r>
      <w:r w:rsidRPr="50FB9C14">
        <w:rPr>
          <w:rFonts w:asciiTheme="minorHAnsi" w:hAnsiTheme="minorHAnsi" w:cstheme="minorBidi"/>
          <w:sz w:val="20"/>
          <w:szCs w:val="20"/>
        </w:rPr>
        <w:t xml:space="preserve"> 2015 and 229 g CO2e/kWh, respectively), make it vulnerable to global energy prices. However, in response to increasing consumer energy price inflation (for 2022 around 137 percent), Türkiye has accelerated energy efficiency investments which made it second among OECD countries in terms of improvement of energy intensity in 2021.  </w:t>
      </w:r>
    </w:p>
    <w:p w14:paraId="4B31BABF" w14:textId="4B7A6525" w:rsidR="00C45DE3" w:rsidRPr="00A428BE" w:rsidRDefault="000D198D" w:rsidP="00F40F9D">
      <w:r w:rsidRPr="00840BCE">
        <w:t xml:space="preserve">Scaling up renewable energy </w:t>
      </w:r>
      <w:r w:rsidR="006F3D09" w:rsidRPr="00840BCE">
        <w:t>(RE)</w:t>
      </w:r>
      <w:r w:rsidRPr="00840BCE">
        <w:t xml:space="preserve"> is a core </w:t>
      </w:r>
      <w:r w:rsidR="00B04034" w:rsidRPr="00840BCE">
        <w:t>government</w:t>
      </w:r>
      <w:r w:rsidRPr="00840BCE">
        <w:t xml:space="preserve"> development policy, critical to strengthen energy security and achieve the country’s 2053 net zero emission target.</w:t>
      </w:r>
      <w:r w:rsidRPr="00840BCE">
        <w:rPr>
          <w:rFonts w:eastAsiaTheme="majorEastAsia"/>
        </w:rPr>
        <w:t xml:space="preserve"> </w:t>
      </w:r>
      <w:r w:rsidRPr="00A428BE">
        <w:t xml:space="preserve">Türkiye is endowed with considerable </w:t>
      </w:r>
      <w:r w:rsidRPr="00A428BE">
        <w:lastRenderedPageBreak/>
        <w:t xml:space="preserve">RE resources, including solar, wind, and geothermal. Utilizing these RE resources and achieving energy security has long been at the core of the </w:t>
      </w:r>
      <w:r w:rsidR="00B04034" w:rsidRPr="00A428BE">
        <w:t>government</w:t>
      </w:r>
      <w:r w:rsidRPr="00A428BE">
        <w:t xml:space="preserve"> strategy. As of end-2023, the total installed capacity reached 107 </w:t>
      </w:r>
      <w:r w:rsidR="0066120A" w:rsidRPr="00A428BE">
        <w:t>gigawatts</w:t>
      </w:r>
      <w:r w:rsidRPr="00A428BE">
        <w:t xml:space="preserve"> </w:t>
      </w:r>
      <w:r w:rsidR="0098218A" w:rsidRPr="00A428BE">
        <w:t>(</w:t>
      </w:r>
      <w:r w:rsidRPr="00A428BE">
        <w:t>GW</w:t>
      </w:r>
      <w:r w:rsidR="0098218A" w:rsidRPr="00A428BE">
        <w:t>)</w:t>
      </w:r>
      <w:r w:rsidRPr="00A428BE">
        <w:t xml:space="preserve"> where 47% is thermal, 30% is hydro and 23 % is other renewable resources namely wind, solar and geothermal. The electricity generated in 2023 is 326,302 GWh out of which 39% is from hydro and other renewable energy resources</w:t>
      </w:r>
      <w:r w:rsidRPr="00A428BE">
        <w:footnoteReference w:id="12"/>
      </w:r>
      <w:r w:rsidRPr="00A428BE">
        <w:t>, as shown in Figure 1 below</w:t>
      </w:r>
      <w:r w:rsidR="00623733" w:rsidRPr="00A428BE">
        <w:t>.</w:t>
      </w:r>
    </w:p>
    <w:p w14:paraId="4DD621C7" w14:textId="3EB39209" w:rsidR="000D198D" w:rsidRPr="0043215C" w:rsidRDefault="000D198D" w:rsidP="00127197">
      <w:pPr>
        <w:pStyle w:val="BodyText"/>
        <w:rPr>
          <w:rFonts w:asciiTheme="minorHAnsi" w:hAnsiTheme="minorHAnsi" w:cstheme="minorHAnsi"/>
          <w:bCs/>
          <w:sz w:val="20"/>
          <w:szCs w:val="20"/>
        </w:rPr>
      </w:pPr>
      <w:r w:rsidRPr="0043215C">
        <w:rPr>
          <w:rFonts w:asciiTheme="minorHAnsi" w:hAnsiTheme="minorHAnsi" w:cstheme="minorHAnsi"/>
          <w:b/>
          <w:sz w:val="20"/>
          <w:szCs w:val="20"/>
        </w:rPr>
        <w:t xml:space="preserve">Figure 1: </w:t>
      </w:r>
      <w:r w:rsidRPr="0043215C">
        <w:rPr>
          <w:rFonts w:asciiTheme="minorHAnsi" w:hAnsiTheme="minorHAnsi" w:cstheme="minorHAnsi"/>
          <w:bCs/>
          <w:sz w:val="20"/>
          <w:szCs w:val="20"/>
        </w:rPr>
        <w:t>Energy Generation Mix (kWh and %, 2023)</w:t>
      </w:r>
    </w:p>
    <w:p w14:paraId="1A8B0461" w14:textId="77777777" w:rsidR="001E7CCE" w:rsidRPr="0043215C" w:rsidRDefault="001E7CCE" w:rsidP="00730F61">
      <w:pPr>
        <w:pStyle w:val="BodyText"/>
        <w:ind w:left="270" w:firstLine="450"/>
        <w:rPr>
          <w:rFonts w:asciiTheme="minorHAnsi" w:hAnsiTheme="minorHAnsi" w:cstheme="minorHAnsi"/>
          <w:sz w:val="20"/>
          <w:szCs w:val="20"/>
        </w:rPr>
      </w:pPr>
    </w:p>
    <w:p w14:paraId="2575CF4B" w14:textId="03CB98E2" w:rsidR="003D4303" w:rsidRPr="0043215C" w:rsidRDefault="000D6725" w:rsidP="00127197">
      <w:pPr>
        <w:pStyle w:val="BodyText"/>
        <w:rPr>
          <w:rFonts w:asciiTheme="minorHAnsi" w:hAnsiTheme="minorHAnsi" w:cstheme="minorHAnsi"/>
          <w:sz w:val="20"/>
          <w:szCs w:val="20"/>
        </w:rPr>
      </w:pPr>
      <w:r w:rsidRPr="0043215C">
        <w:rPr>
          <w:rFonts w:asciiTheme="minorHAnsi" w:hAnsiTheme="minorHAnsi" w:cstheme="minorHAnsi"/>
          <w:sz w:val="20"/>
          <w:szCs w:val="20"/>
        </w:rPr>
        <w:t xml:space="preserve">         </w:t>
      </w:r>
      <w:r w:rsidR="00FF6858" w:rsidRPr="0043215C">
        <w:rPr>
          <w:rFonts w:asciiTheme="minorHAnsi" w:hAnsiTheme="minorHAnsi" w:cstheme="minorHAnsi"/>
          <w:noProof/>
          <w:sz w:val="20"/>
          <w:szCs w:val="20"/>
        </w:rPr>
        <w:drawing>
          <wp:inline distT="0" distB="0" distL="0" distR="0" wp14:anchorId="0B77F84C" wp14:editId="5CE6C5E1">
            <wp:extent cx="5603233" cy="3300275"/>
            <wp:effectExtent l="19050" t="19050" r="17145" b="14605"/>
            <wp:docPr id="6" name="Chart 6">
              <a:extLst xmlns:a="http://schemas.openxmlformats.org/drawingml/2006/main">
                <a:ext uri="{FF2B5EF4-FFF2-40B4-BE49-F238E27FC236}">
                  <a16:creationId xmlns:a16="http://schemas.microsoft.com/office/drawing/2014/main" id="{95F1562D-7331-C264-86A1-D3190EF70D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23B84F" w14:textId="586BE916" w:rsidR="00350B36" w:rsidRPr="0043215C" w:rsidRDefault="000D6725" w:rsidP="00127197">
      <w:pPr>
        <w:pStyle w:val="BodyText"/>
        <w:rPr>
          <w:rFonts w:asciiTheme="minorHAnsi" w:hAnsiTheme="minorHAnsi" w:cstheme="minorHAnsi"/>
          <w:sz w:val="20"/>
          <w:szCs w:val="20"/>
        </w:rPr>
      </w:pPr>
      <w:r w:rsidRPr="0043215C">
        <w:rPr>
          <w:rFonts w:asciiTheme="minorHAnsi" w:hAnsiTheme="minorHAnsi" w:cstheme="minorHAnsi"/>
          <w:sz w:val="20"/>
          <w:szCs w:val="20"/>
        </w:rPr>
        <w:t xml:space="preserve">           </w:t>
      </w:r>
      <w:r w:rsidR="00350B36" w:rsidRPr="0043215C">
        <w:rPr>
          <w:rFonts w:asciiTheme="minorHAnsi" w:hAnsiTheme="minorHAnsi" w:cstheme="minorHAnsi"/>
          <w:sz w:val="20"/>
          <w:szCs w:val="20"/>
        </w:rPr>
        <w:t>Source: TEİAŞ, December 31, 2023</w:t>
      </w:r>
    </w:p>
    <w:p w14:paraId="458EE068" w14:textId="77777777" w:rsidR="00645854" w:rsidRPr="0043215C" w:rsidRDefault="00645854" w:rsidP="387A7631">
      <w:pPr>
        <w:pStyle w:val="BodyText"/>
        <w:jc w:val="both"/>
        <w:rPr>
          <w:rFonts w:asciiTheme="minorHAnsi" w:hAnsiTheme="minorHAnsi" w:cstheme="minorHAnsi"/>
          <w:b/>
          <w:bCs/>
          <w:sz w:val="20"/>
          <w:szCs w:val="20"/>
        </w:rPr>
      </w:pPr>
    </w:p>
    <w:p w14:paraId="45B1CF89" w14:textId="77777777" w:rsidR="009C2877" w:rsidRDefault="000D198D" w:rsidP="387A7631">
      <w:pPr>
        <w:pStyle w:val="BodyText"/>
        <w:jc w:val="both"/>
        <w:rPr>
          <w:rFonts w:asciiTheme="minorHAnsi" w:hAnsiTheme="minorHAnsi" w:cstheme="minorHAnsi"/>
          <w:sz w:val="20"/>
          <w:szCs w:val="20"/>
        </w:rPr>
      </w:pPr>
      <w:r w:rsidRPr="0043215C">
        <w:rPr>
          <w:rFonts w:asciiTheme="minorHAnsi" w:hAnsiTheme="minorHAnsi" w:cstheme="minorHAnsi"/>
          <w:b/>
          <w:bCs/>
          <w:sz w:val="20"/>
          <w:szCs w:val="20"/>
        </w:rPr>
        <w:t xml:space="preserve">Efforts to establish carbon markets have been accelerated with the joint and structured actions by the state energy institutions </w:t>
      </w:r>
      <w:proofErr w:type="gramStart"/>
      <w:r w:rsidRPr="0043215C">
        <w:rPr>
          <w:rFonts w:asciiTheme="minorHAnsi" w:hAnsiTheme="minorHAnsi" w:cstheme="minorHAnsi"/>
          <w:b/>
          <w:bCs/>
          <w:sz w:val="20"/>
          <w:szCs w:val="20"/>
        </w:rPr>
        <w:t>in order to</w:t>
      </w:r>
      <w:proofErr w:type="gramEnd"/>
      <w:r w:rsidRPr="0043215C">
        <w:rPr>
          <w:rFonts w:asciiTheme="minorHAnsi" w:hAnsiTheme="minorHAnsi" w:cstheme="minorHAnsi"/>
          <w:b/>
          <w:bCs/>
          <w:sz w:val="20"/>
          <w:szCs w:val="20"/>
        </w:rPr>
        <w:t xml:space="preserve"> comply with the EU’s CB</w:t>
      </w:r>
      <w:r w:rsidR="0028759E" w:rsidRPr="0043215C">
        <w:rPr>
          <w:rFonts w:asciiTheme="minorHAnsi" w:hAnsiTheme="minorHAnsi" w:cstheme="minorHAnsi"/>
          <w:b/>
          <w:bCs/>
          <w:sz w:val="20"/>
          <w:szCs w:val="20"/>
        </w:rPr>
        <w:t>A</w:t>
      </w:r>
      <w:r w:rsidRPr="0043215C">
        <w:rPr>
          <w:rFonts w:asciiTheme="minorHAnsi" w:hAnsiTheme="minorHAnsi" w:cstheme="minorHAnsi"/>
          <w:b/>
          <w:bCs/>
          <w:sz w:val="20"/>
          <w:szCs w:val="20"/>
        </w:rPr>
        <w:t>M</w:t>
      </w:r>
      <w:r w:rsidRPr="0043215C">
        <w:rPr>
          <w:rFonts w:asciiTheme="minorHAnsi" w:hAnsiTheme="minorHAnsi" w:cstheme="minorHAnsi"/>
          <w:sz w:val="20"/>
          <w:szCs w:val="20"/>
        </w:rPr>
        <w:t>. The European Energy Exchange (EEX) and the Turkish Energy Exchange (EPİA</w:t>
      </w:r>
      <w:r w:rsidR="00A4166E" w:rsidRPr="0043215C">
        <w:rPr>
          <w:rFonts w:asciiTheme="minorHAnsi" w:hAnsiTheme="minorHAnsi" w:cstheme="minorHAnsi"/>
          <w:sz w:val="20"/>
          <w:szCs w:val="20"/>
        </w:rPr>
        <w:t>S</w:t>
      </w:r>
      <w:r w:rsidRPr="0043215C">
        <w:rPr>
          <w:rFonts w:asciiTheme="minorHAnsi" w:hAnsiTheme="minorHAnsi" w:cstheme="minorHAnsi"/>
          <w:sz w:val="20"/>
          <w:szCs w:val="20"/>
        </w:rPr>
        <w:t>) signed a Memorandum of Understanding</w:t>
      </w:r>
      <w:r w:rsidR="009A147D" w:rsidRPr="0043215C">
        <w:rPr>
          <w:rFonts w:asciiTheme="minorHAnsi" w:hAnsiTheme="minorHAnsi" w:cstheme="minorHAnsi"/>
          <w:sz w:val="20"/>
          <w:szCs w:val="20"/>
        </w:rPr>
        <w:t xml:space="preserve"> (MoU)</w:t>
      </w:r>
      <w:r w:rsidRPr="0043215C">
        <w:rPr>
          <w:rFonts w:asciiTheme="minorHAnsi" w:hAnsiTheme="minorHAnsi" w:cstheme="minorHAnsi"/>
          <w:sz w:val="20"/>
          <w:szCs w:val="20"/>
        </w:rPr>
        <w:t xml:space="preserve"> to underline their joint commitment in developing the Emissions Trading System (ETS) in Türkiye, while the Energy Market Regulatory Authority (EMRA) publicized a draft communique </w:t>
      </w:r>
      <w:proofErr w:type="gramStart"/>
      <w:r w:rsidRPr="0043215C">
        <w:rPr>
          <w:rFonts w:asciiTheme="minorHAnsi" w:hAnsiTheme="minorHAnsi" w:cstheme="minorHAnsi"/>
          <w:sz w:val="20"/>
          <w:szCs w:val="20"/>
        </w:rPr>
        <w:t>with regard to</w:t>
      </w:r>
      <w:proofErr w:type="gramEnd"/>
      <w:r w:rsidRPr="0043215C">
        <w:rPr>
          <w:rFonts w:asciiTheme="minorHAnsi" w:hAnsiTheme="minorHAnsi" w:cstheme="minorHAnsi"/>
          <w:sz w:val="20"/>
          <w:szCs w:val="20"/>
        </w:rPr>
        <w:t xml:space="preserve"> the carbon markets.</w:t>
      </w:r>
    </w:p>
    <w:p w14:paraId="44B25342" w14:textId="51738D1D" w:rsidR="000D198D" w:rsidRPr="0043215C" w:rsidRDefault="000D198D" w:rsidP="387A7631">
      <w:pPr>
        <w:pStyle w:val="BodyText"/>
        <w:jc w:val="both"/>
        <w:rPr>
          <w:rFonts w:asciiTheme="minorHAnsi" w:hAnsiTheme="minorHAnsi" w:cstheme="minorHAnsi"/>
          <w:sz w:val="20"/>
          <w:szCs w:val="20"/>
        </w:rPr>
      </w:pPr>
      <w:r w:rsidRPr="0043215C">
        <w:rPr>
          <w:rFonts w:asciiTheme="minorHAnsi" w:hAnsiTheme="minorHAnsi" w:cstheme="minorHAnsi"/>
          <w:sz w:val="20"/>
          <w:szCs w:val="20"/>
        </w:rPr>
        <w:t xml:space="preserve"> </w:t>
      </w:r>
    </w:p>
    <w:p w14:paraId="0830EEC9" w14:textId="57E37DED" w:rsidR="000D198D" w:rsidRPr="0043215C" w:rsidRDefault="00B04034" w:rsidP="00E7146B">
      <w:pPr>
        <w:pStyle w:val="Heading2"/>
        <w:rPr>
          <w:rFonts w:cstheme="minorHAnsi"/>
          <w:sz w:val="20"/>
          <w:szCs w:val="20"/>
        </w:rPr>
      </w:pPr>
      <w:bookmarkStart w:id="23" w:name="_Toc162898759"/>
      <w:bookmarkStart w:id="24" w:name="_Toc162898821"/>
      <w:bookmarkStart w:id="25" w:name="_Toc162962942"/>
      <w:bookmarkStart w:id="26" w:name="_Toc162964119"/>
      <w:bookmarkStart w:id="27" w:name="_Toc170319818"/>
      <w:r w:rsidRPr="0043215C">
        <w:rPr>
          <w:rFonts w:cstheme="minorHAnsi"/>
          <w:sz w:val="20"/>
          <w:szCs w:val="20"/>
        </w:rPr>
        <w:t>Government</w:t>
      </w:r>
      <w:r w:rsidR="000D198D" w:rsidRPr="0043215C">
        <w:rPr>
          <w:rFonts w:cstheme="minorHAnsi"/>
          <w:sz w:val="20"/>
          <w:szCs w:val="20"/>
        </w:rPr>
        <w:t>’s Energy Strategies and Targets</w:t>
      </w:r>
      <w:bookmarkEnd w:id="23"/>
      <w:bookmarkEnd w:id="24"/>
      <w:bookmarkEnd w:id="25"/>
      <w:bookmarkEnd w:id="26"/>
      <w:bookmarkEnd w:id="27"/>
      <w:r w:rsidR="000D198D" w:rsidRPr="0043215C">
        <w:rPr>
          <w:rFonts w:cstheme="minorHAnsi"/>
          <w:sz w:val="20"/>
          <w:szCs w:val="20"/>
        </w:rPr>
        <w:t xml:space="preserve"> </w:t>
      </w:r>
    </w:p>
    <w:p w14:paraId="4EC5A2A8" w14:textId="77777777" w:rsidR="00EC362B" w:rsidRPr="0043215C" w:rsidRDefault="00EC362B" w:rsidP="009C3A57">
      <w:pPr>
        <w:pStyle w:val="BodyText"/>
        <w:jc w:val="both"/>
        <w:rPr>
          <w:rFonts w:asciiTheme="minorHAnsi" w:hAnsiTheme="minorHAnsi" w:cstheme="minorHAnsi"/>
          <w:sz w:val="20"/>
          <w:szCs w:val="20"/>
        </w:rPr>
      </w:pPr>
    </w:p>
    <w:p w14:paraId="58454665" w14:textId="0E779D15" w:rsidR="000D198D" w:rsidRPr="0043215C" w:rsidRDefault="00B04034" w:rsidP="009C3A57">
      <w:pPr>
        <w:pStyle w:val="BodyText"/>
        <w:jc w:val="both"/>
        <w:rPr>
          <w:rFonts w:asciiTheme="minorHAnsi" w:hAnsiTheme="minorHAnsi" w:cstheme="minorHAnsi"/>
          <w:sz w:val="20"/>
          <w:szCs w:val="20"/>
        </w:rPr>
      </w:pPr>
      <w:r w:rsidRPr="0043215C">
        <w:rPr>
          <w:rFonts w:asciiTheme="minorHAnsi" w:hAnsiTheme="minorHAnsi" w:cstheme="minorHAnsi"/>
          <w:b/>
          <w:bCs/>
          <w:sz w:val="20"/>
          <w:szCs w:val="20"/>
        </w:rPr>
        <w:t>Government</w:t>
      </w:r>
      <w:r w:rsidR="000D198D" w:rsidRPr="0043215C">
        <w:rPr>
          <w:rFonts w:asciiTheme="minorHAnsi" w:hAnsiTheme="minorHAnsi" w:cstheme="minorHAnsi"/>
          <w:b/>
          <w:bCs/>
          <w:sz w:val="20"/>
          <w:szCs w:val="20"/>
        </w:rPr>
        <w:t xml:space="preserve">’s energy strategies and targets have mainly been outlined in the </w:t>
      </w:r>
      <w:r w:rsidR="001F0882" w:rsidRPr="0043215C">
        <w:rPr>
          <w:rFonts w:asciiTheme="minorHAnsi" w:hAnsiTheme="minorHAnsi" w:cstheme="minorHAnsi"/>
          <w:b/>
          <w:bCs/>
          <w:sz w:val="20"/>
          <w:szCs w:val="20"/>
        </w:rPr>
        <w:t xml:space="preserve">four </w:t>
      </w:r>
      <w:r w:rsidR="000D198D" w:rsidRPr="0043215C">
        <w:rPr>
          <w:rFonts w:asciiTheme="minorHAnsi" w:hAnsiTheme="minorHAnsi" w:cstheme="minorHAnsi"/>
          <w:b/>
          <w:bCs/>
          <w:sz w:val="20"/>
          <w:szCs w:val="20"/>
        </w:rPr>
        <w:t>reference documents</w:t>
      </w:r>
      <w:r w:rsidR="000D198D" w:rsidRPr="0043215C">
        <w:rPr>
          <w:rFonts w:asciiTheme="minorHAnsi" w:hAnsiTheme="minorHAnsi" w:cstheme="minorHAnsi"/>
          <w:sz w:val="20"/>
          <w:szCs w:val="20"/>
        </w:rPr>
        <w:t>, i.e. 12th NDP (2024-2028), Medium-Term Program (2024-2026)</w:t>
      </w:r>
      <w:r w:rsidR="001F0882" w:rsidRPr="0043215C">
        <w:rPr>
          <w:rFonts w:asciiTheme="minorHAnsi" w:hAnsiTheme="minorHAnsi" w:cstheme="minorHAnsi"/>
          <w:sz w:val="20"/>
          <w:szCs w:val="20"/>
        </w:rPr>
        <w:t>,</w:t>
      </w:r>
      <w:r w:rsidR="000D198D" w:rsidRPr="0043215C">
        <w:rPr>
          <w:rFonts w:asciiTheme="minorHAnsi" w:hAnsiTheme="minorHAnsi" w:cstheme="minorHAnsi"/>
          <w:sz w:val="20"/>
          <w:szCs w:val="20"/>
        </w:rPr>
        <w:t xml:space="preserve"> Türkiye NEP</w:t>
      </w:r>
      <w:r w:rsidR="001F0882" w:rsidRPr="0043215C">
        <w:rPr>
          <w:rFonts w:asciiTheme="minorHAnsi" w:hAnsiTheme="minorHAnsi" w:cstheme="minorHAnsi"/>
          <w:sz w:val="20"/>
          <w:szCs w:val="20"/>
        </w:rPr>
        <w:t xml:space="preserve"> and NEEAP (2024-2028)</w:t>
      </w:r>
      <w:r w:rsidR="000D198D" w:rsidRPr="0043215C">
        <w:rPr>
          <w:rFonts w:asciiTheme="minorHAnsi" w:hAnsiTheme="minorHAnsi" w:cstheme="minorHAnsi"/>
          <w:sz w:val="20"/>
          <w:szCs w:val="20"/>
        </w:rPr>
        <w:t>, aiming to ensure energy supply that is  sustainable and affordable energy; diversify resources of energy supply; exploit indigenous and renewable energy target</w:t>
      </w:r>
      <w:r w:rsidR="000F5ECF" w:rsidRPr="0043215C">
        <w:rPr>
          <w:rFonts w:asciiTheme="minorHAnsi" w:hAnsiTheme="minorHAnsi" w:cstheme="minorHAnsi"/>
          <w:sz w:val="20"/>
          <w:szCs w:val="20"/>
        </w:rPr>
        <w:t>,</w:t>
      </w:r>
      <w:r w:rsidR="000D198D" w:rsidRPr="0043215C">
        <w:rPr>
          <w:rFonts w:asciiTheme="minorHAnsi" w:hAnsiTheme="minorHAnsi" w:cstheme="minorHAnsi"/>
          <w:sz w:val="20"/>
          <w:szCs w:val="20"/>
        </w:rPr>
        <w:t xml:space="preserve"> use nuclear energy in electricity generation; increase energy efficiency; prioritize localization of energy technologies and integrate new technologies; gain a competitive structure in order to enhance the country’s strategic position in the international energy trade. </w:t>
      </w:r>
      <w:r w:rsidR="00023C07" w:rsidRPr="0043215C">
        <w:rPr>
          <w:rFonts w:asciiTheme="minorHAnsi" w:hAnsiTheme="minorHAnsi" w:cstheme="minorHAnsi"/>
          <w:sz w:val="20"/>
          <w:szCs w:val="20"/>
        </w:rPr>
        <w:t xml:space="preserve">MENR will </w:t>
      </w:r>
      <w:r w:rsidR="00792FDE" w:rsidRPr="0043215C">
        <w:rPr>
          <w:rFonts w:asciiTheme="minorHAnsi" w:hAnsiTheme="minorHAnsi" w:cstheme="minorHAnsi"/>
          <w:sz w:val="20"/>
          <w:szCs w:val="20"/>
        </w:rPr>
        <w:t xml:space="preserve">soon </w:t>
      </w:r>
      <w:r w:rsidR="00023C07" w:rsidRPr="0043215C">
        <w:rPr>
          <w:rFonts w:asciiTheme="minorHAnsi" w:hAnsiTheme="minorHAnsi" w:cstheme="minorHAnsi"/>
          <w:sz w:val="20"/>
          <w:szCs w:val="20"/>
        </w:rPr>
        <w:t xml:space="preserve">announce the new Strategic Plan covering the period </w:t>
      </w:r>
      <w:r w:rsidR="00792FDE" w:rsidRPr="0043215C">
        <w:rPr>
          <w:rFonts w:asciiTheme="minorHAnsi" w:hAnsiTheme="minorHAnsi" w:cstheme="minorHAnsi"/>
          <w:sz w:val="20"/>
          <w:szCs w:val="20"/>
        </w:rPr>
        <w:t xml:space="preserve">from </w:t>
      </w:r>
      <w:r w:rsidR="00023C07" w:rsidRPr="0043215C">
        <w:rPr>
          <w:rFonts w:asciiTheme="minorHAnsi" w:hAnsiTheme="minorHAnsi" w:cstheme="minorHAnsi"/>
          <w:sz w:val="20"/>
          <w:szCs w:val="20"/>
        </w:rPr>
        <w:t>2024-2028.</w:t>
      </w:r>
    </w:p>
    <w:p w14:paraId="5B3D000B" w14:textId="77777777" w:rsidR="00660C3C" w:rsidRPr="0043215C" w:rsidRDefault="00660C3C" w:rsidP="009C3A57">
      <w:pPr>
        <w:pStyle w:val="BodyText"/>
        <w:jc w:val="both"/>
        <w:rPr>
          <w:rFonts w:asciiTheme="minorHAnsi" w:hAnsiTheme="minorHAnsi" w:cstheme="minorHAnsi"/>
          <w:sz w:val="20"/>
          <w:szCs w:val="20"/>
        </w:rPr>
      </w:pPr>
    </w:p>
    <w:p w14:paraId="482F235E" w14:textId="093C97BB" w:rsidR="00680DA0" w:rsidRPr="0043215C" w:rsidRDefault="00B04034" w:rsidP="009C3A57">
      <w:pPr>
        <w:pStyle w:val="BodyText"/>
        <w:jc w:val="both"/>
        <w:rPr>
          <w:rFonts w:asciiTheme="minorHAnsi" w:hAnsiTheme="minorHAnsi" w:cstheme="minorHAnsi"/>
          <w:sz w:val="20"/>
          <w:szCs w:val="20"/>
        </w:rPr>
      </w:pPr>
      <w:r w:rsidRPr="0043215C">
        <w:rPr>
          <w:rFonts w:asciiTheme="minorHAnsi" w:hAnsiTheme="minorHAnsi" w:cstheme="minorHAnsi"/>
          <w:b/>
          <w:bCs/>
          <w:sz w:val="20"/>
          <w:szCs w:val="20"/>
        </w:rPr>
        <w:lastRenderedPageBreak/>
        <w:t>Government</w:t>
      </w:r>
      <w:r w:rsidR="000D198D" w:rsidRPr="0043215C">
        <w:rPr>
          <w:rFonts w:asciiTheme="minorHAnsi" w:hAnsiTheme="minorHAnsi" w:cstheme="minorHAnsi"/>
          <w:b/>
          <w:bCs/>
          <w:sz w:val="20"/>
          <w:szCs w:val="20"/>
        </w:rPr>
        <w:t xml:space="preserve"> is planning to meet high energy demand in the medium term mainly from renewables and nuclear</w:t>
      </w:r>
      <w:r w:rsidR="000D198D" w:rsidRPr="0043215C">
        <w:rPr>
          <w:rFonts w:asciiTheme="minorHAnsi" w:hAnsiTheme="minorHAnsi" w:cstheme="minorHAnsi"/>
          <w:sz w:val="20"/>
          <w:szCs w:val="20"/>
        </w:rPr>
        <w:t>, nevertheless additional investments will be made for natural gas and indigenous coal power plants. Electricity consumption will reach</w:t>
      </w:r>
      <w:r w:rsidR="0E5D5516" w:rsidRPr="0043215C">
        <w:rPr>
          <w:rFonts w:asciiTheme="minorHAnsi" w:hAnsiTheme="minorHAnsi" w:cstheme="minorHAnsi"/>
          <w:sz w:val="20"/>
          <w:szCs w:val="20"/>
        </w:rPr>
        <w:t xml:space="preserve"> </w:t>
      </w:r>
      <w:r w:rsidR="000D198D" w:rsidRPr="0043215C">
        <w:rPr>
          <w:rFonts w:asciiTheme="minorHAnsi" w:hAnsiTheme="minorHAnsi" w:cstheme="minorHAnsi"/>
          <w:sz w:val="20"/>
          <w:szCs w:val="20"/>
        </w:rPr>
        <w:t xml:space="preserve">510.5 </w:t>
      </w:r>
      <w:r w:rsidR="006061ED" w:rsidRPr="0043215C">
        <w:rPr>
          <w:rFonts w:asciiTheme="minorHAnsi" w:hAnsiTheme="minorHAnsi" w:cstheme="minorHAnsi"/>
          <w:sz w:val="20"/>
          <w:szCs w:val="20"/>
        </w:rPr>
        <w:t>terawatt hours (</w:t>
      </w:r>
      <w:proofErr w:type="spellStart"/>
      <w:r w:rsidR="000D198D" w:rsidRPr="0043215C">
        <w:rPr>
          <w:rFonts w:asciiTheme="minorHAnsi" w:hAnsiTheme="minorHAnsi" w:cstheme="minorHAnsi"/>
          <w:sz w:val="20"/>
          <w:szCs w:val="20"/>
        </w:rPr>
        <w:t>TWh</w:t>
      </w:r>
      <w:proofErr w:type="spellEnd"/>
      <w:r w:rsidR="006061ED" w:rsidRPr="0043215C">
        <w:rPr>
          <w:rFonts w:asciiTheme="minorHAnsi" w:hAnsiTheme="minorHAnsi" w:cstheme="minorHAnsi"/>
          <w:sz w:val="20"/>
          <w:szCs w:val="20"/>
        </w:rPr>
        <w:t>)</w:t>
      </w:r>
      <w:r w:rsidR="000D198D" w:rsidRPr="0043215C">
        <w:rPr>
          <w:rFonts w:asciiTheme="minorHAnsi" w:hAnsiTheme="minorHAnsi" w:cstheme="minorHAnsi"/>
          <w:sz w:val="20"/>
          <w:szCs w:val="20"/>
        </w:rPr>
        <w:t xml:space="preserve"> in 2035 from 330.3 </w:t>
      </w:r>
      <w:proofErr w:type="spellStart"/>
      <w:r w:rsidR="000D198D" w:rsidRPr="0043215C">
        <w:rPr>
          <w:rFonts w:asciiTheme="minorHAnsi" w:hAnsiTheme="minorHAnsi" w:cstheme="minorHAnsi"/>
          <w:sz w:val="20"/>
          <w:szCs w:val="20"/>
        </w:rPr>
        <w:t>TWh</w:t>
      </w:r>
      <w:proofErr w:type="spellEnd"/>
      <w:r w:rsidR="000D198D" w:rsidRPr="0043215C">
        <w:rPr>
          <w:rFonts w:asciiTheme="minorHAnsi" w:hAnsiTheme="minorHAnsi" w:cstheme="minorHAnsi"/>
          <w:sz w:val="20"/>
          <w:szCs w:val="20"/>
        </w:rPr>
        <w:t xml:space="preserve"> in 2023 with a </w:t>
      </w:r>
      <w:r w:rsidR="0012342B" w:rsidRPr="0043215C">
        <w:rPr>
          <w:rFonts w:asciiTheme="minorHAnsi" w:hAnsiTheme="minorHAnsi" w:cstheme="minorHAnsi"/>
          <w:sz w:val="20"/>
          <w:szCs w:val="20"/>
        </w:rPr>
        <w:t xml:space="preserve">compound annual growth </w:t>
      </w:r>
      <w:r w:rsidR="008B1F5F" w:rsidRPr="0043215C">
        <w:rPr>
          <w:rFonts w:asciiTheme="minorHAnsi" w:hAnsiTheme="minorHAnsi" w:cstheme="minorHAnsi"/>
          <w:sz w:val="20"/>
          <w:szCs w:val="20"/>
        </w:rPr>
        <w:t>rate (</w:t>
      </w:r>
      <w:r w:rsidR="000D198D" w:rsidRPr="0043215C">
        <w:rPr>
          <w:rFonts w:asciiTheme="minorHAnsi" w:hAnsiTheme="minorHAnsi" w:cstheme="minorHAnsi"/>
          <w:sz w:val="20"/>
          <w:szCs w:val="20"/>
        </w:rPr>
        <w:t>CAGR</w:t>
      </w:r>
      <w:r w:rsidR="0012342B" w:rsidRPr="0043215C">
        <w:rPr>
          <w:rFonts w:asciiTheme="minorHAnsi" w:hAnsiTheme="minorHAnsi" w:cstheme="minorHAnsi"/>
          <w:sz w:val="20"/>
          <w:szCs w:val="20"/>
        </w:rPr>
        <w:t>)</w:t>
      </w:r>
      <w:r w:rsidR="000D198D" w:rsidRPr="0043215C">
        <w:rPr>
          <w:rFonts w:asciiTheme="minorHAnsi" w:hAnsiTheme="minorHAnsi" w:cstheme="minorHAnsi"/>
          <w:sz w:val="20"/>
          <w:szCs w:val="20"/>
        </w:rPr>
        <w:t xml:space="preserve"> of 3.7%. Wind installed capacity is expected to reach 29.6 GW (24.6 GW onshore and 5.0 GW offshore) whereas solar installed capacity is expected to reach 52.9 GW. Nuclear installed capacity is expected to reach </w:t>
      </w:r>
      <w:r w:rsidR="008B72A5" w:rsidRPr="0043215C">
        <w:rPr>
          <w:rFonts w:asciiTheme="minorHAnsi" w:hAnsiTheme="minorHAnsi" w:cstheme="minorHAnsi"/>
          <w:sz w:val="20"/>
          <w:szCs w:val="20"/>
        </w:rPr>
        <w:t xml:space="preserve">about </w:t>
      </w:r>
      <w:r w:rsidR="000D198D" w:rsidRPr="0043215C">
        <w:rPr>
          <w:rFonts w:asciiTheme="minorHAnsi" w:hAnsiTheme="minorHAnsi" w:cstheme="minorHAnsi"/>
          <w:sz w:val="20"/>
          <w:szCs w:val="20"/>
        </w:rPr>
        <w:t xml:space="preserve">7.2 GW while geothermal and biomass capacity will reach 5.1 GW. 10.0 GW of additional natural gas capacity and 1.7 GW of local coal capacity is forecasted to be added to the generation capacity. </w:t>
      </w:r>
    </w:p>
    <w:p w14:paraId="20F70E94" w14:textId="77777777" w:rsidR="00A3347E" w:rsidRPr="0043215C" w:rsidRDefault="00A3347E" w:rsidP="009C3A57">
      <w:pPr>
        <w:pStyle w:val="BodyText"/>
        <w:jc w:val="both"/>
        <w:rPr>
          <w:rFonts w:asciiTheme="minorHAnsi" w:hAnsiTheme="minorHAnsi" w:cstheme="minorHAnsi"/>
          <w:sz w:val="20"/>
          <w:szCs w:val="20"/>
        </w:rPr>
      </w:pPr>
    </w:p>
    <w:p w14:paraId="12E97A37" w14:textId="572079D4" w:rsidR="0094505C" w:rsidRPr="0043215C" w:rsidRDefault="0005209C" w:rsidP="009C3A57">
      <w:pPr>
        <w:pStyle w:val="BodyText"/>
        <w:jc w:val="both"/>
        <w:rPr>
          <w:rFonts w:asciiTheme="minorHAnsi" w:hAnsiTheme="minorHAnsi" w:cstheme="minorHAnsi"/>
          <w:sz w:val="20"/>
          <w:szCs w:val="20"/>
        </w:rPr>
      </w:pPr>
      <w:r w:rsidRPr="0043215C">
        <w:rPr>
          <w:rFonts w:asciiTheme="minorHAnsi" w:hAnsiTheme="minorHAnsi" w:cstheme="minorHAnsi"/>
          <w:b/>
          <w:bCs/>
          <w:sz w:val="20"/>
          <w:szCs w:val="20"/>
        </w:rPr>
        <w:t xml:space="preserve">In terms of RE scale-up, </w:t>
      </w:r>
      <w:r w:rsidR="00A3347E" w:rsidRPr="0043215C">
        <w:rPr>
          <w:rFonts w:asciiTheme="minorHAnsi" w:hAnsiTheme="minorHAnsi" w:cstheme="minorHAnsi"/>
          <w:b/>
          <w:bCs/>
          <w:sz w:val="20"/>
          <w:szCs w:val="20"/>
        </w:rPr>
        <w:t>Türkiye has designed one of the most ambitious strategies globally to scale up renewable energy generation</w:t>
      </w:r>
      <w:r w:rsidR="00A3347E" w:rsidRPr="0043215C">
        <w:rPr>
          <w:rFonts w:asciiTheme="minorHAnsi" w:hAnsiTheme="minorHAnsi" w:cstheme="minorHAnsi"/>
          <w:sz w:val="20"/>
          <w:szCs w:val="20"/>
        </w:rPr>
        <w:t xml:space="preserve">. The strategy plans to add up to 60 GW by 2035 (5 GW per year) and is part of the country’s effort to meet its energy security objectives and commitments to achieve net zero emissions by 2053.  The Minister of Energy </w:t>
      </w:r>
      <w:r w:rsidR="00023C07" w:rsidRPr="0043215C">
        <w:rPr>
          <w:rFonts w:asciiTheme="minorHAnsi" w:hAnsiTheme="minorHAnsi" w:cstheme="minorHAnsi"/>
          <w:sz w:val="20"/>
          <w:szCs w:val="20"/>
        </w:rPr>
        <w:t xml:space="preserve">and Natural Resources </w:t>
      </w:r>
      <w:r w:rsidR="00A3347E" w:rsidRPr="0043215C">
        <w:rPr>
          <w:rFonts w:asciiTheme="minorHAnsi" w:hAnsiTheme="minorHAnsi" w:cstheme="minorHAnsi"/>
          <w:sz w:val="20"/>
          <w:szCs w:val="20"/>
        </w:rPr>
        <w:t>has recently presented this ambitious strategy in Dubai in a W</w:t>
      </w:r>
      <w:r w:rsidR="00BC3B6B" w:rsidRPr="0043215C">
        <w:rPr>
          <w:rFonts w:asciiTheme="minorHAnsi" w:hAnsiTheme="minorHAnsi" w:cstheme="minorHAnsi"/>
          <w:sz w:val="20"/>
          <w:szCs w:val="20"/>
        </w:rPr>
        <w:t xml:space="preserve">orld </w:t>
      </w:r>
      <w:r w:rsidR="00A3347E" w:rsidRPr="0043215C">
        <w:rPr>
          <w:rFonts w:asciiTheme="minorHAnsi" w:hAnsiTheme="minorHAnsi" w:cstheme="minorHAnsi"/>
          <w:sz w:val="20"/>
          <w:szCs w:val="20"/>
        </w:rPr>
        <w:t>B</w:t>
      </w:r>
      <w:r w:rsidR="00BC3B6B" w:rsidRPr="0043215C">
        <w:rPr>
          <w:rFonts w:asciiTheme="minorHAnsi" w:hAnsiTheme="minorHAnsi" w:cstheme="minorHAnsi"/>
          <w:sz w:val="20"/>
          <w:szCs w:val="20"/>
        </w:rPr>
        <w:t>ank</w:t>
      </w:r>
      <w:r w:rsidR="00A3347E" w:rsidRPr="0043215C">
        <w:rPr>
          <w:rFonts w:asciiTheme="minorHAnsi" w:hAnsiTheme="minorHAnsi" w:cstheme="minorHAnsi"/>
          <w:sz w:val="20"/>
          <w:szCs w:val="20"/>
        </w:rPr>
        <w:t xml:space="preserve"> organized event at COP28.</w:t>
      </w:r>
      <w:r w:rsidRPr="0043215C">
        <w:rPr>
          <w:rFonts w:asciiTheme="minorHAnsi" w:hAnsiTheme="minorHAnsi" w:cstheme="minorHAnsi"/>
          <w:sz w:val="20"/>
          <w:szCs w:val="20"/>
        </w:rPr>
        <w:t xml:space="preserve"> </w:t>
      </w:r>
      <w:r w:rsidR="008534BE" w:rsidRPr="0043215C">
        <w:rPr>
          <w:rFonts w:asciiTheme="minorHAnsi" w:hAnsiTheme="minorHAnsi" w:cstheme="minorHAnsi"/>
          <w:sz w:val="20"/>
          <w:szCs w:val="20"/>
        </w:rPr>
        <w:t xml:space="preserve"> </w:t>
      </w:r>
    </w:p>
    <w:p w14:paraId="2F7E0363" w14:textId="77777777" w:rsidR="0094505C" w:rsidRPr="0043215C" w:rsidRDefault="0094505C" w:rsidP="009C3A57">
      <w:pPr>
        <w:pStyle w:val="BodyText"/>
        <w:jc w:val="both"/>
        <w:rPr>
          <w:rFonts w:asciiTheme="minorHAnsi" w:hAnsiTheme="minorHAnsi" w:cstheme="minorHAnsi"/>
          <w:sz w:val="20"/>
          <w:szCs w:val="20"/>
        </w:rPr>
      </w:pPr>
    </w:p>
    <w:p w14:paraId="0F3D0C1C" w14:textId="60A91634" w:rsidR="00BD3C47" w:rsidRPr="0043215C" w:rsidRDefault="00BD3C47" w:rsidP="009C3A57">
      <w:pPr>
        <w:pStyle w:val="BodyText"/>
        <w:jc w:val="both"/>
        <w:rPr>
          <w:rFonts w:asciiTheme="minorHAnsi" w:hAnsiTheme="minorHAnsi" w:cstheme="minorHAnsi"/>
          <w:sz w:val="20"/>
          <w:szCs w:val="20"/>
        </w:rPr>
      </w:pPr>
      <w:r w:rsidRPr="0043215C">
        <w:rPr>
          <w:rFonts w:asciiTheme="minorHAnsi" w:hAnsiTheme="minorHAnsi" w:cstheme="minorHAnsi"/>
          <w:b/>
          <w:bCs/>
          <w:sz w:val="20"/>
          <w:szCs w:val="20"/>
        </w:rPr>
        <w:t>The ambition to scale up RE generation necessitates a qualified and diverse human capital.</w:t>
      </w:r>
      <w:r w:rsidRPr="0043215C">
        <w:rPr>
          <w:rFonts w:asciiTheme="minorHAnsi" w:hAnsiTheme="minorHAnsi" w:cstheme="minorHAnsi"/>
          <w:sz w:val="20"/>
          <w:szCs w:val="20"/>
        </w:rPr>
        <w:t xml:space="preserve"> T</w:t>
      </w:r>
      <w:r w:rsidR="0986AFDA" w:rsidRPr="0043215C">
        <w:rPr>
          <w:rFonts w:asciiTheme="minorHAnsi" w:hAnsiTheme="minorHAnsi" w:cstheme="minorHAnsi"/>
          <w:sz w:val="20"/>
          <w:szCs w:val="20"/>
        </w:rPr>
        <w:t>ü</w:t>
      </w:r>
      <w:r w:rsidRPr="0043215C">
        <w:rPr>
          <w:rFonts w:asciiTheme="minorHAnsi" w:hAnsiTheme="minorHAnsi" w:cstheme="minorHAnsi"/>
          <w:sz w:val="20"/>
          <w:szCs w:val="20"/>
        </w:rPr>
        <w:t>rkiye’s 12th Development Plan for 2024-2028 sets out a clear vision and enabling environment to equip the prospective workforce in line with the labor market requirements of the green and digital transformation promoting a sustainable collaboration between the public and private sector and national education institutions to design market-oriented technical and vocational training and educations systems targeting greening and digitalizing sectors including renewable energy.</w:t>
      </w:r>
    </w:p>
    <w:p w14:paraId="58403C99" w14:textId="4FF1D6B2" w:rsidR="00BD3C47" w:rsidRPr="0043215C" w:rsidRDefault="00BD3C47" w:rsidP="009C3A57">
      <w:pPr>
        <w:pStyle w:val="BodyText"/>
        <w:jc w:val="both"/>
        <w:rPr>
          <w:rFonts w:asciiTheme="minorHAnsi" w:hAnsiTheme="minorHAnsi" w:cstheme="minorHAnsi"/>
          <w:sz w:val="20"/>
          <w:szCs w:val="20"/>
        </w:rPr>
      </w:pPr>
    </w:p>
    <w:p w14:paraId="13EC9D02" w14:textId="3C75E78F" w:rsidR="00462324" w:rsidRPr="0043215C" w:rsidRDefault="0094505C" w:rsidP="009C3A57">
      <w:pPr>
        <w:pStyle w:val="BodyText"/>
        <w:jc w:val="both"/>
        <w:rPr>
          <w:rFonts w:asciiTheme="minorHAnsi" w:hAnsiTheme="minorHAnsi" w:cstheme="minorHAnsi"/>
          <w:sz w:val="20"/>
          <w:szCs w:val="20"/>
        </w:rPr>
      </w:pPr>
      <w:r w:rsidRPr="0043215C">
        <w:rPr>
          <w:rFonts w:asciiTheme="minorHAnsi" w:hAnsiTheme="minorHAnsi" w:cstheme="minorHAnsi"/>
          <w:b/>
          <w:bCs/>
          <w:sz w:val="20"/>
          <w:szCs w:val="20"/>
        </w:rPr>
        <w:t>Flexibility requirements needed to balance the intermittent renewable capacity needs to be initiated now to enable the planned ambitious scale up of RE.</w:t>
      </w:r>
      <w:r w:rsidRPr="0043215C">
        <w:rPr>
          <w:rFonts w:asciiTheme="minorHAnsi" w:hAnsiTheme="minorHAnsi" w:cstheme="minorHAnsi"/>
          <w:sz w:val="20"/>
          <w:szCs w:val="20"/>
        </w:rPr>
        <w:t xml:space="preserve"> </w:t>
      </w:r>
      <w:r w:rsidR="00640519" w:rsidRPr="0043215C">
        <w:rPr>
          <w:rFonts w:asciiTheme="minorHAnsi" w:hAnsiTheme="minorHAnsi" w:cstheme="minorHAnsi"/>
          <w:sz w:val="20"/>
          <w:szCs w:val="20"/>
        </w:rPr>
        <w:t>In the W</w:t>
      </w:r>
      <w:r w:rsidR="00BC3B6B" w:rsidRPr="0043215C">
        <w:rPr>
          <w:rFonts w:asciiTheme="minorHAnsi" w:hAnsiTheme="minorHAnsi" w:cstheme="minorHAnsi"/>
          <w:sz w:val="20"/>
          <w:szCs w:val="20"/>
        </w:rPr>
        <w:t xml:space="preserve">orld </w:t>
      </w:r>
      <w:r w:rsidR="00640519" w:rsidRPr="0043215C">
        <w:rPr>
          <w:rFonts w:asciiTheme="minorHAnsi" w:hAnsiTheme="minorHAnsi" w:cstheme="minorHAnsi"/>
          <w:sz w:val="20"/>
          <w:szCs w:val="20"/>
        </w:rPr>
        <w:t>B</w:t>
      </w:r>
      <w:r w:rsidR="00BC3B6B" w:rsidRPr="0043215C">
        <w:rPr>
          <w:rFonts w:asciiTheme="minorHAnsi" w:hAnsiTheme="minorHAnsi" w:cstheme="minorHAnsi"/>
          <w:sz w:val="20"/>
          <w:szCs w:val="20"/>
        </w:rPr>
        <w:t>ank</w:t>
      </w:r>
      <w:r w:rsidR="00640519" w:rsidRPr="0043215C">
        <w:rPr>
          <w:rFonts w:asciiTheme="minorHAnsi" w:hAnsiTheme="minorHAnsi" w:cstheme="minorHAnsi"/>
          <w:sz w:val="20"/>
          <w:szCs w:val="20"/>
        </w:rPr>
        <w:t xml:space="preserve"> CCDR, the required investment in the transmission and distribution systems are estimated at US</w:t>
      </w:r>
      <w:r w:rsidR="00636124" w:rsidRPr="0043215C">
        <w:rPr>
          <w:rFonts w:asciiTheme="minorHAnsi" w:hAnsiTheme="minorHAnsi" w:cstheme="minorHAnsi"/>
          <w:sz w:val="20"/>
          <w:szCs w:val="20"/>
        </w:rPr>
        <w:t>$</w:t>
      </w:r>
      <w:r w:rsidR="00640519" w:rsidRPr="0043215C">
        <w:rPr>
          <w:rFonts w:asciiTheme="minorHAnsi" w:hAnsiTheme="minorHAnsi" w:cstheme="minorHAnsi"/>
          <w:sz w:val="20"/>
          <w:szCs w:val="20"/>
        </w:rPr>
        <w:t>8 billion between 2022-2030 and US</w:t>
      </w:r>
      <w:r w:rsidR="00636124" w:rsidRPr="0043215C">
        <w:rPr>
          <w:rFonts w:asciiTheme="minorHAnsi" w:hAnsiTheme="minorHAnsi" w:cstheme="minorHAnsi"/>
          <w:sz w:val="20"/>
          <w:szCs w:val="20"/>
        </w:rPr>
        <w:t>$</w:t>
      </w:r>
      <w:r w:rsidR="00640519" w:rsidRPr="0043215C">
        <w:rPr>
          <w:rFonts w:asciiTheme="minorHAnsi" w:hAnsiTheme="minorHAnsi" w:cstheme="minorHAnsi"/>
          <w:sz w:val="20"/>
          <w:szCs w:val="20"/>
        </w:rPr>
        <w:t>14 billion 2030-2040.</w:t>
      </w:r>
      <w:r w:rsidRPr="0043215C">
        <w:rPr>
          <w:rFonts w:asciiTheme="minorHAnsi" w:hAnsiTheme="minorHAnsi" w:cstheme="minorHAnsi"/>
          <w:sz w:val="20"/>
          <w:szCs w:val="20"/>
        </w:rPr>
        <w:t xml:space="preserve"> </w:t>
      </w:r>
      <w:r w:rsidR="008534BE" w:rsidRPr="0043215C">
        <w:rPr>
          <w:rFonts w:asciiTheme="minorHAnsi" w:hAnsiTheme="minorHAnsi" w:cstheme="minorHAnsi"/>
          <w:sz w:val="20"/>
          <w:szCs w:val="20"/>
        </w:rPr>
        <w:t xml:space="preserve">The Minister has also </w:t>
      </w:r>
      <w:r w:rsidR="00F6194D" w:rsidRPr="0043215C">
        <w:rPr>
          <w:rFonts w:asciiTheme="minorHAnsi" w:hAnsiTheme="minorHAnsi" w:cstheme="minorHAnsi"/>
          <w:sz w:val="20"/>
          <w:szCs w:val="20"/>
        </w:rPr>
        <w:t xml:space="preserve">recognized the need to </w:t>
      </w:r>
      <w:r w:rsidR="000E0988" w:rsidRPr="0043215C">
        <w:rPr>
          <w:rFonts w:asciiTheme="minorHAnsi" w:hAnsiTheme="minorHAnsi" w:cstheme="minorHAnsi"/>
          <w:sz w:val="20"/>
          <w:szCs w:val="20"/>
        </w:rPr>
        <w:t xml:space="preserve">ensure </w:t>
      </w:r>
      <w:r w:rsidR="006D2905" w:rsidRPr="0043215C">
        <w:rPr>
          <w:rFonts w:asciiTheme="minorHAnsi" w:hAnsiTheme="minorHAnsi" w:cstheme="minorHAnsi"/>
          <w:sz w:val="20"/>
          <w:szCs w:val="20"/>
        </w:rPr>
        <w:t xml:space="preserve">integration of </w:t>
      </w:r>
      <w:r w:rsidR="0076154D" w:rsidRPr="0043215C">
        <w:rPr>
          <w:rFonts w:asciiTheme="minorHAnsi" w:hAnsiTheme="minorHAnsi" w:cstheme="minorHAnsi"/>
          <w:sz w:val="20"/>
          <w:szCs w:val="20"/>
        </w:rPr>
        <w:t>Renewable through</w:t>
      </w:r>
      <w:r w:rsidR="005B782F" w:rsidRPr="0043215C">
        <w:rPr>
          <w:rFonts w:asciiTheme="minorHAnsi" w:hAnsiTheme="minorHAnsi" w:cstheme="minorHAnsi"/>
          <w:sz w:val="20"/>
          <w:szCs w:val="20"/>
        </w:rPr>
        <w:t xml:space="preserve">: </w:t>
      </w:r>
      <w:r w:rsidR="00462324" w:rsidRPr="0043215C">
        <w:rPr>
          <w:rFonts w:asciiTheme="minorHAnsi" w:hAnsiTheme="minorHAnsi" w:cstheme="minorHAnsi"/>
          <w:sz w:val="20"/>
          <w:szCs w:val="20"/>
        </w:rPr>
        <w:t>(i) expand</w:t>
      </w:r>
      <w:r w:rsidR="005B782F" w:rsidRPr="0043215C">
        <w:rPr>
          <w:rFonts w:asciiTheme="minorHAnsi" w:hAnsiTheme="minorHAnsi" w:cstheme="minorHAnsi"/>
          <w:sz w:val="20"/>
          <w:szCs w:val="20"/>
        </w:rPr>
        <w:t>ing</w:t>
      </w:r>
      <w:r w:rsidR="00462324" w:rsidRPr="0043215C">
        <w:rPr>
          <w:rFonts w:asciiTheme="minorHAnsi" w:hAnsiTheme="minorHAnsi" w:cstheme="minorHAnsi"/>
          <w:sz w:val="20"/>
          <w:szCs w:val="20"/>
        </w:rPr>
        <w:t>, moderniz</w:t>
      </w:r>
      <w:r w:rsidR="005B782F" w:rsidRPr="0043215C">
        <w:rPr>
          <w:rFonts w:asciiTheme="minorHAnsi" w:hAnsiTheme="minorHAnsi" w:cstheme="minorHAnsi"/>
          <w:sz w:val="20"/>
          <w:szCs w:val="20"/>
        </w:rPr>
        <w:t>ing</w:t>
      </w:r>
      <w:r w:rsidR="00462324" w:rsidRPr="0043215C">
        <w:rPr>
          <w:rFonts w:asciiTheme="minorHAnsi" w:hAnsiTheme="minorHAnsi" w:cstheme="minorHAnsi"/>
          <w:sz w:val="20"/>
          <w:szCs w:val="20"/>
        </w:rPr>
        <w:t xml:space="preserve"> and digitiz</w:t>
      </w:r>
      <w:r w:rsidR="005B782F" w:rsidRPr="0043215C">
        <w:rPr>
          <w:rFonts w:asciiTheme="minorHAnsi" w:hAnsiTheme="minorHAnsi" w:cstheme="minorHAnsi"/>
          <w:sz w:val="20"/>
          <w:szCs w:val="20"/>
        </w:rPr>
        <w:t>ing</w:t>
      </w:r>
      <w:r w:rsidR="00462324" w:rsidRPr="0043215C">
        <w:rPr>
          <w:rFonts w:asciiTheme="minorHAnsi" w:hAnsiTheme="minorHAnsi" w:cstheme="minorHAnsi"/>
          <w:sz w:val="20"/>
          <w:szCs w:val="20"/>
        </w:rPr>
        <w:t xml:space="preserve"> the transmission networks, </w:t>
      </w:r>
      <w:r w:rsidR="00565514" w:rsidRPr="0043215C">
        <w:rPr>
          <w:rFonts w:asciiTheme="minorHAnsi" w:hAnsiTheme="minorHAnsi" w:cstheme="minorHAnsi"/>
          <w:sz w:val="20"/>
          <w:szCs w:val="20"/>
        </w:rPr>
        <w:t xml:space="preserve">as well as international electricity interconnections; </w:t>
      </w:r>
      <w:r w:rsidR="00462324" w:rsidRPr="0043215C">
        <w:rPr>
          <w:rFonts w:asciiTheme="minorHAnsi" w:hAnsiTheme="minorHAnsi" w:cstheme="minorHAnsi"/>
          <w:sz w:val="20"/>
          <w:szCs w:val="20"/>
        </w:rPr>
        <w:t>(ii) develop</w:t>
      </w:r>
      <w:r w:rsidR="005B782F" w:rsidRPr="0043215C">
        <w:rPr>
          <w:rFonts w:asciiTheme="minorHAnsi" w:hAnsiTheme="minorHAnsi" w:cstheme="minorHAnsi"/>
          <w:sz w:val="20"/>
          <w:szCs w:val="20"/>
        </w:rPr>
        <w:t>ing</w:t>
      </w:r>
      <w:r w:rsidR="00462324" w:rsidRPr="0043215C">
        <w:rPr>
          <w:rFonts w:asciiTheme="minorHAnsi" w:hAnsiTheme="minorHAnsi" w:cstheme="minorHAnsi"/>
          <w:sz w:val="20"/>
          <w:szCs w:val="20"/>
        </w:rPr>
        <w:t xml:space="preserve"> storage capacity</w:t>
      </w:r>
      <w:r w:rsidR="0065403D" w:rsidRPr="0043215C">
        <w:rPr>
          <w:rFonts w:asciiTheme="minorHAnsi" w:hAnsiTheme="minorHAnsi" w:cstheme="minorHAnsi"/>
          <w:sz w:val="20"/>
          <w:szCs w:val="20"/>
        </w:rPr>
        <w:t xml:space="preserve"> including </w:t>
      </w:r>
      <w:r w:rsidR="005A6BBB" w:rsidRPr="0043215C">
        <w:rPr>
          <w:rFonts w:asciiTheme="minorHAnsi" w:hAnsiTheme="minorHAnsi" w:cstheme="minorHAnsi"/>
          <w:sz w:val="20"/>
          <w:szCs w:val="20"/>
        </w:rPr>
        <w:t>p</w:t>
      </w:r>
      <w:r w:rsidR="0065403D" w:rsidRPr="0043215C">
        <w:rPr>
          <w:rFonts w:asciiTheme="minorHAnsi" w:hAnsiTheme="minorHAnsi" w:cstheme="minorHAnsi"/>
          <w:sz w:val="20"/>
          <w:szCs w:val="20"/>
        </w:rPr>
        <w:t xml:space="preserve">umped storage </w:t>
      </w:r>
      <w:r w:rsidR="0065403D" w:rsidRPr="0043215C">
        <w:rPr>
          <w:rStyle w:val="Emphasis"/>
          <w:rFonts w:asciiTheme="minorHAnsi" w:hAnsiTheme="minorHAnsi" w:cstheme="minorHAnsi"/>
          <w:i w:val="0"/>
          <w:sz w:val="20"/>
          <w:szCs w:val="20"/>
          <w:shd w:val="clear" w:color="auto" w:fill="FFFFFF"/>
        </w:rPr>
        <w:t>hydroelectric power plants</w:t>
      </w:r>
      <w:r w:rsidR="0065403D" w:rsidRPr="0043215C">
        <w:rPr>
          <w:rFonts w:asciiTheme="minorHAnsi" w:hAnsiTheme="minorHAnsi" w:cstheme="minorHAnsi"/>
          <w:sz w:val="20"/>
          <w:szCs w:val="20"/>
        </w:rPr>
        <w:t xml:space="preserve"> (HEPPs)</w:t>
      </w:r>
      <w:r w:rsidR="00462324" w:rsidRPr="0043215C">
        <w:rPr>
          <w:rFonts w:asciiTheme="minorHAnsi" w:hAnsiTheme="minorHAnsi" w:cstheme="minorHAnsi"/>
          <w:sz w:val="20"/>
          <w:szCs w:val="20"/>
        </w:rPr>
        <w:t>, (iii) enhanc</w:t>
      </w:r>
      <w:r w:rsidR="005B782F" w:rsidRPr="0043215C">
        <w:rPr>
          <w:rFonts w:asciiTheme="minorHAnsi" w:hAnsiTheme="minorHAnsi" w:cstheme="minorHAnsi"/>
          <w:sz w:val="20"/>
          <w:szCs w:val="20"/>
        </w:rPr>
        <w:t>ing</w:t>
      </w:r>
      <w:r w:rsidR="00462324" w:rsidRPr="0043215C">
        <w:rPr>
          <w:rFonts w:asciiTheme="minorHAnsi" w:hAnsiTheme="minorHAnsi" w:cstheme="minorHAnsi"/>
          <w:sz w:val="20"/>
          <w:szCs w:val="20"/>
        </w:rPr>
        <w:t xml:space="preserve"> system balancing by improving efficiency of </w:t>
      </w:r>
      <w:r w:rsidR="005B782F" w:rsidRPr="0043215C">
        <w:rPr>
          <w:rFonts w:asciiTheme="minorHAnsi" w:hAnsiTheme="minorHAnsi" w:cstheme="minorHAnsi"/>
          <w:sz w:val="20"/>
          <w:szCs w:val="20"/>
        </w:rPr>
        <w:t xml:space="preserve">Türkiye’s </w:t>
      </w:r>
      <w:r w:rsidR="00462324" w:rsidRPr="0043215C">
        <w:rPr>
          <w:rFonts w:asciiTheme="minorHAnsi" w:hAnsiTheme="minorHAnsi" w:cstheme="minorHAnsi"/>
          <w:sz w:val="20"/>
          <w:szCs w:val="20"/>
        </w:rPr>
        <w:t xml:space="preserve">hydropower park, </w:t>
      </w:r>
      <w:r w:rsidR="009B43D5" w:rsidRPr="0043215C">
        <w:rPr>
          <w:rFonts w:asciiTheme="minorHAnsi" w:hAnsiTheme="minorHAnsi" w:cstheme="minorHAnsi"/>
          <w:sz w:val="20"/>
          <w:szCs w:val="20"/>
        </w:rPr>
        <w:t xml:space="preserve">(iv) more flexible electricity networks, smart meters, </w:t>
      </w:r>
      <w:r w:rsidR="009B43D5" w:rsidRPr="0043215C">
        <w:rPr>
          <w:rStyle w:val="Emphasis"/>
          <w:rFonts w:asciiTheme="minorHAnsi" w:hAnsiTheme="minorHAnsi" w:cstheme="minorHAnsi"/>
          <w:i w:val="0"/>
          <w:sz w:val="20"/>
          <w:szCs w:val="20"/>
          <w:shd w:val="clear" w:color="auto" w:fill="FFFFFF"/>
        </w:rPr>
        <w:t>Supervisory Control and Data Acquisition (</w:t>
      </w:r>
      <w:r w:rsidR="009B43D5" w:rsidRPr="0043215C">
        <w:rPr>
          <w:rFonts w:asciiTheme="minorHAnsi" w:hAnsiTheme="minorHAnsi" w:cstheme="minorHAnsi"/>
          <w:sz w:val="20"/>
          <w:szCs w:val="20"/>
        </w:rPr>
        <w:t xml:space="preserve">SCADA) systems, and demand-side participation; </w:t>
      </w:r>
      <w:r w:rsidR="005B782F" w:rsidRPr="0043215C">
        <w:rPr>
          <w:rFonts w:asciiTheme="minorHAnsi" w:hAnsiTheme="minorHAnsi" w:cstheme="minorHAnsi"/>
          <w:sz w:val="20"/>
          <w:szCs w:val="20"/>
        </w:rPr>
        <w:t xml:space="preserve">as well as </w:t>
      </w:r>
      <w:r w:rsidR="00462324" w:rsidRPr="0043215C">
        <w:rPr>
          <w:rFonts w:asciiTheme="minorHAnsi" w:hAnsiTheme="minorHAnsi" w:cstheme="minorHAnsi"/>
          <w:sz w:val="20"/>
          <w:szCs w:val="20"/>
        </w:rPr>
        <w:t>(v) increas</w:t>
      </w:r>
      <w:r w:rsidR="005B782F" w:rsidRPr="0043215C">
        <w:rPr>
          <w:rFonts w:asciiTheme="minorHAnsi" w:hAnsiTheme="minorHAnsi" w:cstheme="minorHAnsi"/>
          <w:sz w:val="20"/>
          <w:szCs w:val="20"/>
        </w:rPr>
        <w:t>ing</w:t>
      </w:r>
      <w:r w:rsidR="00462324" w:rsidRPr="0043215C">
        <w:rPr>
          <w:rFonts w:asciiTheme="minorHAnsi" w:hAnsiTheme="minorHAnsi" w:cstheme="minorHAnsi"/>
          <w:sz w:val="20"/>
          <w:szCs w:val="20"/>
        </w:rPr>
        <w:t xml:space="preserve"> grid resilience</w:t>
      </w:r>
      <w:r w:rsidR="00DF7C3C" w:rsidRPr="0043215C">
        <w:rPr>
          <w:rFonts w:asciiTheme="minorHAnsi" w:hAnsiTheme="minorHAnsi" w:cstheme="minorHAnsi"/>
          <w:sz w:val="20"/>
          <w:szCs w:val="20"/>
        </w:rPr>
        <w:t>.</w:t>
      </w:r>
      <w:r w:rsidR="00462324" w:rsidRPr="0043215C">
        <w:rPr>
          <w:rFonts w:asciiTheme="minorHAnsi" w:hAnsiTheme="minorHAnsi" w:cstheme="minorHAnsi"/>
          <w:sz w:val="20"/>
          <w:szCs w:val="20"/>
        </w:rPr>
        <w:t xml:space="preserve"> </w:t>
      </w:r>
    </w:p>
    <w:p w14:paraId="6FBB6F73" w14:textId="0EEDE101" w:rsidR="009C3A57" w:rsidRPr="0043215C" w:rsidRDefault="009C3A57" w:rsidP="009C3A57">
      <w:pPr>
        <w:pStyle w:val="BodyText"/>
        <w:jc w:val="both"/>
        <w:rPr>
          <w:rFonts w:asciiTheme="minorHAnsi" w:hAnsiTheme="minorHAnsi" w:cstheme="minorHAnsi"/>
          <w:sz w:val="20"/>
          <w:szCs w:val="20"/>
        </w:rPr>
      </w:pPr>
    </w:p>
    <w:p w14:paraId="4E097372" w14:textId="455C2AE3" w:rsidR="006F0272" w:rsidRPr="0043215C" w:rsidRDefault="00640519" w:rsidP="00E152B5">
      <w:pPr>
        <w:rPr>
          <w:rFonts w:cstheme="minorHAnsi"/>
          <w:b/>
          <w:bCs/>
          <w:kern w:val="2"/>
          <w:sz w:val="20"/>
          <w:szCs w:val="20"/>
        </w:rPr>
      </w:pPr>
      <w:r w:rsidRPr="0043215C">
        <w:rPr>
          <w:rFonts w:cstheme="minorHAnsi"/>
          <w:b/>
          <w:bCs/>
          <w:sz w:val="20"/>
          <w:szCs w:val="20"/>
        </w:rPr>
        <w:t>The 12th NDP (2024-2028)</w:t>
      </w:r>
      <w:r w:rsidR="006E763C" w:rsidRPr="0043215C">
        <w:rPr>
          <w:rStyle w:val="FootnoteReference"/>
          <w:rFonts w:cstheme="minorHAnsi"/>
          <w:b/>
          <w:bCs/>
          <w:sz w:val="20"/>
          <w:szCs w:val="20"/>
        </w:rPr>
        <w:footnoteReference w:id="13"/>
      </w:r>
      <w:r w:rsidRPr="0043215C">
        <w:rPr>
          <w:rFonts w:cstheme="minorHAnsi"/>
          <w:b/>
          <w:bCs/>
          <w:sz w:val="20"/>
          <w:szCs w:val="20"/>
        </w:rPr>
        <w:t xml:space="preserve"> also envisages investments in energy efficiency, green hydrogen, and energy storage</w:t>
      </w:r>
      <w:r w:rsidRPr="0043215C">
        <w:rPr>
          <w:rFonts w:cstheme="minorHAnsi"/>
          <w:sz w:val="20"/>
          <w:szCs w:val="20"/>
        </w:rPr>
        <w:t>, that will play a critical role in achieving net zero emissions by 2053. In this direction, tenders for new Renewable Energy Resource Areas (YEKA) with domestic component obligations will be held, and studies will be carried out for the development of offshore YEKA projects. Transactions such as permits, licenses and warrants related to investments will be streamlined by transferring them to the online platform in the Medium-Term Program (2024 – 2026)</w:t>
      </w:r>
      <w:r w:rsidR="007518A7" w:rsidRPr="0043215C">
        <w:rPr>
          <w:rFonts w:cstheme="minorHAnsi"/>
          <w:sz w:val="20"/>
          <w:szCs w:val="20"/>
        </w:rPr>
        <w:t>.</w:t>
      </w:r>
    </w:p>
    <w:p w14:paraId="0D6BCECB" w14:textId="77777777" w:rsidR="00C41F23" w:rsidRPr="0043215C" w:rsidRDefault="00C41F23" w:rsidP="00127197">
      <w:pPr>
        <w:pStyle w:val="BodyText"/>
        <w:rPr>
          <w:rFonts w:asciiTheme="minorHAnsi" w:hAnsiTheme="minorHAnsi" w:cstheme="minorHAnsi"/>
          <w:b/>
          <w:bCs/>
          <w:sz w:val="20"/>
          <w:szCs w:val="20"/>
        </w:rPr>
      </w:pPr>
    </w:p>
    <w:p w14:paraId="3B4CF8F3" w14:textId="77777777" w:rsidR="00C41F23" w:rsidRPr="0043215C" w:rsidRDefault="00C41F23" w:rsidP="00127197">
      <w:pPr>
        <w:pStyle w:val="BodyText"/>
        <w:rPr>
          <w:rFonts w:asciiTheme="minorHAnsi" w:hAnsiTheme="minorHAnsi" w:cstheme="minorHAnsi"/>
          <w:b/>
          <w:bCs/>
          <w:sz w:val="20"/>
          <w:szCs w:val="20"/>
        </w:rPr>
      </w:pPr>
    </w:p>
    <w:p w14:paraId="36567F6B" w14:textId="77777777" w:rsidR="00C41F23" w:rsidRPr="0043215C" w:rsidRDefault="00C41F23" w:rsidP="00127197">
      <w:pPr>
        <w:pStyle w:val="BodyText"/>
        <w:rPr>
          <w:rFonts w:asciiTheme="minorHAnsi" w:hAnsiTheme="minorHAnsi" w:cstheme="minorHAnsi"/>
          <w:b/>
          <w:bCs/>
          <w:sz w:val="20"/>
          <w:szCs w:val="20"/>
        </w:rPr>
      </w:pPr>
    </w:p>
    <w:p w14:paraId="012493BB" w14:textId="77777777" w:rsidR="00C41F23" w:rsidRPr="0043215C" w:rsidRDefault="00C41F23" w:rsidP="00127197">
      <w:pPr>
        <w:pStyle w:val="BodyText"/>
        <w:rPr>
          <w:rFonts w:asciiTheme="minorHAnsi" w:hAnsiTheme="minorHAnsi" w:cstheme="minorHAnsi"/>
          <w:b/>
          <w:bCs/>
          <w:sz w:val="20"/>
          <w:szCs w:val="20"/>
        </w:rPr>
      </w:pPr>
    </w:p>
    <w:p w14:paraId="159C84D7" w14:textId="77777777" w:rsidR="00C41F23" w:rsidRPr="0043215C" w:rsidRDefault="00C41F23" w:rsidP="00127197">
      <w:pPr>
        <w:pStyle w:val="BodyText"/>
        <w:rPr>
          <w:rFonts w:asciiTheme="minorHAnsi" w:hAnsiTheme="minorHAnsi" w:cstheme="minorHAnsi"/>
          <w:b/>
          <w:bCs/>
          <w:sz w:val="20"/>
          <w:szCs w:val="20"/>
        </w:rPr>
      </w:pPr>
    </w:p>
    <w:p w14:paraId="2909CDA5" w14:textId="77777777" w:rsidR="00C41F23" w:rsidRPr="0043215C" w:rsidRDefault="00C41F23" w:rsidP="00127197">
      <w:pPr>
        <w:pStyle w:val="BodyText"/>
        <w:rPr>
          <w:rFonts w:asciiTheme="minorHAnsi" w:hAnsiTheme="minorHAnsi" w:cstheme="minorBidi"/>
          <w:b/>
          <w:sz w:val="20"/>
          <w:szCs w:val="20"/>
        </w:rPr>
      </w:pPr>
    </w:p>
    <w:p w14:paraId="0EF6F7B0" w14:textId="5A3A1BC1" w:rsidR="29E8B9D0" w:rsidRDefault="29E8B9D0" w:rsidP="29E8B9D0">
      <w:pPr>
        <w:pStyle w:val="BodyText"/>
        <w:rPr>
          <w:rFonts w:asciiTheme="minorHAnsi" w:hAnsiTheme="minorHAnsi" w:cstheme="minorBidi"/>
          <w:b/>
          <w:bCs/>
          <w:sz w:val="20"/>
          <w:szCs w:val="20"/>
        </w:rPr>
      </w:pPr>
    </w:p>
    <w:p w14:paraId="4C39E168" w14:textId="7721F831" w:rsidR="29E8B9D0" w:rsidRDefault="29E8B9D0" w:rsidP="29E8B9D0">
      <w:pPr>
        <w:pStyle w:val="BodyText"/>
        <w:rPr>
          <w:rFonts w:asciiTheme="minorHAnsi" w:hAnsiTheme="minorHAnsi" w:cstheme="minorBidi"/>
          <w:b/>
          <w:bCs/>
          <w:sz w:val="20"/>
          <w:szCs w:val="20"/>
        </w:rPr>
      </w:pPr>
    </w:p>
    <w:p w14:paraId="17A5551F" w14:textId="084EC2A8" w:rsidR="29E8B9D0" w:rsidRDefault="29E8B9D0" w:rsidP="29E8B9D0">
      <w:pPr>
        <w:pStyle w:val="BodyText"/>
        <w:rPr>
          <w:rFonts w:asciiTheme="minorHAnsi" w:hAnsiTheme="minorHAnsi" w:cstheme="minorBidi"/>
          <w:b/>
          <w:bCs/>
          <w:sz w:val="20"/>
          <w:szCs w:val="20"/>
        </w:rPr>
      </w:pPr>
    </w:p>
    <w:p w14:paraId="6B2992AA" w14:textId="488DCA8B" w:rsidR="001E7CCE" w:rsidRPr="0043215C" w:rsidRDefault="000D198D" w:rsidP="00F60075">
      <w:pPr>
        <w:pStyle w:val="BodyText"/>
        <w:rPr>
          <w:rFonts w:asciiTheme="minorHAnsi" w:hAnsiTheme="minorHAnsi" w:cstheme="minorHAnsi"/>
          <w:sz w:val="20"/>
          <w:szCs w:val="20"/>
        </w:rPr>
      </w:pPr>
      <w:r w:rsidRPr="0043215C">
        <w:rPr>
          <w:rFonts w:asciiTheme="minorHAnsi" w:hAnsiTheme="minorHAnsi" w:cstheme="minorHAnsi"/>
          <w:b/>
          <w:bCs/>
          <w:sz w:val="20"/>
          <w:szCs w:val="20"/>
        </w:rPr>
        <w:t>Figure 2</w:t>
      </w:r>
      <w:r w:rsidRPr="0043215C">
        <w:rPr>
          <w:rFonts w:asciiTheme="minorHAnsi" w:hAnsiTheme="minorHAnsi" w:cstheme="minorHAnsi"/>
          <w:sz w:val="20"/>
          <w:szCs w:val="20"/>
        </w:rPr>
        <w:t>: Installed Capacity Targets in NEP by 2035</w:t>
      </w:r>
      <w:r w:rsidR="00D035FE" w:rsidRPr="0043215C">
        <w:rPr>
          <w:rFonts w:asciiTheme="minorHAnsi" w:hAnsiTheme="minorHAnsi" w:cstheme="minorHAnsi"/>
          <w:sz w:val="20"/>
          <w:szCs w:val="20"/>
        </w:rPr>
        <w:t xml:space="preserve"> (</w:t>
      </w:r>
      <w:r w:rsidR="00D035FE" w:rsidRPr="0043215C">
        <w:rPr>
          <w:rFonts w:asciiTheme="minorHAnsi" w:hAnsiTheme="minorHAnsi" w:cstheme="minorHAnsi"/>
          <w:sz w:val="20"/>
          <w:szCs w:val="20"/>
        </w:rPr>
        <w:t>G</w:t>
      </w:r>
      <w:r w:rsidR="001E7CCE" w:rsidRPr="0043215C">
        <w:rPr>
          <w:rFonts w:asciiTheme="minorHAnsi" w:hAnsiTheme="minorHAnsi" w:cstheme="minorHAnsi"/>
          <w:sz w:val="20"/>
          <w:szCs w:val="20"/>
        </w:rPr>
        <w:tab/>
      </w:r>
    </w:p>
    <w:p w14:paraId="2DCF5B21" w14:textId="0F149CEA" w:rsidR="00C45DE3" w:rsidRPr="0043215C" w:rsidRDefault="00072C65" w:rsidP="00C45DE3">
      <w:pPr>
        <w:pStyle w:val="BodyText"/>
        <w:rPr>
          <w:rFonts w:asciiTheme="minorHAnsi" w:hAnsiTheme="minorHAnsi" w:cstheme="minorHAnsi"/>
          <w:sz w:val="20"/>
          <w:szCs w:val="20"/>
        </w:rPr>
      </w:pPr>
      <w:r w:rsidRPr="0043215C">
        <w:rPr>
          <w:rFonts w:asciiTheme="minorHAnsi" w:hAnsiTheme="minorHAnsi" w:cstheme="minorHAnsi"/>
          <w:noProof/>
          <w:sz w:val="20"/>
          <w:szCs w:val="20"/>
        </w:rPr>
        <w:drawing>
          <wp:inline distT="0" distB="0" distL="0" distR="0" wp14:anchorId="53EB8AB1" wp14:editId="38B705CB">
            <wp:extent cx="5767857" cy="2882265"/>
            <wp:effectExtent l="19050" t="19050" r="23495" b="13335"/>
            <wp:docPr id="7" name="Chart 7">
              <a:extLst xmlns:a="http://schemas.openxmlformats.org/drawingml/2006/main">
                <a:ext uri="{FF2B5EF4-FFF2-40B4-BE49-F238E27FC236}">
                  <a16:creationId xmlns:a16="http://schemas.microsoft.com/office/drawing/2014/main" id="{431D1FB1-75BF-E806-9925-1A2EBC0DDC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28" w:name="_Hlk160664696"/>
    </w:p>
    <w:p w14:paraId="0B8DBF0C" w14:textId="3B3C24A9" w:rsidR="00C75616" w:rsidRPr="0043215C" w:rsidRDefault="00350B36" w:rsidP="009C3A57">
      <w:pPr>
        <w:pStyle w:val="BodyText"/>
        <w:jc w:val="both"/>
        <w:rPr>
          <w:rFonts w:asciiTheme="minorHAnsi" w:hAnsiTheme="minorHAnsi" w:cstheme="minorHAnsi"/>
          <w:sz w:val="20"/>
          <w:szCs w:val="20"/>
        </w:rPr>
      </w:pPr>
      <w:r w:rsidRPr="0043215C">
        <w:rPr>
          <w:rFonts w:asciiTheme="minorHAnsi" w:hAnsiTheme="minorHAnsi" w:cstheme="minorHAnsi"/>
          <w:sz w:val="20"/>
          <w:szCs w:val="20"/>
        </w:rPr>
        <w:t>Source: NEP</w:t>
      </w:r>
    </w:p>
    <w:p w14:paraId="59FB9EAF" w14:textId="77777777" w:rsidR="00350B36" w:rsidRPr="0043215C" w:rsidRDefault="00350B36" w:rsidP="009C3A57">
      <w:pPr>
        <w:pStyle w:val="BodyText"/>
        <w:jc w:val="both"/>
        <w:rPr>
          <w:rFonts w:asciiTheme="minorHAnsi" w:hAnsiTheme="minorHAnsi" w:cstheme="minorHAnsi"/>
          <w:b/>
          <w:sz w:val="20"/>
          <w:szCs w:val="20"/>
        </w:rPr>
      </w:pPr>
    </w:p>
    <w:p w14:paraId="0EDAE8EC" w14:textId="46DC952B" w:rsidR="000D198D" w:rsidRPr="0043215C" w:rsidRDefault="000D198D" w:rsidP="009C3A57">
      <w:pPr>
        <w:pStyle w:val="BodyText"/>
        <w:jc w:val="both"/>
        <w:rPr>
          <w:rFonts w:asciiTheme="minorHAnsi" w:hAnsiTheme="minorHAnsi" w:cstheme="minorHAnsi"/>
          <w:sz w:val="20"/>
          <w:szCs w:val="20"/>
        </w:rPr>
      </w:pPr>
      <w:r w:rsidRPr="0043215C">
        <w:rPr>
          <w:rFonts w:asciiTheme="minorHAnsi" w:hAnsiTheme="minorHAnsi" w:cstheme="minorHAnsi"/>
          <w:b/>
          <w:sz w:val="20"/>
          <w:szCs w:val="20"/>
        </w:rPr>
        <w:t xml:space="preserve">Policy and regulatory framework will </w:t>
      </w:r>
      <w:r w:rsidR="00016970" w:rsidRPr="0043215C">
        <w:rPr>
          <w:rFonts w:asciiTheme="minorHAnsi" w:hAnsiTheme="minorHAnsi" w:cstheme="minorHAnsi"/>
          <w:b/>
          <w:sz w:val="20"/>
          <w:szCs w:val="20"/>
        </w:rPr>
        <w:t xml:space="preserve">also need to </w:t>
      </w:r>
      <w:r w:rsidRPr="0043215C">
        <w:rPr>
          <w:rFonts w:asciiTheme="minorHAnsi" w:hAnsiTheme="minorHAnsi" w:cstheme="minorHAnsi"/>
          <w:b/>
          <w:sz w:val="20"/>
          <w:szCs w:val="20"/>
        </w:rPr>
        <w:t xml:space="preserve">be strengthened further with action plans </w:t>
      </w:r>
      <w:proofErr w:type="gramStart"/>
      <w:r w:rsidRPr="0043215C">
        <w:rPr>
          <w:rFonts w:asciiTheme="minorHAnsi" w:hAnsiTheme="minorHAnsi" w:cstheme="minorHAnsi"/>
          <w:b/>
          <w:sz w:val="20"/>
          <w:szCs w:val="20"/>
        </w:rPr>
        <w:t>so as to</w:t>
      </w:r>
      <w:proofErr w:type="gramEnd"/>
      <w:r w:rsidRPr="0043215C">
        <w:rPr>
          <w:rFonts w:asciiTheme="minorHAnsi" w:hAnsiTheme="minorHAnsi" w:cstheme="minorHAnsi"/>
          <w:b/>
          <w:sz w:val="20"/>
          <w:szCs w:val="20"/>
        </w:rPr>
        <w:t xml:space="preserve"> reach the climate targets, </w:t>
      </w:r>
      <w:r w:rsidRPr="0043215C">
        <w:rPr>
          <w:rFonts w:asciiTheme="minorHAnsi" w:hAnsiTheme="minorHAnsi" w:cstheme="minorHAnsi"/>
          <w:sz w:val="20"/>
          <w:szCs w:val="20"/>
        </w:rPr>
        <w:t xml:space="preserve">including the update of the Second Nationally Determined Contribution, and preparation of a Climate Change Strategy for </w:t>
      </w:r>
      <w:r w:rsidR="00BD1C5A" w:rsidRPr="0043215C">
        <w:rPr>
          <w:rFonts w:asciiTheme="minorHAnsi" w:hAnsiTheme="minorHAnsi" w:cstheme="minorHAnsi"/>
          <w:sz w:val="20"/>
          <w:szCs w:val="20"/>
        </w:rPr>
        <w:t>t</w:t>
      </w:r>
      <w:r w:rsidRPr="0043215C">
        <w:rPr>
          <w:rFonts w:asciiTheme="minorHAnsi" w:hAnsiTheme="minorHAnsi" w:cstheme="minorHAnsi"/>
          <w:sz w:val="20"/>
          <w:szCs w:val="20"/>
        </w:rPr>
        <w:t xml:space="preserve">he </w:t>
      </w:r>
      <w:r w:rsidR="00BD1C5A" w:rsidRPr="0043215C">
        <w:rPr>
          <w:rFonts w:asciiTheme="minorHAnsi" w:hAnsiTheme="minorHAnsi" w:cstheme="minorHAnsi"/>
          <w:sz w:val="20"/>
          <w:szCs w:val="20"/>
        </w:rPr>
        <w:t>e</w:t>
      </w:r>
      <w:r w:rsidRPr="0043215C">
        <w:rPr>
          <w:rFonts w:asciiTheme="minorHAnsi" w:hAnsiTheme="minorHAnsi" w:cstheme="minorHAnsi"/>
          <w:sz w:val="20"/>
          <w:szCs w:val="20"/>
        </w:rPr>
        <w:t xml:space="preserve">nergy </w:t>
      </w:r>
      <w:r w:rsidR="00BD1C5A" w:rsidRPr="0043215C">
        <w:rPr>
          <w:rFonts w:asciiTheme="minorHAnsi" w:hAnsiTheme="minorHAnsi" w:cstheme="minorHAnsi"/>
          <w:sz w:val="20"/>
          <w:szCs w:val="20"/>
        </w:rPr>
        <w:t>s</w:t>
      </w:r>
      <w:r w:rsidRPr="0043215C">
        <w:rPr>
          <w:rFonts w:asciiTheme="minorHAnsi" w:hAnsiTheme="minorHAnsi" w:cstheme="minorHAnsi"/>
          <w:sz w:val="20"/>
          <w:szCs w:val="20"/>
        </w:rPr>
        <w:t>ector in line with the 12</w:t>
      </w:r>
      <w:r w:rsidRPr="0043215C">
        <w:rPr>
          <w:rFonts w:asciiTheme="minorHAnsi" w:hAnsiTheme="minorHAnsi" w:cstheme="minorHAnsi"/>
          <w:sz w:val="20"/>
          <w:szCs w:val="20"/>
          <w:vertAlign w:val="superscript"/>
        </w:rPr>
        <w:t>th</w:t>
      </w:r>
      <w:r w:rsidRPr="0043215C">
        <w:rPr>
          <w:rFonts w:asciiTheme="minorHAnsi" w:hAnsiTheme="minorHAnsi" w:cstheme="minorHAnsi"/>
          <w:sz w:val="20"/>
          <w:szCs w:val="20"/>
        </w:rPr>
        <w:t xml:space="preserve"> NDP</w:t>
      </w:r>
      <w:r w:rsidR="004A7241" w:rsidRPr="0043215C">
        <w:rPr>
          <w:rFonts w:asciiTheme="minorHAnsi" w:hAnsiTheme="minorHAnsi" w:cstheme="minorHAnsi"/>
          <w:sz w:val="20"/>
          <w:szCs w:val="20"/>
        </w:rPr>
        <w:t xml:space="preserve">, as well as the </w:t>
      </w:r>
      <w:r w:rsidR="00B50A83" w:rsidRPr="0043215C">
        <w:rPr>
          <w:rFonts w:asciiTheme="minorHAnsi" w:hAnsiTheme="minorHAnsi" w:cstheme="minorHAnsi"/>
          <w:sz w:val="20"/>
          <w:szCs w:val="20"/>
        </w:rPr>
        <w:t xml:space="preserve">2024-2029 </w:t>
      </w:r>
      <w:r w:rsidR="002B50C9" w:rsidRPr="0043215C">
        <w:rPr>
          <w:rFonts w:asciiTheme="minorHAnsi" w:hAnsiTheme="minorHAnsi" w:cstheme="minorHAnsi"/>
          <w:sz w:val="20"/>
          <w:szCs w:val="20"/>
        </w:rPr>
        <w:t>TEİAŞ</w:t>
      </w:r>
      <w:r w:rsidR="00B50A83" w:rsidRPr="0043215C">
        <w:rPr>
          <w:rFonts w:asciiTheme="minorHAnsi" w:hAnsiTheme="minorHAnsi" w:cstheme="minorHAnsi"/>
          <w:sz w:val="20"/>
          <w:szCs w:val="20"/>
        </w:rPr>
        <w:t xml:space="preserve"> Strategic Plan</w:t>
      </w:r>
      <w:r w:rsidRPr="0043215C">
        <w:rPr>
          <w:rFonts w:asciiTheme="minorHAnsi" w:hAnsiTheme="minorHAnsi" w:cstheme="minorHAnsi"/>
          <w:sz w:val="20"/>
          <w:szCs w:val="20"/>
        </w:rPr>
        <w:t xml:space="preserve">. </w:t>
      </w:r>
    </w:p>
    <w:p w14:paraId="5BDC7E13" w14:textId="77777777" w:rsidR="009C3A57" w:rsidRPr="0043215C" w:rsidRDefault="009C3A57" w:rsidP="009C3A57">
      <w:pPr>
        <w:pStyle w:val="BodyText"/>
        <w:jc w:val="both"/>
        <w:rPr>
          <w:rFonts w:asciiTheme="minorHAnsi" w:hAnsiTheme="minorHAnsi" w:cstheme="minorHAnsi"/>
          <w:sz w:val="20"/>
          <w:szCs w:val="20"/>
        </w:rPr>
      </w:pPr>
    </w:p>
    <w:bookmarkEnd w:id="28"/>
    <w:p w14:paraId="57CAF6BB" w14:textId="47DF0694" w:rsidR="000D198D" w:rsidRPr="0043215C" w:rsidDel="00CF5D7E" w:rsidRDefault="000D198D" w:rsidP="29919830">
      <w:pPr>
        <w:pStyle w:val="BodyText"/>
        <w:spacing w:line="240" w:lineRule="auto"/>
        <w:jc w:val="both"/>
        <w:rPr>
          <w:rFonts w:asciiTheme="minorHAnsi" w:hAnsiTheme="minorHAnsi" w:cstheme="minorHAnsi"/>
          <w:sz w:val="20"/>
          <w:szCs w:val="20"/>
        </w:rPr>
      </w:pPr>
      <w:r w:rsidRPr="0043215C">
        <w:rPr>
          <w:rFonts w:asciiTheme="minorHAnsi" w:hAnsiTheme="minorHAnsi" w:cstheme="minorHAnsi"/>
          <w:b/>
          <w:bCs/>
          <w:sz w:val="20"/>
          <w:szCs w:val="20"/>
        </w:rPr>
        <w:t xml:space="preserve">Accelerating energy efficiency is another critical pillar of the </w:t>
      </w:r>
      <w:r w:rsidR="00B04034" w:rsidRPr="0043215C">
        <w:rPr>
          <w:rFonts w:asciiTheme="minorHAnsi" w:hAnsiTheme="minorHAnsi" w:cstheme="minorHAnsi"/>
          <w:b/>
          <w:bCs/>
          <w:sz w:val="20"/>
          <w:szCs w:val="20"/>
        </w:rPr>
        <w:t>government</w:t>
      </w:r>
      <w:r w:rsidRPr="0043215C">
        <w:rPr>
          <w:rFonts w:asciiTheme="minorHAnsi" w:hAnsiTheme="minorHAnsi" w:cstheme="minorHAnsi"/>
          <w:b/>
          <w:bCs/>
          <w:sz w:val="20"/>
          <w:szCs w:val="20"/>
        </w:rPr>
        <w:t xml:space="preserve">’s energy policies aiming to diminish 16% of the primary energy consumption </w:t>
      </w:r>
      <w:r w:rsidRPr="0043215C">
        <w:rPr>
          <w:rFonts w:asciiTheme="minorHAnsi" w:hAnsiTheme="minorHAnsi" w:cstheme="minorHAnsi"/>
          <w:sz w:val="20"/>
          <w:szCs w:val="20"/>
        </w:rPr>
        <w:t>and 100 million tons of CO2 emission. 2</w:t>
      </w:r>
      <w:r w:rsidRPr="0043215C">
        <w:rPr>
          <w:rFonts w:asciiTheme="minorHAnsi" w:hAnsiTheme="minorHAnsi" w:cstheme="minorHAnsi"/>
          <w:sz w:val="20"/>
          <w:szCs w:val="20"/>
          <w:vertAlign w:val="superscript"/>
        </w:rPr>
        <w:t>nd</w:t>
      </w:r>
      <w:r w:rsidRPr="0043215C">
        <w:rPr>
          <w:rFonts w:asciiTheme="minorHAnsi" w:hAnsiTheme="minorHAnsi" w:cstheme="minorHAnsi"/>
          <w:sz w:val="20"/>
          <w:szCs w:val="20"/>
        </w:rPr>
        <w:t xml:space="preserve"> National Energy Efficiency Action Plan valid for 2024-2030 is comprehensively structured around 7 thematic subjects which are industry and technology, building and services, energy, transport, agriculture, common topics, </w:t>
      </w:r>
      <w:proofErr w:type="gramStart"/>
      <w:r w:rsidRPr="0043215C">
        <w:rPr>
          <w:rFonts w:asciiTheme="minorHAnsi" w:hAnsiTheme="minorHAnsi" w:cstheme="minorHAnsi"/>
          <w:sz w:val="20"/>
          <w:szCs w:val="20"/>
        </w:rPr>
        <w:t>start-ups</w:t>
      </w:r>
      <w:proofErr w:type="gramEnd"/>
      <w:r w:rsidRPr="0043215C">
        <w:rPr>
          <w:rFonts w:asciiTheme="minorHAnsi" w:hAnsiTheme="minorHAnsi" w:cstheme="minorHAnsi"/>
          <w:sz w:val="20"/>
          <w:szCs w:val="20"/>
        </w:rPr>
        <w:t xml:space="preserve"> and digitalization. It aims to provide 37.1 </w:t>
      </w:r>
      <w:r w:rsidR="16DC2AFD" w:rsidRPr="0043215C">
        <w:rPr>
          <w:rFonts w:asciiTheme="minorHAnsi" w:hAnsiTheme="minorHAnsi" w:cstheme="minorHAnsi"/>
          <w:sz w:val="20"/>
          <w:szCs w:val="20"/>
        </w:rPr>
        <w:t>million</w:t>
      </w:r>
      <w:r w:rsidR="3462282D" w:rsidRPr="0043215C">
        <w:rPr>
          <w:rFonts w:asciiTheme="minorHAnsi" w:hAnsiTheme="minorHAnsi" w:cstheme="minorHAnsi"/>
          <w:sz w:val="20"/>
          <w:szCs w:val="20"/>
        </w:rPr>
        <w:t xml:space="preserve"> </w:t>
      </w:r>
      <w:r w:rsidR="16DC2AFD" w:rsidRPr="0043215C">
        <w:rPr>
          <w:rFonts w:asciiTheme="minorHAnsi" w:hAnsiTheme="minorHAnsi" w:cstheme="minorHAnsi"/>
          <w:sz w:val="20"/>
          <w:szCs w:val="20"/>
        </w:rPr>
        <w:t>tons equivalent</w:t>
      </w:r>
      <w:r w:rsidR="00832823" w:rsidRPr="0043215C">
        <w:rPr>
          <w:rFonts w:asciiTheme="minorHAnsi" w:hAnsiTheme="minorHAnsi" w:cstheme="minorHAnsi"/>
          <w:sz w:val="20"/>
          <w:szCs w:val="20"/>
        </w:rPr>
        <w:t xml:space="preserve"> </w:t>
      </w:r>
      <w:r w:rsidR="16DC2AFD" w:rsidRPr="0043215C">
        <w:rPr>
          <w:rFonts w:asciiTheme="minorHAnsi" w:hAnsiTheme="minorHAnsi" w:cstheme="minorHAnsi"/>
          <w:sz w:val="20"/>
          <w:szCs w:val="20"/>
        </w:rPr>
        <w:t>of petroleum</w:t>
      </w:r>
      <w:r w:rsidR="00832823" w:rsidRPr="0043215C">
        <w:rPr>
          <w:rFonts w:asciiTheme="minorHAnsi" w:hAnsiTheme="minorHAnsi" w:cstheme="minorHAnsi"/>
          <w:sz w:val="20"/>
          <w:szCs w:val="20"/>
        </w:rPr>
        <w:t xml:space="preserve"> (</w:t>
      </w:r>
      <w:r w:rsidRPr="0043215C">
        <w:rPr>
          <w:rFonts w:asciiTheme="minorHAnsi" w:hAnsiTheme="minorHAnsi" w:cstheme="minorHAnsi"/>
          <w:sz w:val="20"/>
          <w:szCs w:val="20"/>
        </w:rPr>
        <w:t>MTEP</w:t>
      </w:r>
      <w:r w:rsidR="00832823" w:rsidRPr="0043215C">
        <w:rPr>
          <w:rFonts w:asciiTheme="minorHAnsi" w:hAnsiTheme="minorHAnsi" w:cstheme="minorHAnsi"/>
          <w:sz w:val="20"/>
          <w:szCs w:val="20"/>
        </w:rPr>
        <w:t>)</w:t>
      </w:r>
      <w:r w:rsidRPr="0043215C">
        <w:rPr>
          <w:rFonts w:asciiTheme="minorHAnsi" w:hAnsiTheme="minorHAnsi" w:cstheme="minorHAnsi"/>
          <w:sz w:val="20"/>
          <w:szCs w:val="20"/>
        </w:rPr>
        <w:t xml:space="preserve"> energy savings with a 20.2 </w:t>
      </w:r>
      <w:r w:rsidR="00636124" w:rsidRPr="0043215C">
        <w:rPr>
          <w:rFonts w:asciiTheme="minorHAnsi" w:hAnsiTheme="minorHAnsi" w:cstheme="minorHAnsi"/>
          <w:sz w:val="20"/>
          <w:szCs w:val="20"/>
        </w:rPr>
        <w:t>US$</w:t>
      </w:r>
      <w:r w:rsidRPr="0043215C">
        <w:rPr>
          <w:rFonts w:asciiTheme="minorHAnsi" w:hAnsiTheme="minorHAnsi" w:cstheme="minorHAnsi"/>
          <w:sz w:val="20"/>
          <w:szCs w:val="20"/>
        </w:rPr>
        <w:t xml:space="preserve"> investment between 2024-2030. </w:t>
      </w:r>
    </w:p>
    <w:p w14:paraId="6D0884DC" w14:textId="77777777" w:rsidR="009C3A57" w:rsidRPr="0043215C" w:rsidRDefault="009C3A57" w:rsidP="00BA5A4F">
      <w:pPr>
        <w:pStyle w:val="BodyText"/>
        <w:jc w:val="both"/>
        <w:rPr>
          <w:rFonts w:asciiTheme="minorHAnsi" w:hAnsiTheme="minorHAnsi" w:cstheme="minorHAnsi"/>
          <w:sz w:val="20"/>
          <w:szCs w:val="20"/>
        </w:rPr>
      </w:pPr>
    </w:p>
    <w:p w14:paraId="3308F14C" w14:textId="290164BC" w:rsidR="000D198D" w:rsidRPr="0043215C" w:rsidRDefault="000D198D" w:rsidP="00BA5A4F">
      <w:pPr>
        <w:pStyle w:val="BodyText"/>
        <w:jc w:val="both"/>
        <w:rPr>
          <w:rFonts w:asciiTheme="minorHAnsi" w:hAnsiTheme="minorHAnsi" w:cstheme="minorHAnsi"/>
          <w:sz w:val="20"/>
          <w:szCs w:val="20"/>
        </w:rPr>
      </w:pPr>
      <w:r w:rsidRPr="0043215C">
        <w:rPr>
          <w:rFonts w:asciiTheme="minorHAnsi" w:hAnsiTheme="minorHAnsi" w:cstheme="minorHAnsi"/>
          <w:b/>
          <w:bCs/>
          <w:sz w:val="20"/>
          <w:szCs w:val="20"/>
        </w:rPr>
        <w:t xml:space="preserve">Wide range of measures are targeted </w:t>
      </w:r>
      <w:proofErr w:type="gramStart"/>
      <w:r w:rsidRPr="0043215C">
        <w:rPr>
          <w:rFonts w:asciiTheme="minorHAnsi" w:hAnsiTheme="minorHAnsi" w:cstheme="minorHAnsi"/>
          <w:b/>
          <w:bCs/>
          <w:sz w:val="20"/>
          <w:szCs w:val="20"/>
        </w:rPr>
        <w:t>so as to</w:t>
      </w:r>
      <w:proofErr w:type="gramEnd"/>
      <w:r w:rsidRPr="0043215C">
        <w:rPr>
          <w:rFonts w:asciiTheme="minorHAnsi" w:hAnsiTheme="minorHAnsi" w:cstheme="minorHAnsi"/>
          <w:b/>
          <w:bCs/>
          <w:sz w:val="20"/>
          <w:szCs w:val="20"/>
        </w:rPr>
        <w:t xml:space="preserve"> increase energy efficiency from generation and networks to general lighting and tariffs</w:t>
      </w:r>
      <w:r w:rsidRPr="0043215C">
        <w:rPr>
          <w:rFonts w:asciiTheme="minorHAnsi" w:hAnsiTheme="minorHAnsi" w:cstheme="minorHAnsi"/>
          <w:sz w:val="20"/>
          <w:szCs w:val="20"/>
        </w:rPr>
        <w:t>.</w:t>
      </w:r>
      <w:r w:rsidRPr="0043215C">
        <w:rPr>
          <w:rStyle w:val="FootnoteReference"/>
          <w:rFonts w:asciiTheme="minorHAnsi" w:hAnsiTheme="minorHAnsi" w:cstheme="minorHAnsi"/>
          <w:sz w:val="20"/>
          <w:szCs w:val="20"/>
        </w:rPr>
        <w:footnoteReference w:id="14"/>
      </w:r>
      <w:r w:rsidRPr="0043215C">
        <w:rPr>
          <w:rFonts w:asciiTheme="minorHAnsi" w:hAnsiTheme="minorHAnsi" w:cstheme="minorHAnsi"/>
          <w:sz w:val="20"/>
          <w:szCs w:val="20"/>
        </w:rPr>
        <w:t xml:space="preserve"> External financing opportunities will be sought for investments needed to eliminate efficiency losses due to equipment and operation in reservoir hydroelectric power plants and to increase energy efficiency in electricity transmission and distribution networks.</w:t>
      </w:r>
    </w:p>
    <w:p w14:paraId="2BA4BCCF" w14:textId="77777777" w:rsidR="009C3A57" w:rsidRPr="0043215C" w:rsidRDefault="009C3A57" w:rsidP="00127197">
      <w:pPr>
        <w:pStyle w:val="BodyText"/>
        <w:rPr>
          <w:rFonts w:asciiTheme="minorHAnsi" w:hAnsiTheme="minorHAnsi" w:cstheme="minorHAnsi"/>
          <w:sz w:val="20"/>
          <w:szCs w:val="20"/>
        </w:rPr>
      </w:pPr>
    </w:p>
    <w:p w14:paraId="05E6DB39" w14:textId="5C00DFCD" w:rsidR="000D198D" w:rsidRPr="0043215C" w:rsidRDefault="00B04034" w:rsidP="00E7146B">
      <w:pPr>
        <w:pStyle w:val="Heading2"/>
        <w:rPr>
          <w:rFonts w:cstheme="minorHAnsi"/>
          <w:sz w:val="20"/>
          <w:szCs w:val="20"/>
        </w:rPr>
      </w:pPr>
      <w:bookmarkStart w:id="29" w:name="_Toc162898760"/>
      <w:bookmarkStart w:id="30" w:name="_Toc162898822"/>
      <w:bookmarkStart w:id="31" w:name="_Toc162962943"/>
      <w:bookmarkStart w:id="32" w:name="_Toc162964120"/>
      <w:bookmarkStart w:id="33" w:name="_Toc170319819"/>
      <w:r w:rsidRPr="0043215C">
        <w:rPr>
          <w:rFonts w:cstheme="minorHAnsi"/>
          <w:sz w:val="20"/>
          <w:szCs w:val="20"/>
        </w:rPr>
        <w:t>Government</w:t>
      </w:r>
      <w:r w:rsidR="000D198D" w:rsidRPr="0043215C">
        <w:rPr>
          <w:rFonts w:cstheme="minorHAnsi"/>
          <w:sz w:val="20"/>
          <w:szCs w:val="20"/>
        </w:rPr>
        <w:t>’s Climate Strategies and Plans</w:t>
      </w:r>
      <w:bookmarkEnd w:id="29"/>
      <w:bookmarkEnd w:id="30"/>
      <w:bookmarkEnd w:id="31"/>
      <w:bookmarkEnd w:id="32"/>
      <w:bookmarkEnd w:id="33"/>
    </w:p>
    <w:p w14:paraId="4DEBAFFA" w14:textId="77777777" w:rsidR="000F5DDC" w:rsidRPr="0043215C" w:rsidRDefault="000F5DDC" w:rsidP="009C3A57">
      <w:pPr>
        <w:pStyle w:val="BodyText"/>
        <w:jc w:val="both"/>
        <w:rPr>
          <w:rFonts w:asciiTheme="minorHAnsi" w:hAnsiTheme="minorHAnsi" w:cstheme="minorHAnsi"/>
          <w:sz w:val="20"/>
          <w:szCs w:val="20"/>
        </w:rPr>
      </w:pPr>
    </w:p>
    <w:p w14:paraId="0474C432" w14:textId="7CCE1F10" w:rsidR="000D198D" w:rsidRPr="0043215C" w:rsidRDefault="000D198D" w:rsidP="009C3A57">
      <w:pPr>
        <w:pStyle w:val="BodyText"/>
        <w:jc w:val="both"/>
        <w:rPr>
          <w:rFonts w:asciiTheme="minorHAnsi" w:hAnsiTheme="minorHAnsi" w:cstheme="minorHAnsi"/>
          <w:sz w:val="20"/>
          <w:szCs w:val="20"/>
        </w:rPr>
      </w:pPr>
      <w:r w:rsidRPr="0043215C">
        <w:rPr>
          <w:rFonts w:asciiTheme="minorHAnsi" w:hAnsiTheme="minorHAnsi" w:cstheme="minorHAnsi"/>
          <w:b/>
          <w:bCs/>
          <w:sz w:val="20"/>
          <w:szCs w:val="20"/>
        </w:rPr>
        <w:t>In October 2021, Türkiye ratified the Paris Agreement, adopted a net zero emissions target by 2053</w:t>
      </w:r>
      <w:r w:rsidRPr="0043215C">
        <w:rPr>
          <w:rFonts w:asciiTheme="minorHAnsi" w:hAnsiTheme="minorHAnsi" w:cstheme="minorHAnsi"/>
          <w:sz w:val="20"/>
          <w:szCs w:val="20"/>
        </w:rPr>
        <w:t xml:space="preserve">, created a new Climate Presidency in charge of coordinating the climate transition across all </w:t>
      </w:r>
      <w:r w:rsidR="00B04034" w:rsidRPr="0043215C">
        <w:rPr>
          <w:rFonts w:asciiTheme="minorHAnsi" w:hAnsiTheme="minorHAnsi" w:cstheme="minorHAnsi"/>
          <w:sz w:val="20"/>
          <w:szCs w:val="20"/>
        </w:rPr>
        <w:t>Government</w:t>
      </w:r>
      <w:r w:rsidRPr="0043215C">
        <w:rPr>
          <w:rFonts w:asciiTheme="minorHAnsi" w:hAnsiTheme="minorHAnsi" w:cstheme="minorHAnsi"/>
          <w:sz w:val="20"/>
          <w:szCs w:val="20"/>
        </w:rPr>
        <w:t xml:space="preserve">s, and signed a MoU for increased climate action with six key development partners of which the World Bank, </w:t>
      </w:r>
      <w:r w:rsidR="00941C11" w:rsidRPr="0043215C">
        <w:rPr>
          <w:rFonts w:asciiTheme="minorHAnsi" w:hAnsiTheme="minorHAnsi" w:cstheme="minorHAnsi"/>
          <w:bCs/>
          <w:sz w:val="20"/>
          <w:szCs w:val="20"/>
        </w:rPr>
        <w:t>European Bank for Reconstruction</w:t>
      </w:r>
      <w:r w:rsidRPr="0043215C">
        <w:rPr>
          <w:rFonts w:asciiTheme="minorHAnsi" w:hAnsiTheme="minorHAnsi" w:cstheme="minorHAnsi"/>
          <w:sz w:val="20"/>
          <w:szCs w:val="20"/>
        </w:rPr>
        <w:t xml:space="preserve"> and </w:t>
      </w:r>
      <w:r w:rsidR="00941C11" w:rsidRPr="0043215C">
        <w:rPr>
          <w:rFonts w:asciiTheme="minorHAnsi" w:hAnsiTheme="minorHAnsi" w:cstheme="minorHAnsi"/>
          <w:bCs/>
          <w:sz w:val="20"/>
          <w:szCs w:val="20"/>
        </w:rPr>
        <w:t>Development (</w:t>
      </w:r>
      <w:r w:rsidRPr="0043215C">
        <w:rPr>
          <w:rFonts w:asciiTheme="minorHAnsi" w:hAnsiTheme="minorHAnsi" w:cstheme="minorHAnsi"/>
          <w:bCs/>
          <w:sz w:val="20"/>
          <w:szCs w:val="20"/>
        </w:rPr>
        <w:t>EBRD</w:t>
      </w:r>
      <w:r w:rsidR="00941C11" w:rsidRPr="0043215C">
        <w:rPr>
          <w:rFonts w:asciiTheme="minorHAnsi" w:hAnsiTheme="minorHAnsi" w:cstheme="minorHAnsi"/>
          <w:bCs/>
          <w:sz w:val="20"/>
          <w:szCs w:val="20"/>
        </w:rPr>
        <w:t>)</w:t>
      </w:r>
      <w:r w:rsidRPr="0043215C">
        <w:rPr>
          <w:rFonts w:asciiTheme="minorHAnsi" w:hAnsiTheme="minorHAnsi" w:cstheme="minorHAnsi"/>
          <w:bCs/>
          <w:sz w:val="20"/>
          <w:szCs w:val="20"/>
        </w:rPr>
        <w:t xml:space="preserve"> and </w:t>
      </w:r>
      <w:r w:rsidR="00485FBD" w:rsidRPr="0043215C">
        <w:rPr>
          <w:rFonts w:asciiTheme="minorHAnsi" w:hAnsiTheme="minorHAnsi" w:cstheme="minorHAnsi"/>
          <w:bCs/>
          <w:sz w:val="20"/>
          <w:szCs w:val="20"/>
        </w:rPr>
        <w:t>International Finance Corporation (</w:t>
      </w:r>
      <w:r w:rsidRPr="0043215C">
        <w:rPr>
          <w:rFonts w:asciiTheme="minorHAnsi" w:hAnsiTheme="minorHAnsi" w:cstheme="minorHAnsi"/>
          <w:sz w:val="20"/>
          <w:szCs w:val="20"/>
        </w:rPr>
        <w:t>IFC</w:t>
      </w:r>
      <w:r w:rsidR="00485FBD" w:rsidRPr="0043215C">
        <w:rPr>
          <w:rFonts w:asciiTheme="minorHAnsi" w:hAnsiTheme="minorHAnsi" w:cstheme="minorHAnsi"/>
          <w:bCs/>
          <w:sz w:val="20"/>
          <w:szCs w:val="20"/>
        </w:rPr>
        <w:t>)</w:t>
      </w:r>
      <w:r w:rsidRPr="0043215C">
        <w:rPr>
          <w:rFonts w:asciiTheme="minorHAnsi" w:hAnsiTheme="minorHAnsi" w:cstheme="minorHAnsi"/>
          <w:sz w:val="20"/>
          <w:szCs w:val="20"/>
        </w:rPr>
        <w:t xml:space="preserve"> are three. Türkiye, because of its geographical location, is one of the most negatively affected countries from climate change. While average temperature is increasing causing draught, floods occur with sudden torrential rains. As per the Climate MoU, the World Bank is following through on its pledge to mobilize an additional </w:t>
      </w:r>
      <w:r w:rsidR="00636124" w:rsidRPr="0043215C">
        <w:rPr>
          <w:rFonts w:asciiTheme="minorHAnsi" w:hAnsiTheme="minorHAnsi" w:cstheme="minorHAnsi"/>
          <w:sz w:val="20"/>
          <w:szCs w:val="20"/>
        </w:rPr>
        <w:t>US$</w:t>
      </w:r>
      <w:r w:rsidRPr="0043215C">
        <w:rPr>
          <w:rFonts w:asciiTheme="minorHAnsi" w:hAnsiTheme="minorHAnsi" w:cstheme="minorHAnsi"/>
          <w:sz w:val="20"/>
          <w:szCs w:val="20"/>
        </w:rPr>
        <w:t>2</w:t>
      </w:r>
      <w:r w:rsidR="00983132" w:rsidRPr="0043215C">
        <w:rPr>
          <w:rFonts w:asciiTheme="minorHAnsi" w:hAnsiTheme="minorHAnsi" w:cstheme="minorHAnsi"/>
          <w:sz w:val="20"/>
          <w:szCs w:val="20"/>
        </w:rPr>
        <w:t xml:space="preserve"> </w:t>
      </w:r>
      <w:r w:rsidRPr="0043215C">
        <w:rPr>
          <w:rFonts w:asciiTheme="minorHAnsi" w:hAnsiTheme="minorHAnsi" w:cstheme="minorHAnsi"/>
          <w:sz w:val="20"/>
          <w:szCs w:val="20"/>
        </w:rPr>
        <w:t xml:space="preserve">bn for climate financing with a robust </w:t>
      </w:r>
      <w:r w:rsidRPr="0043215C">
        <w:rPr>
          <w:rFonts w:asciiTheme="minorHAnsi" w:hAnsiTheme="minorHAnsi" w:cstheme="minorHAnsi"/>
          <w:sz w:val="20"/>
          <w:szCs w:val="20"/>
        </w:rPr>
        <w:lastRenderedPageBreak/>
        <w:t xml:space="preserve">set of climate-focused projects being prepared for FY23 and FY24. The World Bank’s Energy Program </w:t>
      </w:r>
      <w:r w:rsidR="00303049" w:rsidRPr="0043215C">
        <w:rPr>
          <w:rFonts w:asciiTheme="minorHAnsi" w:hAnsiTheme="minorHAnsi" w:cstheme="minorHAnsi"/>
          <w:sz w:val="20"/>
          <w:szCs w:val="20"/>
        </w:rPr>
        <w:t>has</w:t>
      </w:r>
      <w:r w:rsidRPr="0043215C">
        <w:rPr>
          <w:rFonts w:asciiTheme="minorHAnsi" w:hAnsiTheme="minorHAnsi" w:cstheme="minorHAnsi"/>
          <w:sz w:val="20"/>
          <w:szCs w:val="20"/>
        </w:rPr>
        <w:t xml:space="preserve"> significantly contribute</w:t>
      </w:r>
      <w:r w:rsidR="00303049" w:rsidRPr="0043215C">
        <w:rPr>
          <w:rFonts w:asciiTheme="minorHAnsi" w:hAnsiTheme="minorHAnsi" w:cstheme="minorHAnsi"/>
          <w:sz w:val="20"/>
          <w:szCs w:val="20"/>
        </w:rPr>
        <w:t>d</w:t>
      </w:r>
      <w:r w:rsidRPr="0043215C">
        <w:rPr>
          <w:rFonts w:asciiTheme="minorHAnsi" w:hAnsiTheme="minorHAnsi" w:cstheme="minorHAnsi"/>
          <w:sz w:val="20"/>
          <w:szCs w:val="20"/>
        </w:rPr>
        <w:t xml:space="preserve"> to this MOU. </w:t>
      </w:r>
    </w:p>
    <w:p w14:paraId="3ACA8753" w14:textId="77777777" w:rsidR="009C3A57" w:rsidRPr="0043215C" w:rsidRDefault="009C3A57" w:rsidP="009C3A57">
      <w:pPr>
        <w:pStyle w:val="BodyText"/>
        <w:jc w:val="both"/>
        <w:rPr>
          <w:rFonts w:asciiTheme="minorHAnsi" w:hAnsiTheme="minorHAnsi" w:cstheme="minorHAnsi"/>
          <w:sz w:val="20"/>
          <w:szCs w:val="20"/>
        </w:rPr>
      </w:pPr>
    </w:p>
    <w:p w14:paraId="0E976545" w14:textId="39ECAFB8" w:rsidR="000D198D" w:rsidRPr="0043215C" w:rsidRDefault="000D198D" w:rsidP="009C3A57">
      <w:pPr>
        <w:pStyle w:val="BodyText"/>
        <w:jc w:val="both"/>
        <w:rPr>
          <w:rFonts w:asciiTheme="minorHAnsi" w:hAnsiTheme="minorHAnsi" w:cstheme="minorHAnsi"/>
          <w:sz w:val="20"/>
          <w:szCs w:val="20"/>
        </w:rPr>
      </w:pPr>
      <w:r w:rsidRPr="0043215C">
        <w:rPr>
          <w:rFonts w:asciiTheme="minorHAnsi" w:hAnsiTheme="minorHAnsi" w:cstheme="minorHAnsi"/>
          <w:b/>
          <w:bCs/>
          <w:sz w:val="20"/>
          <w:szCs w:val="20"/>
        </w:rPr>
        <w:t>Energy sector remains as main contributor of the GHG emissions</w:t>
      </w:r>
      <w:r w:rsidRPr="0043215C">
        <w:rPr>
          <w:rFonts w:asciiTheme="minorHAnsi" w:hAnsiTheme="minorHAnsi" w:cstheme="minorHAnsi"/>
          <w:sz w:val="20"/>
          <w:szCs w:val="20"/>
        </w:rPr>
        <w:t>. According to the results of the greenhouse gas inventory, total greenhouse gas emissions in 2021 increased by 7.7% compared to the previous year, reaching</w:t>
      </w:r>
      <w:r w:rsidR="00D271B9" w:rsidRPr="0043215C">
        <w:rPr>
          <w:rFonts w:asciiTheme="minorHAnsi" w:hAnsiTheme="minorHAnsi" w:cstheme="minorHAnsi"/>
          <w:sz w:val="20"/>
          <w:szCs w:val="20"/>
        </w:rPr>
        <w:t xml:space="preserve"> </w:t>
      </w:r>
      <w:r w:rsidRPr="0043215C">
        <w:rPr>
          <w:rFonts w:asciiTheme="minorHAnsi" w:hAnsiTheme="minorHAnsi" w:cstheme="minorHAnsi"/>
          <w:sz w:val="20"/>
          <w:szCs w:val="20"/>
        </w:rPr>
        <w:t>564.4 million tons (Mt) of CO2 equivalent(eq.). Total greenhouse gas emissions per capita were 4 tons of CO2 eq. and 6.7 tons of CO2 eq. in 1990 and 2021, respectively</w:t>
      </w:r>
      <w:r w:rsidR="00D271B9" w:rsidRPr="0043215C">
        <w:rPr>
          <w:rFonts w:asciiTheme="minorHAnsi" w:hAnsiTheme="minorHAnsi" w:cstheme="minorHAnsi"/>
          <w:sz w:val="20"/>
          <w:szCs w:val="20"/>
        </w:rPr>
        <w:t>.</w:t>
      </w:r>
      <w:r w:rsidRPr="0043215C">
        <w:rPr>
          <w:rFonts w:asciiTheme="minorHAnsi" w:hAnsiTheme="minorHAnsi" w:cstheme="minorHAnsi"/>
          <w:sz w:val="20"/>
          <w:szCs w:val="20"/>
        </w:rPr>
        <w:t xml:space="preserve"> In 2021, 85.2% of total CO2 emissions stemmed from the energy sector (of which 32.7% comes from electricity and heat generation), 14.5% from industrial processes and product use, and 0.3% from agriculture and waste</w:t>
      </w:r>
      <w:r w:rsidRPr="0043215C">
        <w:rPr>
          <w:rFonts w:asciiTheme="minorHAnsi" w:hAnsiTheme="minorHAnsi" w:cstheme="minorHAnsi"/>
          <w:sz w:val="20"/>
          <w:szCs w:val="20"/>
        </w:rPr>
        <w:footnoteReference w:id="15"/>
      </w:r>
      <w:r w:rsidRPr="0043215C">
        <w:rPr>
          <w:rFonts w:asciiTheme="minorHAnsi" w:hAnsiTheme="minorHAnsi" w:cstheme="minorHAnsi"/>
          <w:sz w:val="20"/>
          <w:szCs w:val="20"/>
        </w:rPr>
        <w:t>.</w:t>
      </w:r>
    </w:p>
    <w:p w14:paraId="6114B6E5" w14:textId="7928F3DA" w:rsidR="000D198D" w:rsidRPr="0043215C" w:rsidRDefault="000D198D" w:rsidP="009C3A57">
      <w:pPr>
        <w:pStyle w:val="BodyText"/>
        <w:jc w:val="both"/>
        <w:rPr>
          <w:rFonts w:asciiTheme="minorHAnsi" w:hAnsiTheme="minorHAnsi" w:cstheme="minorHAnsi"/>
          <w:sz w:val="20"/>
          <w:szCs w:val="20"/>
        </w:rPr>
      </w:pPr>
      <w:r w:rsidRPr="0043215C">
        <w:rPr>
          <w:rFonts w:asciiTheme="minorHAnsi" w:hAnsiTheme="minorHAnsi" w:cstheme="minorHAnsi"/>
          <w:sz w:val="20"/>
          <w:szCs w:val="20"/>
        </w:rPr>
        <w:t xml:space="preserve">The </w:t>
      </w:r>
      <w:r w:rsidR="00B04034" w:rsidRPr="0043215C">
        <w:rPr>
          <w:rFonts w:asciiTheme="minorHAnsi" w:hAnsiTheme="minorHAnsi" w:cstheme="minorHAnsi"/>
          <w:sz w:val="20"/>
          <w:szCs w:val="20"/>
        </w:rPr>
        <w:t>Government</w:t>
      </w:r>
      <w:r w:rsidRPr="0043215C">
        <w:rPr>
          <w:rFonts w:asciiTheme="minorHAnsi" w:hAnsiTheme="minorHAnsi" w:cstheme="minorHAnsi"/>
          <w:sz w:val="20"/>
          <w:szCs w:val="20"/>
        </w:rPr>
        <w:t xml:space="preserve"> updated the Türkiye’s </w:t>
      </w:r>
      <w:bookmarkStart w:id="34" w:name="_Hlk157783675"/>
      <w:r w:rsidRPr="0043215C">
        <w:rPr>
          <w:rFonts w:asciiTheme="minorHAnsi" w:hAnsiTheme="minorHAnsi" w:cstheme="minorHAnsi"/>
          <w:sz w:val="20"/>
          <w:szCs w:val="20"/>
        </w:rPr>
        <w:t xml:space="preserve">Nationally Determined Contribution (NDC) </w:t>
      </w:r>
      <w:bookmarkEnd w:id="34"/>
      <w:r w:rsidRPr="0043215C">
        <w:rPr>
          <w:rFonts w:asciiTheme="minorHAnsi" w:hAnsiTheme="minorHAnsi" w:cstheme="minorHAnsi"/>
          <w:sz w:val="20"/>
          <w:szCs w:val="20"/>
        </w:rPr>
        <w:t xml:space="preserve">declaration in April 2023 and submitted to the United Nations Climate Change Framework Agreement Secretariat as 41 percent, equivalent to aa 500-million-ton reduction in emissions. Emissions are expected to peak in 2038 and start declining in absolute terms from that year. </w:t>
      </w:r>
    </w:p>
    <w:p w14:paraId="1CADBD06" w14:textId="77777777" w:rsidR="009C3A57" w:rsidRPr="0043215C" w:rsidRDefault="009C3A57" w:rsidP="009C3A57">
      <w:pPr>
        <w:pStyle w:val="BodyText"/>
        <w:jc w:val="both"/>
        <w:rPr>
          <w:rFonts w:asciiTheme="minorHAnsi" w:hAnsiTheme="minorHAnsi" w:cstheme="minorHAnsi"/>
          <w:sz w:val="20"/>
          <w:szCs w:val="20"/>
        </w:rPr>
      </w:pPr>
    </w:p>
    <w:p w14:paraId="4CEE0C40" w14:textId="4FF6CA1C" w:rsidR="00F41B64" w:rsidRPr="0043215C" w:rsidRDefault="000D198D" w:rsidP="009C3A57">
      <w:pPr>
        <w:pStyle w:val="BodyText"/>
        <w:jc w:val="both"/>
        <w:rPr>
          <w:rFonts w:asciiTheme="minorHAnsi" w:hAnsiTheme="minorHAnsi" w:cstheme="minorHAnsi"/>
          <w:sz w:val="20"/>
          <w:szCs w:val="20"/>
        </w:rPr>
      </w:pPr>
      <w:r w:rsidRPr="0043215C">
        <w:rPr>
          <w:rFonts w:asciiTheme="minorHAnsi" w:hAnsiTheme="minorHAnsi" w:cstheme="minorHAnsi"/>
          <w:b/>
          <w:bCs/>
          <w:sz w:val="20"/>
          <w:szCs w:val="20"/>
        </w:rPr>
        <w:t>The Green Deal Action Plan</w:t>
      </w:r>
      <w:r w:rsidR="004B25CF" w:rsidRPr="0043215C">
        <w:rPr>
          <w:rFonts w:asciiTheme="minorHAnsi" w:hAnsiTheme="minorHAnsi" w:cstheme="minorHAnsi"/>
          <w:b/>
          <w:bCs/>
          <w:sz w:val="20"/>
          <w:szCs w:val="20"/>
        </w:rPr>
        <w:t xml:space="preserve"> </w:t>
      </w:r>
      <w:r w:rsidRPr="0043215C">
        <w:rPr>
          <w:rFonts w:asciiTheme="minorHAnsi" w:hAnsiTheme="minorHAnsi" w:cstheme="minorHAnsi"/>
          <w:b/>
          <w:bCs/>
          <w:sz w:val="20"/>
          <w:szCs w:val="20"/>
        </w:rPr>
        <w:t>issued in July 2021 with a Presidential Circular</w:t>
      </w:r>
      <w:r w:rsidRPr="0043215C">
        <w:rPr>
          <w:rStyle w:val="FootnoteReference"/>
          <w:rFonts w:asciiTheme="minorHAnsi" w:hAnsiTheme="minorHAnsi" w:cstheme="minorHAnsi"/>
          <w:b/>
          <w:bCs/>
          <w:sz w:val="20"/>
          <w:szCs w:val="20"/>
        </w:rPr>
        <w:footnoteReference w:id="16"/>
      </w:r>
      <w:r w:rsidRPr="0043215C">
        <w:rPr>
          <w:rFonts w:asciiTheme="minorHAnsi" w:hAnsiTheme="minorHAnsi" w:cstheme="minorHAnsi"/>
          <w:b/>
          <w:bCs/>
          <w:sz w:val="20"/>
          <w:szCs w:val="20"/>
        </w:rPr>
        <w:t>, aims to adopt comprehensive measures</w:t>
      </w:r>
      <w:r w:rsidRPr="0043215C">
        <w:rPr>
          <w:rFonts w:asciiTheme="minorHAnsi" w:hAnsiTheme="minorHAnsi" w:cstheme="minorHAnsi"/>
          <w:sz w:val="20"/>
          <w:szCs w:val="20"/>
        </w:rPr>
        <w:t>. envisaged by the European Green Deal.</w:t>
      </w:r>
      <w:r w:rsidR="004B25CF" w:rsidRPr="0043215C">
        <w:rPr>
          <w:rFonts w:asciiTheme="minorHAnsi" w:hAnsiTheme="minorHAnsi" w:cstheme="minorHAnsi"/>
          <w:sz w:val="20"/>
          <w:szCs w:val="20"/>
        </w:rPr>
        <w:t xml:space="preserve"> </w:t>
      </w:r>
      <w:r w:rsidRPr="0043215C">
        <w:rPr>
          <w:rFonts w:asciiTheme="minorHAnsi" w:hAnsiTheme="minorHAnsi" w:cstheme="minorHAnsi"/>
          <w:sz w:val="20"/>
          <w:szCs w:val="20"/>
        </w:rPr>
        <w:t>The Action Plan prioritizes  nine main areas as follows: (1) carbon border adjustments, (2) a green and circular economy, (3) green finance, (4) a clean, economical, and secure energy supply, (5) sustainable agriculture, (6) sustainable smart transport, (7) combating climate change, (8) diplomacy, and (9) European Green Deal information and awareness-raising activities. , The Green Deal Working Group, chaired by the Deputy Minister of the Ministry of Commerce, was established to monitor the implementation of the Action Plan with the participation of the Presidency Directorate of Strategy and Budget, as well as several ministries and if need be, with support from the universities, non-</w:t>
      </w:r>
      <w:r w:rsidR="00B04034" w:rsidRPr="0043215C">
        <w:rPr>
          <w:rFonts w:asciiTheme="minorHAnsi" w:hAnsiTheme="minorHAnsi" w:cstheme="minorHAnsi"/>
          <w:sz w:val="20"/>
          <w:szCs w:val="20"/>
        </w:rPr>
        <w:t>government</w:t>
      </w:r>
      <w:r w:rsidRPr="0043215C">
        <w:rPr>
          <w:rFonts w:asciiTheme="minorHAnsi" w:hAnsiTheme="minorHAnsi" w:cstheme="minorHAnsi"/>
          <w:sz w:val="20"/>
          <w:szCs w:val="20"/>
        </w:rPr>
        <w:t xml:space="preserve">al organizations, professional associations, and private sector. </w:t>
      </w:r>
    </w:p>
    <w:p w14:paraId="430EF28D" w14:textId="77777777" w:rsidR="009C3A57" w:rsidRPr="0043215C" w:rsidRDefault="009C3A57" w:rsidP="009C3A57">
      <w:pPr>
        <w:pStyle w:val="BodyText"/>
        <w:jc w:val="both"/>
        <w:rPr>
          <w:rFonts w:asciiTheme="minorHAnsi" w:hAnsiTheme="minorHAnsi" w:cstheme="minorHAnsi"/>
          <w:sz w:val="20"/>
          <w:szCs w:val="20"/>
        </w:rPr>
      </w:pPr>
    </w:p>
    <w:p w14:paraId="44FC0D49" w14:textId="4CC3E18C" w:rsidR="00F41B64" w:rsidRPr="0043215C" w:rsidRDefault="000D198D" w:rsidP="009C3A57">
      <w:pPr>
        <w:pStyle w:val="BodyText"/>
        <w:jc w:val="both"/>
        <w:rPr>
          <w:rFonts w:asciiTheme="minorHAnsi" w:hAnsiTheme="minorHAnsi" w:cstheme="minorHAnsi"/>
          <w:sz w:val="20"/>
          <w:szCs w:val="20"/>
        </w:rPr>
      </w:pPr>
      <w:r w:rsidRPr="0043215C">
        <w:rPr>
          <w:rFonts w:asciiTheme="minorHAnsi" w:hAnsiTheme="minorHAnsi" w:cstheme="minorHAnsi"/>
          <w:b/>
          <w:bCs/>
          <w:sz w:val="20"/>
          <w:szCs w:val="20"/>
        </w:rPr>
        <w:t>The Green Deal Working Group’s 2022 Activity Report revealed improvements in the country’s primary energy intensity</w:t>
      </w:r>
      <w:r w:rsidRPr="0043215C">
        <w:rPr>
          <w:rFonts w:asciiTheme="minorHAnsi" w:hAnsiTheme="minorHAnsi" w:cstheme="minorHAnsi"/>
          <w:sz w:val="20"/>
          <w:szCs w:val="20"/>
        </w:rPr>
        <w:t xml:space="preserve"> (2.7% improvement in 2021 compared to the previous year), increase of installed capacity increase by 55% in 2022, and 90 million tons of greenhouse gas emissions avoided annually </w:t>
      </w:r>
      <w:proofErr w:type="gramStart"/>
      <w:r w:rsidRPr="0043215C">
        <w:rPr>
          <w:rFonts w:asciiTheme="minorHAnsi" w:hAnsiTheme="minorHAnsi" w:cstheme="minorHAnsi"/>
          <w:sz w:val="20"/>
          <w:szCs w:val="20"/>
        </w:rPr>
        <w:t>as a result of</w:t>
      </w:r>
      <w:proofErr w:type="gramEnd"/>
      <w:r w:rsidRPr="0043215C">
        <w:rPr>
          <w:rFonts w:asciiTheme="minorHAnsi" w:hAnsiTheme="minorHAnsi" w:cstheme="minorHAnsi"/>
          <w:sz w:val="20"/>
          <w:szCs w:val="20"/>
        </w:rPr>
        <w:t xml:space="preserve"> precautions taken in energy efficiency and renewable energy</w:t>
      </w:r>
      <w:r w:rsidRPr="0043215C">
        <w:rPr>
          <w:rStyle w:val="FootnoteReference"/>
          <w:rFonts w:asciiTheme="minorHAnsi" w:hAnsiTheme="minorHAnsi" w:cstheme="minorHAnsi"/>
          <w:sz w:val="20"/>
          <w:szCs w:val="20"/>
        </w:rPr>
        <w:t xml:space="preserve"> </w:t>
      </w:r>
      <w:r w:rsidRPr="0043215C">
        <w:rPr>
          <w:rStyle w:val="FootnoteReference"/>
          <w:rFonts w:asciiTheme="minorHAnsi" w:hAnsiTheme="minorHAnsi" w:cstheme="minorHAnsi"/>
          <w:sz w:val="20"/>
          <w:szCs w:val="20"/>
        </w:rPr>
        <w:footnoteReference w:id="17"/>
      </w:r>
      <w:r w:rsidRPr="0043215C">
        <w:rPr>
          <w:rFonts w:asciiTheme="minorHAnsi" w:hAnsiTheme="minorHAnsi" w:cstheme="minorHAnsi"/>
          <w:sz w:val="20"/>
          <w:szCs w:val="20"/>
        </w:rPr>
        <w:t>.</w:t>
      </w:r>
    </w:p>
    <w:p w14:paraId="40C734B3" w14:textId="77777777" w:rsidR="009C3A57" w:rsidRPr="0043215C" w:rsidRDefault="009C3A57" w:rsidP="009C3A57">
      <w:pPr>
        <w:pStyle w:val="BodyText"/>
        <w:jc w:val="both"/>
        <w:rPr>
          <w:rFonts w:asciiTheme="minorHAnsi" w:hAnsiTheme="minorHAnsi" w:cstheme="minorHAnsi"/>
          <w:b/>
          <w:sz w:val="20"/>
          <w:szCs w:val="20"/>
        </w:rPr>
      </w:pPr>
    </w:p>
    <w:p w14:paraId="5AAAAA39" w14:textId="5ED02AC9" w:rsidR="000D198D" w:rsidRPr="0043215C" w:rsidRDefault="008E533E" w:rsidP="009C3A57">
      <w:pPr>
        <w:pStyle w:val="BodyText"/>
        <w:jc w:val="both"/>
        <w:rPr>
          <w:rFonts w:asciiTheme="minorHAnsi" w:hAnsiTheme="minorHAnsi" w:cstheme="minorHAnsi"/>
          <w:sz w:val="20"/>
          <w:szCs w:val="20"/>
        </w:rPr>
      </w:pPr>
      <w:r w:rsidRPr="0043215C">
        <w:rPr>
          <w:rFonts w:asciiTheme="minorHAnsi" w:hAnsiTheme="minorHAnsi" w:cstheme="minorHAnsi"/>
          <w:b/>
          <w:bCs/>
          <w:sz w:val="20"/>
          <w:szCs w:val="20"/>
        </w:rPr>
        <w:t>E</w:t>
      </w:r>
      <w:r w:rsidR="000D198D" w:rsidRPr="0043215C">
        <w:rPr>
          <w:rFonts w:asciiTheme="minorHAnsi" w:hAnsiTheme="minorHAnsi" w:cstheme="minorHAnsi"/>
          <w:b/>
          <w:bCs/>
          <w:sz w:val="20"/>
          <w:szCs w:val="20"/>
        </w:rPr>
        <w:t xml:space="preserve">fforts are underway to implement the Emission Trading System </w:t>
      </w:r>
      <w:proofErr w:type="gramStart"/>
      <w:r w:rsidR="000D198D" w:rsidRPr="0043215C">
        <w:rPr>
          <w:rFonts w:asciiTheme="minorHAnsi" w:hAnsiTheme="minorHAnsi" w:cstheme="minorHAnsi"/>
          <w:b/>
          <w:bCs/>
          <w:sz w:val="20"/>
          <w:szCs w:val="20"/>
        </w:rPr>
        <w:t>in order to</w:t>
      </w:r>
      <w:proofErr w:type="gramEnd"/>
      <w:r w:rsidR="000D198D" w:rsidRPr="0043215C">
        <w:rPr>
          <w:rFonts w:asciiTheme="minorHAnsi" w:hAnsiTheme="minorHAnsi" w:cstheme="minorHAnsi"/>
          <w:b/>
          <w:bCs/>
          <w:sz w:val="20"/>
          <w:szCs w:val="20"/>
        </w:rPr>
        <w:t xml:space="preserve"> control emissions and maintain a healthy trade with the European Union.</w:t>
      </w:r>
      <w:r w:rsidR="000D198D" w:rsidRPr="0043215C">
        <w:rPr>
          <w:rFonts w:asciiTheme="minorHAnsi" w:hAnsiTheme="minorHAnsi" w:cstheme="minorHAnsi"/>
          <w:sz w:val="20"/>
          <w:szCs w:val="20"/>
        </w:rPr>
        <w:t xml:space="preserve"> For this purpose, a Partnership of Market Readiness (PMR) project with the World Bank on Carbon Markets was carried out and this technical assistance project, which lasted for approximately 7 years, was completed and it was concluded that the most accurate market-based mechanism is the Emission Trading System (ETS). Following this study, the "Carbon Market Implementation Partnership-PMI" project was commissioned with the World Bank in April 2022. As a result of all opinions and evaluations, a recommendation was made for the establishment of ETS in </w:t>
      </w:r>
      <w:r w:rsidR="00770032" w:rsidRPr="0043215C">
        <w:rPr>
          <w:rFonts w:asciiTheme="minorHAnsi" w:hAnsiTheme="minorHAnsi" w:cstheme="minorHAnsi"/>
          <w:sz w:val="20"/>
          <w:szCs w:val="20"/>
        </w:rPr>
        <w:t>Türkiye</w:t>
      </w:r>
      <w:r w:rsidR="000D198D" w:rsidRPr="0043215C">
        <w:rPr>
          <w:rFonts w:asciiTheme="minorHAnsi" w:hAnsiTheme="minorHAnsi" w:cstheme="minorHAnsi"/>
          <w:sz w:val="20"/>
          <w:szCs w:val="20"/>
        </w:rPr>
        <w:t xml:space="preserve"> and its implementation as a pilot in 2024. EP</w:t>
      </w:r>
      <w:r w:rsidR="00D26853" w:rsidRPr="0043215C">
        <w:rPr>
          <w:rFonts w:asciiTheme="minorHAnsi" w:hAnsiTheme="minorHAnsi" w:cstheme="minorHAnsi"/>
          <w:sz w:val="20"/>
          <w:szCs w:val="20"/>
        </w:rPr>
        <w:t>I</w:t>
      </w:r>
      <w:r w:rsidR="000D198D" w:rsidRPr="0043215C">
        <w:rPr>
          <w:rFonts w:asciiTheme="minorHAnsi" w:hAnsiTheme="minorHAnsi" w:cstheme="minorHAnsi"/>
          <w:sz w:val="20"/>
          <w:szCs w:val="20"/>
        </w:rPr>
        <w:t>A</w:t>
      </w:r>
      <w:r w:rsidR="00D26853" w:rsidRPr="0043215C">
        <w:rPr>
          <w:rFonts w:asciiTheme="minorHAnsi" w:hAnsiTheme="minorHAnsi" w:cstheme="minorHAnsi"/>
          <w:sz w:val="20"/>
          <w:szCs w:val="20"/>
        </w:rPr>
        <w:t>S</w:t>
      </w:r>
      <w:r w:rsidR="000D198D" w:rsidRPr="0043215C">
        <w:rPr>
          <w:rFonts w:asciiTheme="minorHAnsi" w:hAnsiTheme="minorHAnsi" w:cstheme="minorHAnsi"/>
          <w:sz w:val="20"/>
          <w:szCs w:val="20"/>
        </w:rPr>
        <w:t xml:space="preserve"> has announced that, EEX, an energy exchange that has been organizing emission allocation tenders since 2010, and EP</w:t>
      </w:r>
      <w:r w:rsidR="00D26853" w:rsidRPr="0043215C">
        <w:rPr>
          <w:rFonts w:asciiTheme="minorHAnsi" w:hAnsiTheme="minorHAnsi" w:cstheme="minorHAnsi"/>
          <w:sz w:val="20"/>
          <w:szCs w:val="20"/>
        </w:rPr>
        <w:t>I</w:t>
      </w:r>
      <w:r w:rsidR="000D198D" w:rsidRPr="0043215C">
        <w:rPr>
          <w:rFonts w:asciiTheme="minorHAnsi" w:hAnsiTheme="minorHAnsi" w:cstheme="minorHAnsi"/>
          <w:sz w:val="20"/>
          <w:szCs w:val="20"/>
        </w:rPr>
        <w:t>A</w:t>
      </w:r>
      <w:r w:rsidR="00D26853" w:rsidRPr="0043215C">
        <w:rPr>
          <w:rFonts w:asciiTheme="minorHAnsi" w:hAnsiTheme="minorHAnsi" w:cstheme="minorHAnsi"/>
          <w:sz w:val="20"/>
          <w:szCs w:val="20"/>
        </w:rPr>
        <w:t>S</w:t>
      </w:r>
      <w:r w:rsidR="000D198D" w:rsidRPr="0043215C">
        <w:rPr>
          <w:rFonts w:asciiTheme="minorHAnsi" w:hAnsiTheme="minorHAnsi" w:cstheme="minorHAnsi"/>
          <w:sz w:val="20"/>
          <w:szCs w:val="20"/>
        </w:rPr>
        <w:t xml:space="preserve">, </w:t>
      </w:r>
      <w:r w:rsidR="00B56874" w:rsidRPr="0043215C">
        <w:rPr>
          <w:rFonts w:asciiTheme="minorHAnsi" w:hAnsiTheme="minorHAnsi" w:cstheme="minorHAnsi"/>
          <w:sz w:val="20"/>
          <w:szCs w:val="20"/>
        </w:rPr>
        <w:t>Türkiye</w:t>
      </w:r>
      <w:r w:rsidR="000D198D" w:rsidRPr="0043215C">
        <w:rPr>
          <w:rFonts w:asciiTheme="minorHAnsi" w:hAnsiTheme="minorHAnsi" w:cstheme="minorHAnsi"/>
          <w:sz w:val="20"/>
          <w:szCs w:val="20"/>
        </w:rPr>
        <w:t xml:space="preserve">'s energy exchange, will develop a partnership for the development of the ETS system, which will ensure the establishment of a carbon market in </w:t>
      </w:r>
      <w:r w:rsidR="00552B5F" w:rsidRPr="0043215C">
        <w:rPr>
          <w:rFonts w:asciiTheme="minorHAnsi" w:hAnsiTheme="minorHAnsi" w:cstheme="minorHAnsi"/>
          <w:sz w:val="20"/>
          <w:szCs w:val="20"/>
        </w:rPr>
        <w:t>Türkiye</w:t>
      </w:r>
      <w:r w:rsidR="000D198D" w:rsidRPr="0043215C">
        <w:rPr>
          <w:rFonts w:asciiTheme="minorHAnsi" w:hAnsiTheme="minorHAnsi" w:cstheme="minorHAnsi"/>
          <w:sz w:val="20"/>
          <w:szCs w:val="20"/>
        </w:rPr>
        <w:t xml:space="preserve"> and that the practices are compatible with the EU. A memorandum of understanding on the subject was signed by the parties on February 28, 2024. Moreover, Energy Market Regulatory Authority (EMRA) publicized a draft communique </w:t>
      </w:r>
      <w:proofErr w:type="gramStart"/>
      <w:r w:rsidR="000D198D" w:rsidRPr="0043215C">
        <w:rPr>
          <w:rFonts w:asciiTheme="minorHAnsi" w:hAnsiTheme="minorHAnsi" w:cstheme="minorHAnsi"/>
          <w:sz w:val="20"/>
          <w:szCs w:val="20"/>
        </w:rPr>
        <w:t>so as to</w:t>
      </w:r>
      <w:proofErr w:type="gramEnd"/>
      <w:r w:rsidR="000D198D" w:rsidRPr="0043215C">
        <w:rPr>
          <w:rFonts w:asciiTheme="minorHAnsi" w:hAnsiTheme="minorHAnsi" w:cstheme="minorHAnsi"/>
          <w:sz w:val="20"/>
          <w:szCs w:val="20"/>
        </w:rPr>
        <w:t xml:space="preserve"> operate carbon markets. </w:t>
      </w:r>
    </w:p>
    <w:p w14:paraId="2E62EF9B" w14:textId="77777777" w:rsidR="00025BF2" w:rsidRPr="0043215C" w:rsidRDefault="00025BF2" w:rsidP="00127197">
      <w:pPr>
        <w:pStyle w:val="BodyText"/>
        <w:rPr>
          <w:rFonts w:asciiTheme="minorHAnsi" w:hAnsiTheme="minorHAnsi" w:cstheme="minorHAnsi"/>
          <w:sz w:val="20"/>
          <w:szCs w:val="20"/>
        </w:rPr>
      </w:pPr>
    </w:p>
    <w:p w14:paraId="55A71AC3" w14:textId="361D6D6B" w:rsidR="006A11AC" w:rsidRPr="0043215C" w:rsidRDefault="006A11AC" w:rsidP="009B6D7D">
      <w:pPr>
        <w:pStyle w:val="Heading2"/>
        <w:tabs>
          <w:tab w:val="left" w:pos="7978"/>
        </w:tabs>
        <w:spacing w:before="0" w:line="240" w:lineRule="auto"/>
        <w:rPr>
          <w:rFonts w:cstheme="minorHAnsi"/>
          <w:sz w:val="20"/>
          <w:szCs w:val="20"/>
        </w:rPr>
      </w:pPr>
      <w:bookmarkStart w:id="35" w:name="_Toc162898761"/>
      <w:bookmarkStart w:id="36" w:name="_Toc162898823"/>
      <w:bookmarkStart w:id="37" w:name="_Toc162962944"/>
      <w:bookmarkStart w:id="38" w:name="_Toc162964121"/>
      <w:bookmarkStart w:id="39" w:name="_Toc170319820"/>
      <w:r w:rsidRPr="0043215C">
        <w:rPr>
          <w:rFonts w:cstheme="minorHAnsi"/>
          <w:sz w:val="20"/>
          <w:szCs w:val="20"/>
        </w:rPr>
        <w:lastRenderedPageBreak/>
        <w:t>Gap/Barrier Analysis and Needs Assessment</w:t>
      </w:r>
      <w:bookmarkEnd w:id="35"/>
      <w:bookmarkEnd w:id="36"/>
      <w:bookmarkEnd w:id="37"/>
      <w:bookmarkEnd w:id="38"/>
      <w:bookmarkEnd w:id="39"/>
      <w:r w:rsidRPr="0043215C">
        <w:rPr>
          <w:rFonts w:cstheme="minorHAnsi"/>
          <w:sz w:val="20"/>
          <w:szCs w:val="20"/>
        </w:rPr>
        <w:t xml:space="preserve"> </w:t>
      </w:r>
      <w:r w:rsidR="009B6D7D" w:rsidRPr="0043215C">
        <w:rPr>
          <w:rFonts w:cstheme="minorHAnsi"/>
          <w:sz w:val="20"/>
          <w:szCs w:val="20"/>
        </w:rPr>
        <w:tab/>
      </w:r>
    </w:p>
    <w:p w14:paraId="291E7CD0" w14:textId="77777777" w:rsidR="00025BF2" w:rsidRPr="0043215C" w:rsidRDefault="00025BF2" w:rsidP="00BA5A4F">
      <w:pPr>
        <w:pStyle w:val="Heading2"/>
        <w:spacing w:before="0" w:line="240" w:lineRule="auto"/>
        <w:rPr>
          <w:rStyle w:val="Heading2Char"/>
          <w:rFonts w:cstheme="minorHAnsi"/>
          <w:sz w:val="20"/>
          <w:szCs w:val="20"/>
        </w:rPr>
      </w:pPr>
      <w:bookmarkStart w:id="40" w:name="_Toc162449720"/>
    </w:p>
    <w:p w14:paraId="5605FF47" w14:textId="26FE7F7B" w:rsidR="008E533E" w:rsidRPr="009E3F7E" w:rsidRDefault="006A11AC" w:rsidP="059B78C6">
      <w:pPr>
        <w:pStyle w:val="Heading4"/>
        <w:spacing w:before="0" w:line="240" w:lineRule="auto"/>
        <w:rPr>
          <w:rFonts w:asciiTheme="minorHAnsi" w:hAnsiTheme="minorHAnsi" w:cstheme="minorBidi"/>
          <w:sz w:val="20"/>
          <w:szCs w:val="20"/>
        </w:rPr>
      </w:pPr>
      <w:bookmarkStart w:id="41" w:name="_Toc162898762"/>
      <w:bookmarkStart w:id="42" w:name="_Toc162898824"/>
      <w:bookmarkStart w:id="43" w:name="_Toc162962945"/>
      <w:bookmarkStart w:id="44" w:name="_Toc162964122"/>
      <w:bookmarkStart w:id="45" w:name="_Toc170319821"/>
      <w:r w:rsidRPr="059B78C6">
        <w:rPr>
          <w:rStyle w:val="Heading2Char"/>
          <w:rFonts w:asciiTheme="minorHAnsi" w:hAnsiTheme="minorHAnsi" w:cstheme="minorBidi"/>
          <w:sz w:val="20"/>
          <w:szCs w:val="20"/>
        </w:rPr>
        <w:t>Political, Social and Economic Barriers</w:t>
      </w:r>
      <w:bookmarkEnd w:id="40"/>
      <w:bookmarkEnd w:id="41"/>
      <w:bookmarkEnd w:id="42"/>
      <w:bookmarkEnd w:id="43"/>
      <w:bookmarkEnd w:id="44"/>
      <w:bookmarkEnd w:id="45"/>
    </w:p>
    <w:p w14:paraId="09C28F37" w14:textId="59844166" w:rsidR="059B78C6" w:rsidRDefault="059B78C6" w:rsidP="059B78C6"/>
    <w:p w14:paraId="3F3B5975" w14:textId="46F5929A" w:rsidR="006A11AC" w:rsidRPr="0043215C" w:rsidRDefault="006A11AC" w:rsidP="008E533E">
      <w:pPr>
        <w:pStyle w:val="BodyText"/>
        <w:jc w:val="both"/>
        <w:rPr>
          <w:rFonts w:asciiTheme="minorHAnsi" w:hAnsiTheme="minorHAnsi" w:cstheme="minorHAnsi"/>
          <w:sz w:val="20"/>
          <w:szCs w:val="20"/>
        </w:rPr>
      </w:pPr>
      <w:r w:rsidRPr="0043215C">
        <w:rPr>
          <w:rFonts w:asciiTheme="minorHAnsi" w:hAnsiTheme="minorHAnsi" w:cstheme="minorHAnsi"/>
          <w:b/>
          <w:sz w:val="20"/>
          <w:szCs w:val="20"/>
        </w:rPr>
        <w:t xml:space="preserve">Main concern of the </w:t>
      </w:r>
      <w:r w:rsidR="00B04034" w:rsidRPr="0043215C">
        <w:rPr>
          <w:rFonts w:asciiTheme="minorHAnsi" w:hAnsiTheme="minorHAnsi" w:cstheme="minorHAnsi"/>
          <w:b/>
          <w:sz w:val="20"/>
          <w:szCs w:val="20"/>
        </w:rPr>
        <w:t>government</w:t>
      </w:r>
      <w:r w:rsidRPr="0043215C">
        <w:rPr>
          <w:rFonts w:asciiTheme="minorHAnsi" w:hAnsiTheme="minorHAnsi" w:cstheme="minorHAnsi"/>
          <w:b/>
          <w:sz w:val="20"/>
          <w:szCs w:val="20"/>
        </w:rPr>
        <w:t xml:space="preserve"> is the end-user </w:t>
      </w:r>
      <w:r w:rsidR="006715DD" w:rsidRPr="0043215C">
        <w:rPr>
          <w:rFonts w:asciiTheme="minorHAnsi" w:hAnsiTheme="minorHAnsi" w:cstheme="minorHAnsi"/>
          <w:b/>
          <w:sz w:val="20"/>
          <w:szCs w:val="20"/>
        </w:rPr>
        <w:t xml:space="preserve">consumer </w:t>
      </w:r>
      <w:r w:rsidRPr="0043215C">
        <w:rPr>
          <w:rFonts w:asciiTheme="minorHAnsi" w:hAnsiTheme="minorHAnsi" w:cstheme="minorHAnsi"/>
          <w:b/>
          <w:sz w:val="20"/>
          <w:szCs w:val="20"/>
        </w:rPr>
        <w:t>price of the electricit</w:t>
      </w:r>
      <w:r w:rsidR="006715DD" w:rsidRPr="0043215C">
        <w:rPr>
          <w:rFonts w:asciiTheme="minorHAnsi" w:hAnsiTheme="minorHAnsi" w:cstheme="minorHAnsi"/>
          <w:b/>
          <w:sz w:val="20"/>
          <w:szCs w:val="20"/>
        </w:rPr>
        <w:t>y</w:t>
      </w:r>
      <w:r w:rsidRPr="0043215C">
        <w:rPr>
          <w:rFonts w:asciiTheme="minorHAnsi" w:hAnsiTheme="minorHAnsi" w:cstheme="minorHAnsi"/>
          <w:b/>
          <w:sz w:val="20"/>
          <w:szCs w:val="20"/>
        </w:rPr>
        <w:t xml:space="preserve">. </w:t>
      </w:r>
      <w:r w:rsidRPr="0043215C">
        <w:rPr>
          <w:rFonts w:asciiTheme="minorHAnsi" w:hAnsiTheme="minorHAnsi" w:cstheme="minorHAnsi"/>
          <w:sz w:val="20"/>
          <w:szCs w:val="20"/>
        </w:rPr>
        <w:t xml:space="preserve">Concern emerges due to social-political and economic contexts of the electricity which have a considerable impact on electoral voting behavior. </w:t>
      </w:r>
    </w:p>
    <w:p w14:paraId="35513ADF" w14:textId="77777777" w:rsidR="00B16D49" w:rsidRPr="0043215C" w:rsidRDefault="00B16D49" w:rsidP="00025BF2">
      <w:pPr>
        <w:pStyle w:val="BodyText"/>
        <w:jc w:val="both"/>
        <w:rPr>
          <w:rFonts w:asciiTheme="minorHAnsi" w:hAnsiTheme="minorHAnsi" w:cstheme="minorHAnsi"/>
          <w:sz w:val="20"/>
          <w:szCs w:val="20"/>
        </w:rPr>
      </w:pPr>
    </w:p>
    <w:p w14:paraId="62E3B2EC" w14:textId="5BAB6AA4" w:rsidR="006A11AC" w:rsidRPr="0043215C" w:rsidRDefault="006A11AC" w:rsidP="00025BF2">
      <w:pPr>
        <w:pStyle w:val="BodyText"/>
        <w:jc w:val="both"/>
        <w:rPr>
          <w:rFonts w:asciiTheme="minorHAnsi" w:hAnsiTheme="minorHAnsi" w:cstheme="minorBidi"/>
          <w:sz w:val="20"/>
          <w:szCs w:val="20"/>
        </w:rPr>
      </w:pPr>
      <w:r w:rsidRPr="17ED3226">
        <w:rPr>
          <w:rFonts w:asciiTheme="minorHAnsi" w:hAnsiTheme="minorHAnsi" w:cstheme="minorBidi"/>
          <w:b/>
          <w:sz w:val="20"/>
          <w:szCs w:val="20"/>
        </w:rPr>
        <w:t>At the social-political context, households and SMEs are extremely sensitive to the electricity prices and they protest high prices</w:t>
      </w:r>
      <w:r w:rsidR="002D7C35" w:rsidRPr="17ED3226">
        <w:rPr>
          <w:rFonts w:asciiTheme="minorHAnsi" w:hAnsiTheme="minorHAnsi" w:cstheme="minorBidi"/>
          <w:b/>
          <w:sz w:val="20"/>
          <w:szCs w:val="20"/>
        </w:rPr>
        <w:t xml:space="preserve">, thus </w:t>
      </w:r>
      <w:r w:rsidR="000F278D" w:rsidRPr="17ED3226">
        <w:rPr>
          <w:rFonts w:asciiTheme="minorHAnsi" w:hAnsiTheme="minorHAnsi" w:cstheme="minorBidi"/>
          <w:b/>
          <w:sz w:val="20"/>
          <w:szCs w:val="20"/>
        </w:rPr>
        <w:t xml:space="preserve">these are </w:t>
      </w:r>
      <w:r w:rsidR="002D7C35" w:rsidRPr="17ED3226">
        <w:rPr>
          <w:rFonts w:asciiTheme="minorHAnsi" w:hAnsiTheme="minorHAnsi" w:cstheme="minorBidi"/>
          <w:b/>
          <w:sz w:val="20"/>
          <w:szCs w:val="20"/>
        </w:rPr>
        <w:t>subsidized by the government</w:t>
      </w:r>
      <w:r w:rsidRPr="17ED3226">
        <w:rPr>
          <w:rFonts w:asciiTheme="minorHAnsi" w:hAnsiTheme="minorHAnsi" w:cstheme="minorBidi"/>
          <w:b/>
          <w:sz w:val="20"/>
          <w:szCs w:val="20"/>
        </w:rPr>
        <w:t xml:space="preserve">. </w:t>
      </w:r>
      <w:r w:rsidRPr="17ED3226">
        <w:rPr>
          <w:rFonts w:asciiTheme="minorHAnsi" w:hAnsiTheme="minorHAnsi" w:cstheme="minorBidi"/>
          <w:sz w:val="20"/>
          <w:szCs w:val="20"/>
        </w:rPr>
        <w:t xml:space="preserve">Since there have been many elections and referendums in recent years, </w:t>
      </w:r>
      <w:r w:rsidR="30936F53" w:rsidRPr="17ED3226">
        <w:rPr>
          <w:rFonts w:asciiTheme="minorHAnsi" w:hAnsiTheme="minorHAnsi" w:cstheme="minorBidi"/>
          <w:sz w:val="20"/>
          <w:szCs w:val="20"/>
        </w:rPr>
        <w:t xml:space="preserve">the </w:t>
      </w:r>
      <w:r w:rsidR="008A646B" w:rsidRPr="17ED3226">
        <w:rPr>
          <w:rFonts w:asciiTheme="minorHAnsi" w:hAnsiTheme="minorHAnsi" w:cstheme="minorBidi"/>
          <w:sz w:val="20"/>
          <w:szCs w:val="20"/>
        </w:rPr>
        <w:t>Ministry</w:t>
      </w:r>
      <w:r w:rsidR="00142972" w:rsidRPr="17ED3226">
        <w:rPr>
          <w:rFonts w:asciiTheme="minorHAnsi" w:hAnsiTheme="minorHAnsi" w:cstheme="minorBidi"/>
          <w:sz w:val="20"/>
          <w:szCs w:val="20"/>
        </w:rPr>
        <w:t xml:space="preserve"> of Energy and National Resources (</w:t>
      </w:r>
      <w:r w:rsidRPr="17ED3226">
        <w:rPr>
          <w:rFonts w:asciiTheme="minorHAnsi" w:hAnsiTheme="minorHAnsi" w:cstheme="minorBidi"/>
          <w:sz w:val="20"/>
          <w:szCs w:val="20"/>
        </w:rPr>
        <w:t>MENR</w:t>
      </w:r>
      <w:r w:rsidR="00142972" w:rsidRPr="17ED3226">
        <w:rPr>
          <w:rFonts w:asciiTheme="minorHAnsi" w:hAnsiTheme="minorHAnsi" w:cstheme="minorBidi"/>
          <w:sz w:val="20"/>
          <w:szCs w:val="20"/>
        </w:rPr>
        <w:t>)</w:t>
      </w:r>
      <w:r w:rsidR="00A80F6C" w:rsidRPr="17ED3226">
        <w:rPr>
          <w:rFonts w:asciiTheme="minorHAnsi" w:hAnsiTheme="minorHAnsi" w:cstheme="minorBidi"/>
          <w:sz w:val="20"/>
          <w:szCs w:val="20"/>
        </w:rPr>
        <w:t xml:space="preserve">, </w:t>
      </w:r>
      <w:r w:rsidR="00EA377A" w:rsidRPr="17ED3226">
        <w:rPr>
          <w:rFonts w:asciiTheme="minorHAnsi" w:hAnsiTheme="minorHAnsi" w:cstheme="minorBidi"/>
          <w:sz w:val="20"/>
          <w:szCs w:val="20"/>
        </w:rPr>
        <w:t>Electricity</w:t>
      </w:r>
      <w:r w:rsidR="008E27D9" w:rsidRPr="17ED3226">
        <w:rPr>
          <w:rFonts w:asciiTheme="minorHAnsi" w:hAnsiTheme="minorHAnsi" w:cstheme="minorBidi"/>
          <w:sz w:val="20"/>
          <w:szCs w:val="20"/>
        </w:rPr>
        <w:t xml:space="preserve"> Generation </w:t>
      </w:r>
      <w:r w:rsidR="00EA377A" w:rsidRPr="17ED3226">
        <w:rPr>
          <w:rFonts w:asciiTheme="minorHAnsi" w:hAnsiTheme="minorHAnsi" w:cstheme="minorBidi"/>
          <w:sz w:val="20"/>
          <w:szCs w:val="20"/>
        </w:rPr>
        <w:t>Corporation</w:t>
      </w:r>
      <w:r w:rsidR="008A646B" w:rsidRPr="17ED3226">
        <w:rPr>
          <w:rFonts w:asciiTheme="minorHAnsi" w:hAnsiTheme="minorHAnsi" w:cstheme="minorBidi"/>
          <w:sz w:val="20"/>
          <w:szCs w:val="20"/>
        </w:rPr>
        <w:t xml:space="preserve"> (</w:t>
      </w:r>
      <w:r w:rsidRPr="17ED3226">
        <w:rPr>
          <w:rFonts w:asciiTheme="minorHAnsi" w:hAnsiTheme="minorHAnsi" w:cstheme="minorBidi"/>
          <w:sz w:val="20"/>
          <w:szCs w:val="20"/>
        </w:rPr>
        <w:t>EUAS</w:t>
      </w:r>
      <w:r w:rsidR="008A646B" w:rsidRPr="17ED3226">
        <w:rPr>
          <w:rFonts w:asciiTheme="minorHAnsi" w:hAnsiTheme="minorHAnsi" w:cstheme="minorBidi"/>
          <w:sz w:val="20"/>
          <w:szCs w:val="20"/>
        </w:rPr>
        <w:t>)</w:t>
      </w:r>
      <w:r w:rsidRPr="17ED3226">
        <w:rPr>
          <w:rFonts w:asciiTheme="minorHAnsi" w:hAnsiTheme="minorHAnsi" w:cstheme="minorBidi"/>
          <w:sz w:val="20"/>
          <w:szCs w:val="20"/>
        </w:rPr>
        <w:t xml:space="preserve"> and EMRA put joint effort to subsidize end-user electricity prices. EMRA legislated gradual tariffs for households and commercial customers depending on the daily consumption. These tariffs have been highly subsidized by </w:t>
      </w:r>
      <w:r w:rsidR="00102716" w:rsidRPr="17ED3226">
        <w:rPr>
          <w:rFonts w:asciiTheme="minorHAnsi" w:hAnsiTheme="minorHAnsi" w:cstheme="minorBidi"/>
          <w:sz w:val="20"/>
          <w:szCs w:val="20"/>
        </w:rPr>
        <w:t>EUAS,</w:t>
      </w:r>
      <w:r w:rsidRPr="17ED3226">
        <w:rPr>
          <w:rFonts w:asciiTheme="minorHAnsi" w:hAnsiTheme="minorHAnsi" w:cstheme="minorBidi"/>
          <w:sz w:val="20"/>
          <w:szCs w:val="20"/>
        </w:rPr>
        <w:t xml:space="preserve"> and they </w:t>
      </w:r>
      <w:r w:rsidR="001E4EF8" w:rsidRPr="17ED3226">
        <w:rPr>
          <w:rFonts w:asciiTheme="minorHAnsi" w:hAnsiTheme="minorHAnsi" w:cstheme="minorBidi"/>
          <w:sz w:val="20"/>
          <w:szCs w:val="20"/>
        </w:rPr>
        <w:t>have been</w:t>
      </w:r>
      <w:r w:rsidRPr="17ED3226">
        <w:rPr>
          <w:rFonts w:asciiTheme="minorHAnsi" w:hAnsiTheme="minorHAnsi" w:cstheme="minorBidi"/>
          <w:sz w:val="20"/>
          <w:szCs w:val="20"/>
        </w:rPr>
        <w:t xml:space="preserve"> far from being cost reflective. According to </w:t>
      </w:r>
      <w:r w:rsidR="002D7C35" w:rsidRPr="17ED3226">
        <w:rPr>
          <w:rFonts w:asciiTheme="minorHAnsi" w:hAnsiTheme="minorHAnsi" w:cstheme="minorBidi"/>
          <w:sz w:val="20"/>
          <w:szCs w:val="20"/>
        </w:rPr>
        <w:t xml:space="preserve">the </w:t>
      </w:r>
      <w:r w:rsidRPr="17ED3226">
        <w:rPr>
          <w:rFonts w:asciiTheme="minorHAnsi" w:hAnsiTheme="minorHAnsi" w:cstheme="minorBidi"/>
          <w:sz w:val="20"/>
          <w:szCs w:val="20"/>
        </w:rPr>
        <w:t xml:space="preserve">statements of </w:t>
      </w:r>
      <w:r w:rsidR="00B04034" w:rsidRPr="17ED3226">
        <w:rPr>
          <w:rFonts w:asciiTheme="minorHAnsi" w:hAnsiTheme="minorHAnsi" w:cstheme="minorBidi"/>
          <w:sz w:val="20"/>
          <w:szCs w:val="20"/>
        </w:rPr>
        <w:t>government</w:t>
      </w:r>
      <w:r w:rsidRPr="17ED3226">
        <w:rPr>
          <w:rFonts w:asciiTheme="minorHAnsi" w:hAnsiTheme="minorHAnsi" w:cstheme="minorBidi"/>
          <w:sz w:val="20"/>
          <w:szCs w:val="20"/>
        </w:rPr>
        <w:t xml:space="preserve"> officials, 50% of household electricity and 75% of the natural gas consumption of households are subsidized. </w:t>
      </w:r>
    </w:p>
    <w:p w14:paraId="63736F5F" w14:textId="77777777" w:rsidR="00545EC9" w:rsidRPr="0043215C" w:rsidRDefault="00545EC9" w:rsidP="00025BF2">
      <w:pPr>
        <w:pStyle w:val="BodyText"/>
        <w:jc w:val="both"/>
        <w:rPr>
          <w:rFonts w:asciiTheme="minorHAnsi" w:hAnsiTheme="minorHAnsi" w:cstheme="minorHAnsi"/>
          <w:sz w:val="20"/>
          <w:szCs w:val="20"/>
        </w:rPr>
      </w:pPr>
    </w:p>
    <w:p w14:paraId="5453E445" w14:textId="55E3BA8E" w:rsidR="006A11AC" w:rsidRPr="0043215C" w:rsidRDefault="006A11AC" w:rsidP="00025BF2">
      <w:pPr>
        <w:pStyle w:val="BodyText"/>
        <w:jc w:val="both"/>
        <w:rPr>
          <w:rFonts w:asciiTheme="minorHAnsi" w:hAnsiTheme="minorHAnsi" w:cstheme="minorHAnsi"/>
          <w:sz w:val="20"/>
          <w:szCs w:val="20"/>
        </w:rPr>
      </w:pPr>
      <w:r w:rsidRPr="0043215C">
        <w:rPr>
          <w:rFonts w:asciiTheme="minorHAnsi" w:hAnsiTheme="minorHAnsi" w:cstheme="minorHAnsi"/>
          <w:b/>
          <w:sz w:val="20"/>
          <w:szCs w:val="20"/>
        </w:rPr>
        <w:t xml:space="preserve">Subsidies via end-user tariffs lead to a deterioration in the working capital of the investors whereas create a burden on the </w:t>
      </w:r>
      <w:r w:rsidR="00B04034" w:rsidRPr="0043215C">
        <w:rPr>
          <w:rFonts w:asciiTheme="minorHAnsi" w:hAnsiTheme="minorHAnsi" w:cstheme="minorHAnsi"/>
          <w:b/>
          <w:sz w:val="20"/>
          <w:szCs w:val="20"/>
        </w:rPr>
        <w:t>government</w:t>
      </w:r>
      <w:r w:rsidRPr="0043215C">
        <w:rPr>
          <w:rFonts w:asciiTheme="minorHAnsi" w:hAnsiTheme="minorHAnsi" w:cstheme="minorHAnsi"/>
          <w:b/>
          <w:sz w:val="20"/>
          <w:szCs w:val="20"/>
        </w:rPr>
        <w:t xml:space="preserve"> budget.</w:t>
      </w:r>
      <w:r w:rsidRPr="0043215C">
        <w:rPr>
          <w:rFonts w:asciiTheme="minorHAnsi" w:hAnsiTheme="minorHAnsi" w:cstheme="minorHAnsi"/>
          <w:sz w:val="20"/>
          <w:szCs w:val="20"/>
        </w:rPr>
        <w:t xml:space="preserve"> The deterioration in working capital affected all the energy value chain from distribution to retail sales and from electricity generation to natural gas since companies faced tariff deficits. State owned companies such as EUAS and </w:t>
      </w:r>
      <w:r w:rsidR="00A10D22" w:rsidRPr="0043215C">
        <w:rPr>
          <w:rFonts w:asciiTheme="minorHAnsi" w:hAnsiTheme="minorHAnsi" w:cstheme="minorHAnsi"/>
          <w:sz w:val="20"/>
          <w:szCs w:val="20"/>
        </w:rPr>
        <w:t>Petroleum Pipeline Company (</w:t>
      </w:r>
      <w:r w:rsidRPr="0043215C">
        <w:rPr>
          <w:rFonts w:asciiTheme="minorHAnsi" w:hAnsiTheme="minorHAnsi" w:cstheme="minorHAnsi"/>
          <w:sz w:val="20"/>
          <w:szCs w:val="20"/>
        </w:rPr>
        <w:t>BOTAS</w:t>
      </w:r>
      <w:r w:rsidR="00A10D22" w:rsidRPr="0043215C">
        <w:rPr>
          <w:rFonts w:asciiTheme="minorHAnsi" w:hAnsiTheme="minorHAnsi" w:cstheme="minorHAnsi"/>
          <w:sz w:val="20"/>
          <w:szCs w:val="20"/>
        </w:rPr>
        <w:t>)</w:t>
      </w:r>
      <w:r w:rsidRPr="0043215C">
        <w:rPr>
          <w:rFonts w:asciiTheme="minorHAnsi" w:hAnsiTheme="minorHAnsi" w:cstheme="minorHAnsi"/>
          <w:sz w:val="20"/>
          <w:szCs w:val="20"/>
        </w:rPr>
        <w:t xml:space="preserve"> </w:t>
      </w:r>
      <w:r w:rsidR="00C77F93" w:rsidRPr="0043215C">
        <w:rPr>
          <w:rFonts w:asciiTheme="minorHAnsi" w:hAnsiTheme="minorHAnsi" w:cstheme="minorHAnsi"/>
          <w:sz w:val="20"/>
          <w:szCs w:val="20"/>
        </w:rPr>
        <w:t>sell</w:t>
      </w:r>
      <w:r w:rsidRPr="0043215C">
        <w:rPr>
          <w:rFonts w:asciiTheme="minorHAnsi" w:hAnsiTheme="minorHAnsi" w:cstheme="minorHAnsi"/>
          <w:sz w:val="20"/>
          <w:szCs w:val="20"/>
        </w:rPr>
        <w:t xml:space="preserve"> electricity and natural gas </w:t>
      </w:r>
      <w:r w:rsidR="00C77F93" w:rsidRPr="0043215C">
        <w:rPr>
          <w:rFonts w:asciiTheme="minorHAnsi" w:hAnsiTheme="minorHAnsi" w:cstheme="minorHAnsi"/>
          <w:sz w:val="20"/>
          <w:szCs w:val="20"/>
        </w:rPr>
        <w:t>below the cost</w:t>
      </w:r>
      <w:r w:rsidR="007A50FB" w:rsidRPr="0043215C">
        <w:rPr>
          <w:rFonts w:asciiTheme="minorHAnsi" w:hAnsiTheme="minorHAnsi" w:cstheme="minorHAnsi"/>
          <w:sz w:val="20"/>
          <w:szCs w:val="20"/>
        </w:rPr>
        <w:t>, and the</w:t>
      </w:r>
      <w:r w:rsidR="005E6F4A" w:rsidRPr="0043215C">
        <w:rPr>
          <w:rFonts w:asciiTheme="minorHAnsi" w:hAnsiTheme="minorHAnsi" w:cstheme="minorHAnsi"/>
          <w:sz w:val="20"/>
          <w:szCs w:val="20"/>
        </w:rPr>
        <w:t>y usually default on their tax to the government</w:t>
      </w:r>
      <w:r w:rsidR="007A50FB" w:rsidRPr="0043215C">
        <w:rPr>
          <w:rFonts w:asciiTheme="minorHAnsi" w:hAnsiTheme="minorHAnsi" w:cstheme="minorHAnsi"/>
          <w:sz w:val="20"/>
          <w:szCs w:val="20"/>
        </w:rPr>
        <w:t>, causing</w:t>
      </w:r>
      <w:r w:rsidRPr="0043215C">
        <w:rPr>
          <w:rFonts w:asciiTheme="minorHAnsi" w:hAnsiTheme="minorHAnsi" w:cstheme="minorHAnsi"/>
          <w:sz w:val="20"/>
          <w:szCs w:val="20"/>
        </w:rPr>
        <w:t xml:space="preserve"> a burden on the budget.</w:t>
      </w:r>
    </w:p>
    <w:p w14:paraId="3B30065D" w14:textId="77777777" w:rsidR="00BA68D0" w:rsidRPr="0043215C" w:rsidRDefault="00BA68D0" w:rsidP="00025BF2">
      <w:pPr>
        <w:pStyle w:val="BodyText"/>
        <w:jc w:val="both"/>
        <w:rPr>
          <w:rFonts w:asciiTheme="minorHAnsi" w:hAnsiTheme="minorHAnsi" w:cstheme="minorHAnsi"/>
          <w:sz w:val="20"/>
          <w:szCs w:val="20"/>
        </w:rPr>
      </w:pPr>
    </w:p>
    <w:p w14:paraId="3169116B" w14:textId="5ABFCC61" w:rsidR="006A11AC" w:rsidRPr="0043215C" w:rsidRDefault="005E6F4A" w:rsidP="00025BF2">
      <w:pPr>
        <w:pStyle w:val="BodyText"/>
        <w:jc w:val="both"/>
        <w:rPr>
          <w:rFonts w:asciiTheme="minorHAnsi" w:hAnsiTheme="minorHAnsi" w:cstheme="minorHAnsi"/>
          <w:sz w:val="20"/>
          <w:szCs w:val="20"/>
        </w:rPr>
      </w:pPr>
      <w:r w:rsidRPr="0043215C">
        <w:rPr>
          <w:rFonts w:asciiTheme="minorHAnsi" w:hAnsiTheme="minorHAnsi" w:cstheme="minorHAnsi"/>
          <w:b/>
          <w:sz w:val="20"/>
          <w:szCs w:val="20"/>
        </w:rPr>
        <w:t>On</w:t>
      </w:r>
      <w:r w:rsidR="006A11AC" w:rsidRPr="0043215C">
        <w:rPr>
          <w:rFonts w:asciiTheme="minorHAnsi" w:hAnsiTheme="minorHAnsi" w:cstheme="minorHAnsi"/>
          <w:b/>
          <w:sz w:val="20"/>
          <w:szCs w:val="20"/>
        </w:rPr>
        <w:t xml:space="preserve"> the economic context, </w:t>
      </w:r>
      <w:r w:rsidR="00B04034" w:rsidRPr="0043215C">
        <w:rPr>
          <w:rFonts w:asciiTheme="minorHAnsi" w:hAnsiTheme="minorHAnsi" w:cstheme="minorHAnsi"/>
          <w:b/>
          <w:sz w:val="20"/>
          <w:szCs w:val="20"/>
        </w:rPr>
        <w:t>government</w:t>
      </w:r>
      <w:r w:rsidR="006A11AC" w:rsidRPr="0043215C">
        <w:rPr>
          <w:rFonts w:asciiTheme="minorHAnsi" w:hAnsiTheme="minorHAnsi" w:cstheme="minorHAnsi"/>
          <w:b/>
          <w:sz w:val="20"/>
          <w:szCs w:val="20"/>
        </w:rPr>
        <w:t xml:space="preserve"> </w:t>
      </w:r>
      <w:r w:rsidRPr="0043215C">
        <w:rPr>
          <w:rFonts w:asciiTheme="minorHAnsi" w:hAnsiTheme="minorHAnsi" w:cstheme="minorHAnsi"/>
          <w:b/>
          <w:sz w:val="20"/>
          <w:szCs w:val="20"/>
        </w:rPr>
        <w:t xml:space="preserve">has </w:t>
      </w:r>
      <w:r w:rsidR="006A11AC" w:rsidRPr="0043215C">
        <w:rPr>
          <w:rFonts w:asciiTheme="minorHAnsi" w:hAnsiTheme="minorHAnsi" w:cstheme="minorHAnsi"/>
          <w:b/>
          <w:sz w:val="20"/>
          <w:szCs w:val="20"/>
        </w:rPr>
        <w:t>aimed to control electricity and natural gas prices since they have an overall impact on the producer and consumer price.</w:t>
      </w:r>
      <w:r w:rsidR="006A11AC" w:rsidRPr="0043215C">
        <w:rPr>
          <w:rFonts w:asciiTheme="minorHAnsi" w:hAnsiTheme="minorHAnsi" w:cstheme="minorHAnsi"/>
          <w:sz w:val="20"/>
          <w:szCs w:val="20"/>
        </w:rPr>
        <w:t xml:space="preserve"> However, cumulative impacts of the price controls grow substantially and become financially unmanageable within the </w:t>
      </w:r>
      <w:r w:rsidR="00B04034" w:rsidRPr="0043215C">
        <w:rPr>
          <w:rFonts w:asciiTheme="minorHAnsi" w:hAnsiTheme="minorHAnsi" w:cstheme="minorHAnsi"/>
          <w:sz w:val="20"/>
          <w:szCs w:val="20"/>
        </w:rPr>
        <w:t>government</w:t>
      </w:r>
      <w:r w:rsidR="006A11AC" w:rsidRPr="0043215C">
        <w:rPr>
          <w:rFonts w:asciiTheme="minorHAnsi" w:hAnsiTheme="minorHAnsi" w:cstheme="minorHAnsi"/>
          <w:sz w:val="20"/>
          <w:szCs w:val="20"/>
        </w:rPr>
        <w:t xml:space="preserve"> budget limits. </w:t>
      </w:r>
    </w:p>
    <w:p w14:paraId="30E52538" w14:textId="77777777" w:rsidR="00B16D49" w:rsidRPr="0043215C" w:rsidRDefault="00B16D49" w:rsidP="00025BF2">
      <w:pPr>
        <w:pStyle w:val="BodyText"/>
        <w:jc w:val="both"/>
        <w:rPr>
          <w:rFonts w:asciiTheme="minorHAnsi" w:hAnsiTheme="minorHAnsi" w:cstheme="minorHAnsi"/>
          <w:b/>
          <w:sz w:val="20"/>
          <w:szCs w:val="20"/>
        </w:rPr>
      </w:pPr>
    </w:p>
    <w:p w14:paraId="26CE145C" w14:textId="65791785" w:rsidR="006A11AC" w:rsidRPr="0043215C" w:rsidRDefault="006A11AC" w:rsidP="00025BF2">
      <w:pPr>
        <w:pStyle w:val="BodyText"/>
        <w:jc w:val="both"/>
        <w:rPr>
          <w:rFonts w:asciiTheme="minorHAnsi" w:hAnsiTheme="minorHAnsi" w:cstheme="minorHAnsi"/>
          <w:sz w:val="20"/>
          <w:szCs w:val="20"/>
        </w:rPr>
      </w:pPr>
      <w:r w:rsidRPr="0043215C">
        <w:rPr>
          <w:rFonts w:asciiTheme="minorHAnsi" w:hAnsiTheme="minorHAnsi" w:cstheme="minorHAnsi"/>
          <w:b/>
          <w:sz w:val="20"/>
          <w:szCs w:val="20"/>
        </w:rPr>
        <w:t xml:space="preserve">All these interrelated political, </w:t>
      </w:r>
      <w:r w:rsidR="002722D9" w:rsidRPr="0043215C">
        <w:rPr>
          <w:rFonts w:asciiTheme="minorHAnsi" w:hAnsiTheme="minorHAnsi" w:cstheme="minorHAnsi"/>
          <w:b/>
          <w:bCs/>
          <w:sz w:val="20"/>
          <w:szCs w:val="20"/>
        </w:rPr>
        <w:t>social,</w:t>
      </w:r>
      <w:r w:rsidRPr="0043215C">
        <w:rPr>
          <w:rFonts w:asciiTheme="minorHAnsi" w:hAnsiTheme="minorHAnsi" w:cstheme="minorHAnsi"/>
          <w:b/>
          <w:sz w:val="20"/>
          <w:szCs w:val="20"/>
        </w:rPr>
        <w:t xml:space="preserve"> and economic concerns deteriorate a well-functioning energy value chain.</w:t>
      </w:r>
      <w:r w:rsidRPr="0043215C">
        <w:rPr>
          <w:rFonts w:asciiTheme="minorHAnsi" w:hAnsiTheme="minorHAnsi" w:cstheme="minorHAnsi"/>
          <w:sz w:val="20"/>
          <w:szCs w:val="20"/>
        </w:rPr>
        <w:t xml:space="preserve"> Both local and foreign investors </w:t>
      </w:r>
      <w:r w:rsidR="009D0FD1" w:rsidRPr="0043215C">
        <w:rPr>
          <w:rFonts w:asciiTheme="minorHAnsi" w:hAnsiTheme="minorHAnsi" w:cstheme="minorHAnsi"/>
          <w:sz w:val="20"/>
          <w:szCs w:val="20"/>
        </w:rPr>
        <w:t xml:space="preserve">have </w:t>
      </w:r>
      <w:r w:rsidRPr="0043215C">
        <w:rPr>
          <w:rFonts w:asciiTheme="minorHAnsi" w:hAnsiTheme="minorHAnsi" w:cstheme="minorHAnsi"/>
          <w:sz w:val="20"/>
          <w:szCs w:val="20"/>
        </w:rPr>
        <w:t xml:space="preserve">lost investment appetite except for the ones with </w:t>
      </w:r>
      <w:r w:rsidR="00E400A4" w:rsidRPr="0043215C">
        <w:rPr>
          <w:rFonts w:asciiTheme="minorHAnsi" w:hAnsiTheme="minorHAnsi" w:cstheme="minorHAnsi"/>
          <w:sz w:val="20"/>
          <w:szCs w:val="20"/>
        </w:rPr>
        <w:t xml:space="preserve">the offtake </w:t>
      </w:r>
      <w:r w:rsidRPr="0043215C">
        <w:rPr>
          <w:rFonts w:asciiTheme="minorHAnsi" w:hAnsiTheme="minorHAnsi" w:cstheme="minorHAnsi"/>
          <w:sz w:val="20"/>
          <w:szCs w:val="20"/>
        </w:rPr>
        <w:t xml:space="preserve">guarantees. Deterioration in the right price signal </w:t>
      </w:r>
      <w:r w:rsidR="000C5000" w:rsidRPr="0043215C">
        <w:rPr>
          <w:rFonts w:asciiTheme="minorHAnsi" w:hAnsiTheme="minorHAnsi" w:cstheme="minorHAnsi"/>
          <w:sz w:val="20"/>
          <w:szCs w:val="20"/>
        </w:rPr>
        <w:t xml:space="preserve">has </w:t>
      </w:r>
      <w:r w:rsidRPr="0043215C">
        <w:rPr>
          <w:rFonts w:asciiTheme="minorHAnsi" w:hAnsiTheme="minorHAnsi" w:cstheme="minorHAnsi"/>
          <w:sz w:val="20"/>
          <w:szCs w:val="20"/>
        </w:rPr>
        <w:t xml:space="preserve">decreased investments in energy efficiency, renewable </w:t>
      </w:r>
      <w:r w:rsidR="004D7C7F" w:rsidRPr="0043215C">
        <w:rPr>
          <w:rFonts w:asciiTheme="minorHAnsi" w:hAnsiTheme="minorHAnsi" w:cstheme="minorHAnsi"/>
          <w:sz w:val="20"/>
          <w:szCs w:val="20"/>
        </w:rPr>
        <w:t>energy,</w:t>
      </w:r>
      <w:r w:rsidRPr="0043215C">
        <w:rPr>
          <w:rFonts w:asciiTheme="minorHAnsi" w:hAnsiTheme="minorHAnsi" w:cstheme="minorHAnsi"/>
          <w:sz w:val="20"/>
          <w:szCs w:val="20"/>
        </w:rPr>
        <w:t xml:space="preserve"> and reserve capacity</w:t>
      </w:r>
      <w:r w:rsidR="000C5000" w:rsidRPr="0043215C">
        <w:rPr>
          <w:rFonts w:asciiTheme="minorHAnsi" w:hAnsiTheme="minorHAnsi" w:cstheme="minorHAnsi"/>
          <w:sz w:val="20"/>
          <w:szCs w:val="20"/>
        </w:rPr>
        <w:t xml:space="preserve"> investments</w:t>
      </w:r>
      <w:r w:rsidRPr="0043215C">
        <w:rPr>
          <w:rFonts w:asciiTheme="minorHAnsi" w:hAnsiTheme="minorHAnsi" w:cstheme="minorHAnsi"/>
          <w:sz w:val="20"/>
          <w:szCs w:val="20"/>
        </w:rPr>
        <w:t xml:space="preserve">.  </w:t>
      </w:r>
    </w:p>
    <w:p w14:paraId="123DCBA5" w14:textId="77777777" w:rsidR="00BE4CC9" w:rsidRPr="0043215C" w:rsidRDefault="00BE4CC9" w:rsidP="00025BF2">
      <w:pPr>
        <w:pStyle w:val="BodyText"/>
        <w:jc w:val="both"/>
        <w:rPr>
          <w:rFonts w:asciiTheme="minorHAnsi" w:hAnsiTheme="minorHAnsi" w:cstheme="minorHAnsi"/>
          <w:sz w:val="20"/>
          <w:szCs w:val="20"/>
        </w:rPr>
      </w:pPr>
    </w:p>
    <w:p w14:paraId="4AEFC2C5" w14:textId="27CF7A3E" w:rsidR="006A11AC" w:rsidRPr="0043215C" w:rsidRDefault="006A11AC" w:rsidP="00025BF2">
      <w:pPr>
        <w:pStyle w:val="BodyText"/>
        <w:jc w:val="both"/>
        <w:rPr>
          <w:rFonts w:asciiTheme="minorHAnsi" w:hAnsiTheme="minorHAnsi" w:cstheme="minorHAnsi"/>
          <w:sz w:val="20"/>
          <w:szCs w:val="20"/>
        </w:rPr>
      </w:pPr>
      <w:r w:rsidRPr="0043215C">
        <w:rPr>
          <w:rFonts w:asciiTheme="minorHAnsi" w:hAnsiTheme="minorHAnsi" w:cstheme="minorHAnsi"/>
          <w:b/>
          <w:sz w:val="20"/>
          <w:szCs w:val="20"/>
        </w:rPr>
        <w:t xml:space="preserve">Urgent action is needed to implement cost-based prices for all customer groups </w:t>
      </w:r>
      <w:proofErr w:type="gramStart"/>
      <w:r w:rsidRPr="0043215C">
        <w:rPr>
          <w:rFonts w:asciiTheme="minorHAnsi" w:hAnsiTheme="minorHAnsi" w:cstheme="minorHAnsi"/>
          <w:b/>
          <w:sz w:val="20"/>
          <w:szCs w:val="20"/>
        </w:rPr>
        <w:t>in order to</w:t>
      </w:r>
      <w:proofErr w:type="gramEnd"/>
      <w:r w:rsidRPr="0043215C">
        <w:rPr>
          <w:rFonts w:asciiTheme="minorHAnsi" w:hAnsiTheme="minorHAnsi" w:cstheme="minorHAnsi"/>
          <w:b/>
          <w:sz w:val="20"/>
          <w:szCs w:val="20"/>
        </w:rPr>
        <w:t xml:space="preserve"> encourage investments and lower the financial burden on the treasury. </w:t>
      </w:r>
      <w:r w:rsidRPr="0043215C">
        <w:rPr>
          <w:rFonts w:asciiTheme="minorHAnsi" w:hAnsiTheme="minorHAnsi" w:cstheme="minorHAnsi"/>
          <w:sz w:val="20"/>
          <w:szCs w:val="20"/>
        </w:rPr>
        <w:t>The Ministry of Family and Social Services launched an initiative in 2019 providing monthly electricity consumption support to citizens receiving social assistance, based on the number of household members</w:t>
      </w:r>
      <w:r w:rsidR="002722D9" w:rsidRPr="0043215C">
        <w:rPr>
          <w:rFonts w:asciiTheme="minorHAnsi" w:hAnsiTheme="minorHAnsi" w:cstheme="minorHAnsi"/>
          <w:sz w:val="20"/>
          <w:szCs w:val="20"/>
        </w:rPr>
        <w:t>.</w:t>
      </w:r>
      <w:r w:rsidRPr="0043215C">
        <w:rPr>
          <w:rFonts w:asciiTheme="minorHAnsi" w:hAnsiTheme="minorHAnsi" w:cstheme="minorHAnsi"/>
          <w:sz w:val="20"/>
          <w:szCs w:val="20"/>
        </w:rPr>
        <w:t xml:space="preserve"> A more </w:t>
      </w:r>
      <w:r w:rsidR="00BC6A12" w:rsidRPr="0043215C">
        <w:rPr>
          <w:rFonts w:asciiTheme="minorHAnsi" w:hAnsiTheme="minorHAnsi" w:cstheme="minorHAnsi"/>
          <w:sz w:val="20"/>
          <w:szCs w:val="20"/>
        </w:rPr>
        <w:t xml:space="preserve">comprehensive </w:t>
      </w:r>
      <w:r w:rsidRPr="0043215C">
        <w:rPr>
          <w:rFonts w:asciiTheme="minorHAnsi" w:hAnsiTheme="minorHAnsi" w:cstheme="minorHAnsi"/>
          <w:sz w:val="20"/>
          <w:szCs w:val="20"/>
        </w:rPr>
        <w:t xml:space="preserve">implementation of this program would eliminate the </w:t>
      </w:r>
      <w:r w:rsidR="00FF69F1" w:rsidRPr="0043215C">
        <w:rPr>
          <w:rFonts w:asciiTheme="minorHAnsi" w:hAnsiTheme="minorHAnsi" w:cstheme="minorHAnsi"/>
          <w:sz w:val="20"/>
          <w:szCs w:val="20"/>
        </w:rPr>
        <w:t>above</w:t>
      </w:r>
      <w:r w:rsidR="4CFAD900" w:rsidRPr="0043215C">
        <w:rPr>
          <w:rFonts w:asciiTheme="minorHAnsi" w:hAnsiTheme="minorHAnsi" w:cstheme="minorHAnsi"/>
          <w:sz w:val="20"/>
          <w:szCs w:val="20"/>
        </w:rPr>
        <w:t>-</w:t>
      </w:r>
      <w:r w:rsidR="00FF69F1" w:rsidRPr="0043215C">
        <w:rPr>
          <w:rFonts w:asciiTheme="minorHAnsi" w:hAnsiTheme="minorHAnsi" w:cstheme="minorHAnsi"/>
          <w:sz w:val="20"/>
          <w:szCs w:val="20"/>
        </w:rPr>
        <w:t xml:space="preserve">mentioned challenges. </w:t>
      </w:r>
    </w:p>
    <w:p w14:paraId="51ABCA30" w14:textId="77777777" w:rsidR="00025BF2" w:rsidRPr="0043215C" w:rsidRDefault="00025BF2" w:rsidP="00025BF2">
      <w:pPr>
        <w:pStyle w:val="Heading2"/>
        <w:rPr>
          <w:rStyle w:val="Heading2Char"/>
          <w:rFonts w:cstheme="minorHAnsi"/>
          <w:sz w:val="20"/>
          <w:szCs w:val="20"/>
        </w:rPr>
      </w:pPr>
    </w:p>
    <w:p w14:paraId="1A024AAB" w14:textId="5ACB4D84" w:rsidR="00F62D09" w:rsidRPr="009E3F7E" w:rsidRDefault="006A11AC" w:rsidP="009E3F7E">
      <w:pPr>
        <w:pStyle w:val="Heading4"/>
        <w:rPr>
          <w:rFonts w:asciiTheme="minorHAnsi" w:hAnsiTheme="minorHAnsi" w:cstheme="minorHAnsi"/>
          <w:sz w:val="20"/>
          <w:szCs w:val="20"/>
        </w:rPr>
      </w:pPr>
      <w:bookmarkStart w:id="46" w:name="_Toc162898763"/>
      <w:bookmarkStart w:id="47" w:name="_Toc162898825"/>
      <w:bookmarkStart w:id="48" w:name="_Toc162962946"/>
      <w:bookmarkStart w:id="49" w:name="_Toc162964123"/>
      <w:bookmarkStart w:id="50" w:name="_Toc170319822"/>
      <w:r w:rsidRPr="059B78C6">
        <w:rPr>
          <w:rStyle w:val="Heading2Char"/>
          <w:rFonts w:asciiTheme="minorHAnsi" w:hAnsiTheme="minorHAnsi" w:cstheme="minorBidi"/>
          <w:sz w:val="20"/>
          <w:szCs w:val="20"/>
        </w:rPr>
        <w:t>Financial Barriers</w:t>
      </w:r>
      <w:bookmarkEnd w:id="46"/>
      <w:bookmarkEnd w:id="47"/>
      <w:bookmarkEnd w:id="48"/>
      <w:bookmarkEnd w:id="49"/>
      <w:bookmarkEnd w:id="50"/>
      <w:r w:rsidRPr="059B78C6">
        <w:rPr>
          <w:rStyle w:val="Heading2Char"/>
          <w:rFonts w:asciiTheme="minorHAnsi" w:hAnsiTheme="minorHAnsi" w:cstheme="minorBidi"/>
          <w:sz w:val="20"/>
          <w:szCs w:val="20"/>
        </w:rPr>
        <w:t xml:space="preserve"> </w:t>
      </w:r>
    </w:p>
    <w:p w14:paraId="332E8802" w14:textId="0440F719" w:rsidR="059B78C6" w:rsidRDefault="059B78C6" w:rsidP="059B78C6"/>
    <w:p w14:paraId="5BF726BA" w14:textId="5CEE86CD" w:rsidR="006A11AC" w:rsidRPr="0043215C" w:rsidRDefault="00845D8E" w:rsidP="00025BF2">
      <w:pPr>
        <w:pStyle w:val="BodyText"/>
        <w:jc w:val="both"/>
        <w:rPr>
          <w:rFonts w:asciiTheme="minorHAnsi" w:hAnsiTheme="minorHAnsi" w:cstheme="minorBidi"/>
          <w:sz w:val="20"/>
          <w:szCs w:val="20"/>
        </w:rPr>
      </w:pPr>
      <w:r w:rsidRPr="6B8640CE">
        <w:rPr>
          <w:rFonts w:asciiTheme="minorHAnsi" w:hAnsiTheme="minorHAnsi" w:cstheme="minorBidi"/>
          <w:b/>
          <w:sz w:val="20"/>
          <w:szCs w:val="20"/>
        </w:rPr>
        <w:t xml:space="preserve">Long-term commercial financing is not sufficient in the </w:t>
      </w:r>
      <w:r w:rsidR="006A11AC" w:rsidRPr="6B8640CE">
        <w:rPr>
          <w:rFonts w:asciiTheme="minorHAnsi" w:hAnsiTheme="minorHAnsi" w:cstheme="minorBidi"/>
          <w:b/>
          <w:sz w:val="20"/>
          <w:szCs w:val="20"/>
        </w:rPr>
        <w:t xml:space="preserve">Turkish markets and there is a maturity mismatch between the </w:t>
      </w:r>
      <w:r w:rsidR="00055A19" w:rsidRPr="6B8640CE">
        <w:rPr>
          <w:rFonts w:asciiTheme="minorHAnsi" w:hAnsiTheme="minorHAnsi" w:cstheme="minorBidi"/>
          <w:b/>
          <w:sz w:val="20"/>
          <w:szCs w:val="20"/>
        </w:rPr>
        <w:t>loan repayments</w:t>
      </w:r>
      <w:r w:rsidR="006A11AC" w:rsidRPr="6B8640CE">
        <w:rPr>
          <w:rFonts w:asciiTheme="minorHAnsi" w:hAnsiTheme="minorHAnsi" w:cstheme="minorBidi"/>
          <w:b/>
          <w:sz w:val="20"/>
          <w:szCs w:val="20"/>
        </w:rPr>
        <w:t xml:space="preserve"> and investment payback periods.</w:t>
      </w:r>
      <w:r w:rsidR="006A11AC" w:rsidRPr="6B8640CE">
        <w:rPr>
          <w:rFonts w:asciiTheme="minorHAnsi" w:hAnsiTheme="minorHAnsi" w:cstheme="minorBidi"/>
          <w:sz w:val="20"/>
          <w:szCs w:val="20"/>
        </w:rPr>
        <w:t xml:space="preserve"> Therefore, companies should provide bridge credits. </w:t>
      </w:r>
      <w:r w:rsidR="2563CE82" w:rsidRPr="6B8640CE">
        <w:rPr>
          <w:rFonts w:asciiTheme="minorHAnsi" w:hAnsiTheme="minorHAnsi" w:cstheme="minorBidi"/>
          <w:sz w:val="20"/>
          <w:szCs w:val="20"/>
        </w:rPr>
        <w:t>The average</w:t>
      </w:r>
      <w:r w:rsidR="006A11AC" w:rsidRPr="6B8640CE">
        <w:rPr>
          <w:rFonts w:asciiTheme="minorHAnsi" w:hAnsiTheme="minorHAnsi" w:cstheme="minorBidi"/>
          <w:sz w:val="20"/>
          <w:szCs w:val="20"/>
        </w:rPr>
        <w:t xml:space="preserve"> term for bridge credits is less than two years which creates uncertainty for the investors since they need to roll over the financing in a highly volatile and unpredictable macro-economic environment. </w:t>
      </w:r>
    </w:p>
    <w:p w14:paraId="77778E65" w14:textId="77777777" w:rsidR="00B43FD5" w:rsidRPr="0043215C" w:rsidRDefault="00B43FD5" w:rsidP="00025BF2">
      <w:pPr>
        <w:pStyle w:val="BodyText"/>
        <w:jc w:val="both"/>
        <w:rPr>
          <w:rFonts w:asciiTheme="minorHAnsi" w:hAnsiTheme="minorHAnsi" w:cstheme="minorHAnsi"/>
          <w:sz w:val="20"/>
          <w:szCs w:val="20"/>
        </w:rPr>
      </w:pPr>
    </w:p>
    <w:p w14:paraId="33958550" w14:textId="2E32E0BF" w:rsidR="006A11AC" w:rsidRPr="0043215C" w:rsidRDefault="00910A0D" w:rsidP="00025BF2">
      <w:pPr>
        <w:pStyle w:val="BodyText"/>
        <w:jc w:val="both"/>
        <w:rPr>
          <w:rFonts w:asciiTheme="minorHAnsi" w:hAnsiTheme="minorHAnsi" w:cstheme="minorHAnsi"/>
          <w:sz w:val="20"/>
          <w:szCs w:val="20"/>
        </w:rPr>
      </w:pPr>
      <w:r w:rsidRPr="0043215C">
        <w:rPr>
          <w:rFonts w:asciiTheme="minorHAnsi" w:hAnsiTheme="minorHAnsi" w:cstheme="minorHAnsi"/>
          <w:b/>
          <w:sz w:val="20"/>
          <w:szCs w:val="20"/>
        </w:rPr>
        <w:t>Due to the m</w:t>
      </w:r>
      <w:r w:rsidR="006A11AC" w:rsidRPr="0043215C">
        <w:rPr>
          <w:rFonts w:asciiTheme="minorHAnsi" w:hAnsiTheme="minorHAnsi" w:cstheme="minorHAnsi"/>
          <w:b/>
          <w:sz w:val="20"/>
          <w:szCs w:val="20"/>
        </w:rPr>
        <w:t xml:space="preserve">onetary tightening </w:t>
      </w:r>
      <w:r w:rsidR="00730E37" w:rsidRPr="0043215C">
        <w:rPr>
          <w:rFonts w:asciiTheme="minorHAnsi" w:hAnsiTheme="minorHAnsi" w:cstheme="minorHAnsi"/>
          <w:b/>
          <w:sz w:val="20"/>
          <w:szCs w:val="20"/>
        </w:rPr>
        <w:t xml:space="preserve">policy </w:t>
      </w:r>
      <w:r w:rsidR="006A11AC" w:rsidRPr="0043215C">
        <w:rPr>
          <w:rFonts w:asciiTheme="minorHAnsi" w:hAnsiTheme="minorHAnsi" w:cstheme="minorHAnsi"/>
          <w:b/>
          <w:sz w:val="20"/>
          <w:szCs w:val="20"/>
        </w:rPr>
        <w:t xml:space="preserve">of the </w:t>
      </w:r>
      <w:r w:rsidR="00BA4144" w:rsidRPr="0043215C">
        <w:rPr>
          <w:rFonts w:asciiTheme="minorHAnsi" w:hAnsiTheme="minorHAnsi" w:cstheme="minorHAnsi"/>
          <w:b/>
          <w:sz w:val="20"/>
          <w:szCs w:val="20"/>
        </w:rPr>
        <w:t xml:space="preserve">Central Bank of </w:t>
      </w:r>
      <w:r w:rsidR="000F71E2" w:rsidRPr="0043215C">
        <w:rPr>
          <w:rFonts w:asciiTheme="minorHAnsi" w:hAnsiTheme="minorHAnsi" w:cstheme="minorHAnsi"/>
          <w:b/>
          <w:sz w:val="20"/>
          <w:szCs w:val="20"/>
        </w:rPr>
        <w:t>Republic of Türkiye</w:t>
      </w:r>
      <w:r w:rsidR="006A11AC" w:rsidRPr="0043215C">
        <w:rPr>
          <w:rFonts w:asciiTheme="minorHAnsi" w:hAnsiTheme="minorHAnsi" w:cstheme="minorHAnsi"/>
          <w:b/>
          <w:sz w:val="20"/>
          <w:szCs w:val="20"/>
        </w:rPr>
        <w:t xml:space="preserve"> </w:t>
      </w:r>
      <w:r w:rsidR="000F71E2" w:rsidRPr="0043215C">
        <w:rPr>
          <w:rFonts w:asciiTheme="minorHAnsi" w:hAnsiTheme="minorHAnsi" w:cstheme="minorHAnsi"/>
          <w:b/>
          <w:sz w:val="20"/>
          <w:szCs w:val="20"/>
        </w:rPr>
        <w:t>(</w:t>
      </w:r>
      <w:r w:rsidR="006A11AC" w:rsidRPr="0043215C">
        <w:rPr>
          <w:rFonts w:asciiTheme="minorHAnsi" w:hAnsiTheme="minorHAnsi" w:cstheme="minorHAnsi"/>
          <w:b/>
          <w:sz w:val="20"/>
          <w:szCs w:val="20"/>
        </w:rPr>
        <w:t>CBRT</w:t>
      </w:r>
      <w:r w:rsidR="000F71E2" w:rsidRPr="0043215C">
        <w:rPr>
          <w:rFonts w:asciiTheme="minorHAnsi" w:hAnsiTheme="minorHAnsi" w:cstheme="minorHAnsi"/>
          <w:b/>
          <w:sz w:val="20"/>
          <w:szCs w:val="20"/>
        </w:rPr>
        <w:t>)</w:t>
      </w:r>
      <w:r w:rsidR="006A11AC" w:rsidRPr="0043215C">
        <w:rPr>
          <w:rFonts w:asciiTheme="minorHAnsi" w:hAnsiTheme="minorHAnsi" w:cstheme="minorHAnsi"/>
          <w:b/>
          <w:sz w:val="20"/>
          <w:szCs w:val="20"/>
        </w:rPr>
        <w:t>, companies are having considerable difficulties to provide Turkish Lira denominated credits.</w:t>
      </w:r>
      <w:r w:rsidR="006A11AC" w:rsidRPr="0043215C">
        <w:rPr>
          <w:rFonts w:asciiTheme="minorHAnsi" w:hAnsiTheme="minorHAnsi" w:cstheme="minorHAnsi"/>
          <w:sz w:val="20"/>
          <w:szCs w:val="20"/>
        </w:rPr>
        <w:t xml:space="preserve"> Borrowing rates increased considerably after the May 2023 Presidency and Parliamentary elections. CBRT policy rate reached 50% in 2024 March compared to </w:t>
      </w:r>
      <w:r w:rsidR="006A11AC" w:rsidRPr="0043215C">
        <w:rPr>
          <w:rFonts w:asciiTheme="minorHAnsi" w:hAnsiTheme="minorHAnsi" w:cstheme="minorHAnsi"/>
          <w:sz w:val="20"/>
          <w:szCs w:val="20"/>
        </w:rPr>
        <w:lastRenderedPageBreak/>
        <w:t>8.5% in May 2023. Therefore, some of them have focused on the bond market although bond volumes are far less than their financial needs.</w:t>
      </w:r>
    </w:p>
    <w:p w14:paraId="54C3AEB3" w14:textId="77777777" w:rsidR="00B43FD5" w:rsidRPr="0043215C" w:rsidRDefault="00B43FD5" w:rsidP="00025BF2">
      <w:pPr>
        <w:pStyle w:val="BodyText"/>
        <w:jc w:val="both"/>
        <w:rPr>
          <w:rFonts w:asciiTheme="minorHAnsi" w:hAnsiTheme="minorHAnsi" w:cstheme="minorHAnsi"/>
          <w:sz w:val="20"/>
          <w:szCs w:val="20"/>
        </w:rPr>
      </w:pPr>
    </w:p>
    <w:p w14:paraId="0A281C71" w14:textId="165094DC" w:rsidR="006A11AC" w:rsidRPr="0043215C" w:rsidRDefault="00836894" w:rsidP="00025BF2">
      <w:pPr>
        <w:pStyle w:val="BodyText"/>
        <w:jc w:val="both"/>
        <w:rPr>
          <w:rFonts w:asciiTheme="minorHAnsi" w:hAnsiTheme="minorHAnsi" w:cstheme="minorBidi"/>
          <w:sz w:val="20"/>
          <w:szCs w:val="20"/>
        </w:rPr>
      </w:pPr>
      <w:r w:rsidRPr="6B8640CE">
        <w:rPr>
          <w:rFonts w:asciiTheme="minorHAnsi" w:hAnsiTheme="minorHAnsi" w:cstheme="minorBidi"/>
          <w:sz w:val="20"/>
          <w:szCs w:val="20"/>
        </w:rPr>
        <w:t xml:space="preserve">Foreign Exchange </w:t>
      </w:r>
      <w:r w:rsidRPr="6B8640CE">
        <w:rPr>
          <w:rFonts w:asciiTheme="minorHAnsi" w:hAnsiTheme="minorHAnsi" w:cstheme="minorBidi"/>
          <w:b/>
          <w:sz w:val="20"/>
          <w:szCs w:val="20"/>
        </w:rPr>
        <w:t>(</w:t>
      </w:r>
      <w:r w:rsidR="006A11AC" w:rsidRPr="6B8640CE">
        <w:rPr>
          <w:rFonts w:asciiTheme="minorHAnsi" w:hAnsiTheme="minorHAnsi" w:cstheme="minorBidi"/>
          <w:b/>
          <w:sz w:val="20"/>
          <w:szCs w:val="20"/>
        </w:rPr>
        <w:t>FX</w:t>
      </w:r>
      <w:r w:rsidRPr="6B8640CE">
        <w:rPr>
          <w:rFonts w:asciiTheme="minorHAnsi" w:hAnsiTheme="minorHAnsi" w:cstheme="minorBidi"/>
          <w:b/>
          <w:sz w:val="20"/>
          <w:szCs w:val="20"/>
        </w:rPr>
        <w:t>)</w:t>
      </w:r>
      <w:r w:rsidR="006A11AC" w:rsidRPr="6B8640CE">
        <w:rPr>
          <w:rFonts w:asciiTheme="minorHAnsi" w:hAnsiTheme="minorHAnsi" w:cstheme="minorBidi"/>
          <w:b/>
          <w:sz w:val="20"/>
          <w:szCs w:val="20"/>
        </w:rPr>
        <w:t xml:space="preserve"> financing conditions are not supportive and b</w:t>
      </w:r>
      <w:r w:rsidR="75A91F18" w:rsidRPr="6B8640CE">
        <w:rPr>
          <w:rFonts w:asciiTheme="minorHAnsi" w:hAnsiTheme="minorHAnsi" w:cstheme="minorBidi"/>
          <w:b/>
          <w:sz w:val="20"/>
          <w:szCs w:val="20"/>
        </w:rPr>
        <w:t>o</w:t>
      </w:r>
      <w:r w:rsidR="006A11AC" w:rsidRPr="6B8640CE">
        <w:rPr>
          <w:rFonts w:asciiTheme="minorHAnsi" w:hAnsiTheme="minorHAnsi" w:cstheme="minorBidi"/>
          <w:b/>
          <w:sz w:val="20"/>
          <w:szCs w:val="20"/>
        </w:rPr>
        <w:t xml:space="preserve">rrowing rates are still high compared to </w:t>
      </w:r>
      <w:r w:rsidR="7C4BA37C" w:rsidRPr="5A908025">
        <w:rPr>
          <w:rFonts w:asciiTheme="minorHAnsi" w:hAnsiTheme="minorHAnsi" w:cstheme="minorBidi"/>
          <w:b/>
          <w:bCs/>
          <w:sz w:val="20"/>
          <w:szCs w:val="20"/>
        </w:rPr>
        <w:t xml:space="preserve">the </w:t>
      </w:r>
      <w:r w:rsidR="430054AA" w:rsidRPr="6B8640CE">
        <w:rPr>
          <w:rFonts w:asciiTheme="minorHAnsi" w:hAnsiTheme="minorHAnsi" w:cstheme="minorBidi"/>
          <w:b/>
          <w:sz w:val="20"/>
          <w:szCs w:val="20"/>
        </w:rPr>
        <w:t>last</w:t>
      </w:r>
      <w:r w:rsidR="006A11AC" w:rsidRPr="6B8640CE">
        <w:rPr>
          <w:rFonts w:asciiTheme="minorHAnsi" w:hAnsiTheme="minorHAnsi" w:cstheme="minorBidi"/>
          <w:b/>
          <w:sz w:val="20"/>
          <w:szCs w:val="20"/>
        </w:rPr>
        <w:t xml:space="preserve"> 10-year historical average.</w:t>
      </w:r>
      <w:r w:rsidR="006A11AC" w:rsidRPr="6B8640CE">
        <w:rPr>
          <w:rFonts w:asciiTheme="minorHAnsi" w:hAnsiTheme="minorHAnsi" w:cstheme="minorBidi"/>
          <w:sz w:val="20"/>
          <w:szCs w:val="20"/>
        </w:rPr>
        <w:t xml:space="preserve"> Companies avoid FX financing due to the volatility in the markets and high hedging costs despite a considerable decrease in </w:t>
      </w:r>
      <w:r w:rsidR="7CC25BE8" w:rsidRPr="6B8640CE">
        <w:rPr>
          <w:rFonts w:asciiTheme="minorHAnsi" w:hAnsiTheme="minorHAnsi" w:cstheme="minorBidi"/>
          <w:sz w:val="20"/>
          <w:szCs w:val="20"/>
        </w:rPr>
        <w:t xml:space="preserve">the </w:t>
      </w:r>
      <w:r w:rsidR="006A11AC" w:rsidRPr="6B8640CE">
        <w:rPr>
          <w:rFonts w:asciiTheme="minorHAnsi" w:hAnsiTheme="minorHAnsi" w:cstheme="minorBidi"/>
          <w:sz w:val="20"/>
          <w:szCs w:val="20"/>
        </w:rPr>
        <w:t>country</w:t>
      </w:r>
      <w:r w:rsidR="000B569B" w:rsidRPr="6B8640CE">
        <w:rPr>
          <w:rFonts w:asciiTheme="minorHAnsi" w:hAnsiTheme="minorHAnsi" w:cstheme="minorBidi"/>
          <w:sz w:val="20"/>
          <w:szCs w:val="20"/>
        </w:rPr>
        <w:t>’s</w:t>
      </w:r>
      <w:r w:rsidR="006A11AC" w:rsidRPr="6B8640CE">
        <w:rPr>
          <w:rFonts w:asciiTheme="minorHAnsi" w:hAnsiTheme="minorHAnsi" w:cstheme="minorBidi"/>
          <w:sz w:val="20"/>
          <w:szCs w:val="20"/>
        </w:rPr>
        <w:t xml:space="preserve"> risk premium.</w:t>
      </w:r>
    </w:p>
    <w:p w14:paraId="06B71FCB" w14:textId="77777777" w:rsidR="002721A4" w:rsidRPr="0043215C" w:rsidRDefault="002721A4" w:rsidP="00025BF2">
      <w:pPr>
        <w:pStyle w:val="BodyText"/>
        <w:jc w:val="both"/>
        <w:rPr>
          <w:rFonts w:asciiTheme="minorHAnsi" w:hAnsiTheme="minorHAnsi" w:cstheme="minorHAnsi"/>
          <w:sz w:val="20"/>
          <w:szCs w:val="20"/>
        </w:rPr>
      </w:pPr>
    </w:p>
    <w:p w14:paraId="3FD7CE61" w14:textId="3EF6AFE0" w:rsidR="006A11AC" w:rsidRPr="0043215C" w:rsidRDefault="006A11AC" w:rsidP="00025BF2">
      <w:pPr>
        <w:pStyle w:val="BodyText"/>
        <w:jc w:val="both"/>
        <w:rPr>
          <w:rFonts w:asciiTheme="minorHAnsi" w:hAnsiTheme="minorHAnsi" w:cstheme="minorBidi"/>
          <w:sz w:val="20"/>
          <w:szCs w:val="20"/>
        </w:rPr>
      </w:pPr>
      <w:r w:rsidRPr="5A908025">
        <w:rPr>
          <w:rFonts w:asciiTheme="minorHAnsi" w:hAnsiTheme="minorHAnsi" w:cstheme="minorBidi"/>
          <w:b/>
          <w:sz w:val="20"/>
          <w:szCs w:val="20"/>
        </w:rPr>
        <w:t xml:space="preserve">These conditions are even more challenging for real </w:t>
      </w:r>
      <w:r w:rsidR="69FE9C82" w:rsidRPr="5A908025">
        <w:rPr>
          <w:rFonts w:asciiTheme="minorHAnsi" w:hAnsiTheme="minorHAnsi" w:cstheme="minorBidi"/>
          <w:b/>
          <w:bCs/>
          <w:sz w:val="20"/>
          <w:szCs w:val="20"/>
        </w:rPr>
        <w:t>people</w:t>
      </w:r>
      <w:r w:rsidRPr="5A908025">
        <w:rPr>
          <w:rFonts w:asciiTheme="minorHAnsi" w:hAnsiTheme="minorHAnsi" w:cstheme="minorBidi"/>
          <w:b/>
          <w:sz w:val="20"/>
          <w:szCs w:val="20"/>
        </w:rPr>
        <w:t xml:space="preserve"> and small companies who aim to invest in renewables compared to big corporates.</w:t>
      </w:r>
      <w:r w:rsidRPr="5A908025">
        <w:rPr>
          <w:rFonts w:asciiTheme="minorHAnsi" w:hAnsiTheme="minorHAnsi" w:cstheme="minorBidi"/>
          <w:sz w:val="20"/>
          <w:szCs w:val="20"/>
        </w:rPr>
        <w:t xml:space="preserve"> Moreover, some of the big corporates opt to invest in foreign markets such as </w:t>
      </w:r>
      <w:r w:rsidR="1AC4E9A7" w:rsidRPr="5A908025">
        <w:rPr>
          <w:rFonts w:asciiTheme="minorHAnsi" w:hAnsiTheme="minorHAnsi" w:cstheme="minorBidi"/>
          <w:sz w:val="20"/>
          <w:szCs w:val="20"/>
        </w:rPr>
        <w:t xml:space="preserve">the </w:t>
      </w:r>
      <w:r w:rsidRPr="5A908025">
        <w:rPr>
          <w:rFonts w:asciiTheme="minorHAnsi" w:hAnsiTheme="minorHAnsi" w:cstheme="minorBidi"/>
          <w:sz w:val="20"/>
          <w:szCs w:val="20"/>
        </w:rPr>
        <w:t xml:space="preserve">USA due to predictability and supportive mechanisms such as </w:t>
      </w:r>
      <w:r w:rsidR="2400547D" w:rsidRPr="5A908025">
        <w:rPr>
          <w:rFonts w:asciiTheme="minorHAnsi" w:hAnsiTheme="minorHAnsi" w:cstheme="minorBidi"/>
          <w:sz w:val="20"/>
          <w:szCs w:val="20"/>
        </w:rPr>
        <w:t xml:space="preserve">the </w:t>
      </w:r>
      <w:r w:rsidRPr="5A908025">
        <w:rPr>
          <w:rFonts w:asciiTheme="minorHAnsi" w:hAnsiTheme="minorHAnsi" w:cstheme="minorBidi"/>
          <w:sz w:val="20"/>
          <w:szCs w:val="20"/>
        </w:rPr>
        <w:t xml:space="preserve">Inflation Reduction Act (IRA) due to the crowding-out effects in Türkiye. </w:t>
      </w:r>
    </w:p>
    <w:p w14:paraId="6A984B09" w14:textId="77777777" w:rsidR="009A618B" w:rsidRPr="0043215C" w:rsidRDefault="009A618B" w:rsidP="00025BF2">
      <w:pPr>
        <w:pStyle w:val="BodyText"/>
        <w:jc w:val="both"/>
        <w:rPr>
          <w:rFonts w:asciiTheme="minorHAnsi" w:hAnsiTheme="minorHAnsi" w:cstheme="minorHAnsi"/>
          <w:sz w:val="20"/>
          <w:szCs w:val="20"/>
        </w:rPr>
      </w:pPr>
    </w:p>
    <w:p w14:paraId="551522F9" w14:textId="18BAFE54" w:rsidR="006A11AC" w:rsidRPr="0043215C" w:rsidRDefault="006A11AC" w:rsidP="00025BF2">
      <w:pPr>
        <w:pStyle w:val="BodyText"/>
        <w:jc w:val="both"/>
        <w:rPr>
          <w:rFonts w:asciiTheme="minorHAnsi" w:hAnsiTheme="minorHAnsi" w:cstheme="minorBidi"/>
          <w:sz w:val="20"/>
          <w:szCs w:val="20"/>
        </w:rPr>
      </w:pPr>
      <w:r w:rsidRPr="5A908025">
        <w:rPr>
          <w:rFonts w:asciiTheme="minorHAnsi" w:hAnsiTheme="minorHAnsi" w:cstheme="minorBidi"/>
          <w:b/>
          <w:sz w:val="20"/>
          <w:szCs w:val="20"/>
        </w:rPr>
        <w:t xml:space="preserve">Lack of long-term power purchasing agreements (PPAs) is another major issue that prevents long-term financing for </w:t>
      </w:r>
      <w:r w:rsidR="00665108" w:rsidRPr="5A908025">
        <w:rPr>
          <w:rFonts w:asciiTheme="minorHAnsi" w:hAnsiTheme="minorHAnsi" w:cstheme="minorBidi"/>
          <w:b/>
          <w:sz w:val="20"/>
          <w:szCs w:val="20"/>
        </w:rPr>
        <w:t>renewable energy sources (</w:t>
      </w:r>
      <w:r w:rsidRPr="5A908025">
        <w:rPr>
          <w:rFonts w:asciiTheme="minorHAnsi" w:hAnsiTheme="minorHAnsi" w:cstheme="minorBidi"/>
          <w:b/>
          <w:sz w:val="20"/>
          <w:szCs w:val="20"/>
        </w:rPr>
        <w:t>RES</w:t>
      </w:r>
      <w:r w:rsidR="00665108" w:rsidRPr="5A908025">
        <w:rPr>
          <w:rFonts w:asciiTheme="minorHAnsi" w:hAnsiTheme="minorHAnsi" w:cstheme="minorBidi"/>
          <w:b/>
          <w:sz w:val="20"/>
          <w:szCs w:val="20"/>
        </w:rPr>
        <w:t>)</w:t>
      </w:r>
      <w:r w:rsidRPr="5A908025">
        <w:rPr>
          <w:rFonts w:asciiTheme="minorHAnsi" w:hAnsiTheme="minorHAnsi" w:cstheme="minorBidi"/>
          <w:b/>
          <w:sz w:val="20"/>
          <w:szCs w:val="20"/>
        </w:rPr>
        <w:t xml:space="preserve"> investments.</w:t>
      </w:r>
      <w:r w:rsidRPr="5A908025">
        <w:rPr>
          <w:rFonts w:asciiTheme="minorHAnsi" w:hAnsiTheme="minorHAnsi" w:cstheme="minorBidi"/>
          <w:sz w:val="20"/>
          <w:szCs w:val="20"/>
        </w:rPr>
        <w:t xml:space="preserve"> Volatile macro-economic environment forces market players to make transactions at organized markets such as day ahead and intraday markets instead of engaging </w:t>
      </w:r>
      <w:r w:rsidR="2E9C634C" w:rsidRPr="5A908025">
        <w:rPr>
          <w:rFonts w:asciiTheme="minorHAnsi" w:hAnsiTheme="minorHAnsi" w:cstheme="minorBidi"/>
          <w:sz w:val="20"/>
          <w:szCs w:val="20"/>
        </w:rPr>
        <w:t>in</w:t>
      </w:r>
      <w:r w:rsidRPr="5A908025">
        <w:rPr>
          <w:rFonts w:asciiTheme="minorHAnsi" w:hAnsiTheme="minorHAnsi" w:cstheme="minorBidi"/>
          <w:sz w:val="20"/>
          <w:szCs w:val="20"/>
        </w:rPr>
        <w:t xml:space="preserve"> long-term PPA contracts. To overcome this issue, transmission and distribution companies would procure their energy need for losses </w:t>
      </w:r>
      <w:r w:rsidR="006C3C3D" w:rsidRPr="5A908025">
        <w:rPr>
          <w:rFonts w:asciiTheme="minorHAnsi" w:hAnsiTheme="minorHAnsi" w:cstheme="minorBidi"/>
          <w:sz w:val="20"/>
          <w:szCs w:val="20"/>
        </w:rPr>
        <w:t>and general lighting</w:t>
      </w:r>
      <w:r w:rsidRPr="5A908025">
        <w:rPr>
          <w:rFonts w:asciiTheme="minorHAnsi" w:hAnsiTheme="minorHAnsi" w:cstheme="minorBidi"/>
          <w:sz w:val="20"/>
          <w:szCs w:val="20"/>
        </w:rPr>
        <w:t xml:space="preserve"> from long-term RES PPAs. Moreover, EUAS would procure some of the energy it sells to the market from RES PPAs to encourage </w:t>
      </w:r>
      <w:r w:rsidR="0462E2D5" w:rsidRPr="06D92705">
        <w:rPr>
          <w:rFonts w:asciiTheme="minorHAnsi" w:hAnsiTheme="minorHAnsi" w:cstheme="minorBidi"/>
          <w:sz w:val="20"/>
          <w:szCs w:val="20"/>
        </w:rPr>
        <w:t xml:space="preserve">a </w:t>
      </w:r>
      <w:r w:rsidRPr="5A908025">
        <w:rPr>
          <w:rFonts w:asciiTheme="minorHAnsi" w:hAnsiTheme="minorHAnsi" w:cstheme="minorBidi"/>
          <w:sz w:val="20"/>
          <w:szCs w:val="20"/>
        </w:rPr>
        <w:t xml:space="preserve">long-term </w:t>
      </w:r>
      <w:r w:rsidR="003A654B" w:rsidRPr="5A908025">
        <w:rPr>
          <w:rFonts w:asciiTheme="minorHAnsi" w:hAnsiTheme="minorHAnsi" w:cstheme="minorBidi"/>
          <w:sz w:val="20"/>
          <w:szCs w:val="20"/>
        </w:rPr>
        <w:t>over the counter (</w:t>
      </w:r>
      <w:r w:rsidRPr="5A908025">
        <w:rPr>
          <w:rFonts w:asciiTheme="minorHAnsi" w:hAnsiTheme="minorHAnsi" w:cstheme="minorBidi"/>
          <w:sz w:val="20"/>
          <w:szCs w:val="20"/>
        </w:rPr>
        <w:t>OTC</w:t>
      </w:r>
      <w:r w:rsidR="003A654B" w:rsidRPr="5A908025">
        <w:rPr>
          <w:rFonts w:asciiTheme="minorHAnsi" w:hAnsiTheme="minorHAnsi" w:cstheme="minorBidi"/>
          <w:sz w:val="20"/>
          <w:szCs w:val="20"/>
        </w:rPr>
        <w:t>)</w:t>
      </w:r>
      <w:r w:rsidRPr="5A908025">
        <w:rPr>
          <w:rFonts w:asciiTheme="minorHAnsi" w:hAnsiTheme="minorHAnsi" w:cstheme="minorBidi"/>
          <w:sz w:val="20"/>
          <w:szCs w:val="20"/>
        </w:rPr>
        <w:t xml:space="preserve"> PPA market. </w:t>
      </w:r>
    </w:p>
    <w:p w14:paraId="723C975D" w14:textId="77777777" w:rsidR="00C100D2" w:rsidRPr="0043215C" w:rsidRDefault="00C100D2" w:rsidP="00025BF2">
      <w:pPr>
        <w:pStyle w:val="BodyText"/>
        <w:jc w:val="both"/>
        <w:rPr>
          <w:rFonts w:asciiTheme="minorHAnsi" w:hAnsiTheme="minorHAnsi" w:cstheme="minorHAnsi"/>
          <w:sz w:val="20"/>
          <w:szCs w:val="20"/>
        </w:rPr>
      </w:pPr>
    </w:p>
    <w:p w14:paraId="283B1603" w14:textId="122D2FF2" w:rsidR="00C100D2" w:rsidRPr="0043215C" w:rsidRDefault="003B30D6" w:rsidP="00A04459">
      <w:pPr>
        <w:spacing w:after="0" w:line="240" w:lineRule="auto"/>
        <w:rPr>
          <w:rFonts w:eastAsia="Calibri" w:cstheme="minorHAnsi"/>
          <w:sz w:val="20"/>
          <w:szCs w:val="20"/>
        </w:rPr>
      </w:pPr>
      <w:r w:rsidRPr="0043215C">
        <w:rPr>
          <w:rFonts w:eastAsia="Calibri" w:cstheme="minorHAnsi"/>
          <w:b/>
          <w:bCs/>
          <w:sz w:val="20"/>
          <w:szCs w:val="20"/>
        </w:rPr>
        <w:t>Although the e</w:t>
      </w:r>
      <w:r w:rsidR="00C100D2" w:rsidRPr="0043215C">
        <w:rPr>
          <w:rFonts w:eastAsia="Calibri" w:cstheme="minorHAnsi"/>
          <w:b/>
          <w:bCs/>
          <w:sz w:val="20"/>
          <w:szCs w:val="20"/>
        </w:rPr>
        <w:t>lectricity distribution companies have started to invest in digitalization and smart grid for electricity distribution systems for the last decade</w:t>
      </w:r>
      <w:r w:rsidRPr="0043215C">
        <w:rPr>
          <w:rFonts w:eastAsia="Calibri" w:cstheme="minorHAnsi"/>
          <w:b/>
          <w:bCs/>
          <w:sz w:val="20"/>
          <w:szCs w:val="20"/>
        </w:rPr>
        <w:t xml:space="preserve">, </w:t>
      </w:r>
      <w:r w:rsidR="00C100D2" w:rsidRPr="0043215C">
        <w:rPr>
          <w:rFonts w:eastAsia="Calibri" w:cstheme="minorHAnsi"/>
          <w:b/>
          <w:bCs/>
          <w:sz w:val="20"/>
          <w:szCs w:val="20"/>
        </w:rPr>
        <w:t>the regulator</w:t>
      </w:r>
      <w:r w:rsidR="00160BAF" w:rsidRPr="0043215C">
        <w:rPr>
          <w:rFonts w:eastAsia="Calibri" w:cstheme="minorHAnsi"/>
          <w:b/>
          <w:bCs/>
          <w:sz w:val="20"/>
          <w:szCs w:val="20"/>
        </w:rPr>
        <w:t>y</w:t>
      </w:r>
      <w:r w:rsidR="00C100D2" w:rsidRPr="0043215C">
        <w:rPr>
          <w:rFonts w:eastAsia="Calibri" w:cstheme="minorHAnsi"/>
          <w:b/>
          <w:bCs/>
          <w:sz w:val="20"/>
          <w:szCs w:val="20"/>
        </w:rPr>
        <w:t xml:space="preserve"> body does not approve some of the new technologies under the regulated asset base</w:t>
      </w:r>
      <w:r w:rsidRPr="0043215C">
        <w:rPr>
          <w:rFonts w:eastAsia="Calibri" w:cstheme="minorHAnsi"/>
          <w:b/>
          <w:bCs/>
          <w:sz w:val="20"/>
          <w:szCs w:val="20"/>
        </w:rPr>
        <w:t>.</w:t>
      </w:r>
      <w:r w:rsidRPr="0043215C">
        <w:rPr>
          <w:rFonts w:eastAsia="Calibri" w:cstheme="minorHAnsi"/>
          <w:sz w:val="20"/>
          <w:szCs w:val="20"/>
        </w:rPr>
        <w:t xml:space="preserve"> Th</w:t>
      </w:r>
      <w:r w:rsidR="00A04459" w:rsidRPr="0043215C">
        <w:rPr>
          <w:rFonts w:eastAsia="Calibri" w:cstheme="minorHAnsi"/>
          <w:sz w:val="20"/>
          <w:szCs w:val="20"/>
        </w:rPr>
        <w:t>erefore</w:t>
      </w:r>
      <w:r w:rsidR="00160BAF" w:rsidRPr="0043215C">
        <w:rPr>
          <w:rFonts w:eastAsia="Calibri" w:cstheme="minorHAnsi"/>
          <w:sz w:val="20"/>
          <w:szCs w:val="20"/>
        </w:rPr>
        <w:t>,</w:t>
      </w:r>
      <w:r w:rsidRPr="0043215C">
        <w:rPr>
          <w:rFonts w:eastAsia="Calibri" w:cstheme="minorHAnsi"/>
          <w:sz w:val="20"/>
          <w:szCs w:val="20"/>
        </w:rPr>
        <w:t xml:space="preserve"> the</w:t>
      </w:r>
      <w:r w:rsidR="00C100D2" w:rsidRPr="0043215C">
        <w:rPr>
          <w:rFonts w:eastAsia="Calibri" w:cstheme="minorHAnsi"/>
          <w:sz w:val="20"/>
          <w:szCs w:val="20"/>
        </w:rPr>
        <w:t xml:space="preserve"> companies require financial support to expedite digitalization, implement smart grid systems for the electricity distribution system and upskill their workers with necessary digital skills.  </w:t>
      </w:r>
    </w:p>
    <w:p w14:paraId="3DBE1BD7" w14:textId="77777777" w:rsidR="00891E8F" w:rsidRPr="0043215C" w:rsidRDefault="00891E8F" w:rsidP="00025BF2">
      <w:pPr>
        <w:pStyle w:val="BodyText"/>
        <w:jc w:val="both"/>
        <w:rPr>
          <w:rFonts w:asciiTheme="minorHAnsi" w:hAnsiTheme="minorHAnsi" w:cstheme="minorHAnsi"/>
          <w:sz w:val="20"/>
          <w:szCs w:val="20"/>
        </w:rPr>
      </w:pPr>
    </w:p>
    <w:p w14:paraId="26EB8C17" w14:textId="6C135AAD" w:rsidR="006A11AC" w:rsidRPr="0043215C" w:rsidRDefault="006A11AC" w:rsidP="00025BF2">
      <w:pPr>
        <w:pStyle w:val="BodyText"/>
        <w:jc w:val="both"/>
        <w:rPr>
          <w:rFonts w:asciiTheme="minorHAnsi" w:hAnsiTheme="minorHAnsi" w:cstheme="minorBidi"/>
          <w:sz w:val="20"/>
          <w:szCs w:val="20"/>
        </w:rPr>
      </w:pPr>
      <w:r w:rsidRPr="06D92705">
        <w:rPr>
          <w:rFonts w:asciiTheme="minorHAnsi" w:hAnsiTheme="minorHAnsi" w:cstheme="minorBidi"/>
          <w:b/>
          <w:sz w:val="20"/>
          <w:szCs w:val="20"/>
        </w:rPr>
        <w:t>Moreover,</w:t>
      </w:r>
      <w:r w:rsidRPr="06D92705">
        <w:rPr>
          <w:rFonts w:asciiTheme="minorHAnsi" w:hAnsiTheme="minorHAnsi" w:cstheme="minorBidi"/>
          <w:b/>
          <w:bCs/>
          <w:sz w:val="20"/>
          <w:szCs w:val="20"/>
        </w:rPr>
        <w:t xml:space="preserve"> </w:t>
      </w:r>
      <w:r w:rsidR="5187957E" w:rsidRPr="06D92705">
        <w:rPr>
          <w:rFonts w:asciiTheme="minorHAnsi" w:hAnsiTheme="minorHAnsi" w:cstheme="minorBidi"/>
          <w:b/>
          <w:bCs/>
          <w:sz w:val="20"/>
          <w:szCs w:val="20"/>
        </w:rPr>
        <w:t>a</w:t>
      </w:r>
      <w:r w:rsidRPr="06D92705">
        <w:rPr>
          <w:rFonts w:asciiTheme="minorHAnsi" w:hAnsiTheme="minorHAnsi" w:cstheme="minorBidi"/>
          <w:b/>
          <w:sz w:val="20"/>
          <w:szCs w:val="20"/>
        </w:rPr>
        <w:t xml:space="preserve"> massive amount of grid investment is needed to comply </w:t>
      </w:r>
      <w:r w:rsidR="00560EC8" w:rsidRPr="06D92705">
        <w:rPr>
          <w:rFonts w:asciiTheme="minorHAnsi" w:hAnsiTheme="minorHAnsi" w:cstheme="minorBidi"/>
          <w:b/>
          <w:sz w:val="20"/>
          <w:szCs w:val="20"/>
        </w:rPr>
        <w:t xml:space="preserve">with </w:t>
      </w:r>
      <w:r w:rsidRPr="06D92705">
        <w:rPr>
          <w:rFonts w:asciiTheme="minorHAnsi" w:hAnsiTheme="minorHAnsi" w:cstheme="minorBidi"/>
          <w:b/>
          <w:sz w:val="20"/>
          <w:szCs w:val="20"/>
        </w:rPr>
        <w:t>increasing demand and growing RES capacity.</w:t>
      </w:r>
      <w:r w:rsidRPr="06D92705">
        <w:rPr>
          <w:rFonts w:asciiTheme="minorHAnsi" w:hAnsiTheme="minorHAnsi" w:cstheme="minorBidi"/>
          <w:sz w:val="20"/>
          <w:szCs w:val="20"/>
        </w:rPr>
        <w:t xml:space="preserve"> Every year 1</w:t>
      </w:r>
      <w:r w:rsidR="0085549C" w:rsidRPr="06D92705">
        <w:rPr>
          <w:rFonts w:asciiTheme="minorHAnsi" w:hAnsiTheme="minorHAnsi" w:cstheme="minorBidi"/>
          <w:sz w:val="20"/>
          <w:szCs w:val="20"/>
        </w:rPr>
        <w:t>.</w:t>
      </w:r>
      <w:r w:rsidRPr="06D92705">
        <w:rPr>
          <w:rFonts w:asciiTheme="minorHAnsi" w:hAnsiTheme="minorHAnsi" w:cstheme="minorBidi"/>
          <w:sz w:val="20"/>
          <w:szCs w:val="20"/>
        </w:rPr>
        <w:t xml:space="preserve">4 million new </w:t>
      </w:r>
      <w:r w:rsidR="0FAD431A" w:rsidRPr="06D92705">
        <w:rPr>
          <w:rFonts w:asciiTheme="minorHAnsi" w:hAnsiTheme="minorHAnsi" w:cstheme="minorBidi"/>
          <w:sz w:val="20"/>
          <w:szCs w:val="20"/>
        </w:rPr>
        <w:t>consumers are</w:t>
      </w:r>
      <w:r w:rsidRPr="06D92705">
        <w:rPr>
          <w:rFonts w:asciiTheme="minorHAnsi" w:hAnsiTheme="minorHAnsi" w:cstheme="minorBidi"/>
          <w:sz w:val="20"/>
          <w:szCs w:val="20"/>
        </w:rPr>
        <w:t xml:space="preserve"> connected to the power grids</w:t>
      </w:r>
      <w:r w:rsidR="00CB2841" w:rsidRPr="06D92705">
        <w:rPr>
          <w:rFonts w:asciiTheme="minorHAnsi" w:hAnsiTheme="minorHAnsi" w:cstheme="minorBidi"/>
          <w:sz w:val="20"/>
          <w:szCs w:val="20"/>
        </w:rPr>
        <w:t xml:space="preserve"> </w:t>
      </w:r>
      <w:r w:rsidR="00207970" w:rsidRPr="06D92705">
        <w:rPr>
          <w:rFonts w:asciiTheme="minorHAnsi" w:hAnsiTheme="minorHAnsi" w:cstheme="minorBidi"/>
          <w:sz w:val="20"/>
          <w:szCs w:val="20"/>
        </w:rPr>
        <w:t xml:space="preserve">(both at transmission and distribution) </w:t>
      </w:r>
      <w:r w:rsidR="00CB2841" w:rsidRPr="06D92705">
        <w:rPr>
          <w:rFonts w:asciiTheme="minorHAnsi" w:hAnsiTheme="minorHAnsi" w:cstheme="minorBidi"/>
          <w:sz w:val="20"/>
          <w:szCs w:val="20"/>
        </w:rPr>
        <w:t>that have aged and</w:t>
      </w:r>
      <w:r w:rsidRPr="06D92705">
        <w:rPr>
          <w:rFonts w:asciiTheme="minorHAnsi" w:hAnsiTheme="minorHAnsi" w:cstheme="minorBidi"/>
          <w:sz w:val="20"/>
          <w:szCs w:val="20"/>
        </w:rPr>
        <w:t xml:space="preserve"> should be replaced. </w:t>
      </w:r>
      <w:r w:rsidR="717D1E44" w:rsidRPr="06D92705">
        <w:rPr>
          <w:rFonts w:asciiTheme="minorHAnsi" w:hAnsiTheme="minorHAnsi" w:cstheme="minorBidi"/>
          <w:sz w:val="20"/>
          <w:szCs w:val="20"/>
        </w:rPr>
        <w:t>An even</w:t>
      </w:r>
      <w:r w:rsidRPr="06D92705">
        <w:rPr>
          <w:rFonts w:asciiTheme="minorHAnsi" w:hAnsiTheme="minorHAnsi" w:cstheme="minorBidi"/>
          <w:sz w:val="20"/>
          <w:szCs w:val="20"/>
        </w:rPr>
        <w:t xml:space="preserve"> greater amount of investment is needed to invest in new capacities needed to integrate renewables, heat pumps and electric charging stations. However, utilities lack the financial capacity and favorable market borrowing conditions to finance these much-needed investments.  </w:t>
      </w:r>
    </w:p>
    <w:p w14:paraId="135923F0" w14:textId="77777777" w:rsidR="009C3A57" w:rsidRPr="0043215C" w:rsidRDefault="009C3A57" w:rsidP="00025BF2">
      <w:pPr>
        <w:pStyle w:val="BodyText"/>
        <w:jc w:val="both"/>
        <w:rPr>
          <w:rFonts w:asciiTheme="minorHAnsi" w:hAnsiTheme="minorHAnsi" w:cstheme="minorHAnsi"/>
          <w:sz w:val="20"/>
          <w:szCs w:val="20"/>
        </w:rPr>
      </w:pPr>
    </w:p>
    <w:p w14:paraId="30A8F4E4" w14:textId="7FF86868" w:rsidR="00F62D09" w:rsidRPr="009E3F7E" w:rsidRDefault="006A11AC" w:rsidP="059B78C6">
      <w:pPr>
        <w:pStyle w:val="Heading4"/>
        <w:rPr>
          <w:rFonts w:asciiTheme="minorHAnsi" w:hAnsiTheme="minorHAnsi" w:cstheme="minorBidi"/>
          <w:sz w:val="20"/>
          <w:szCs w:val="20"/>
        </w:rPr>
      </w:pPr>
      <w:bookmarkStart w:id="51" w:name="_Toc162898764"/>
      <w:bookmarkStart w:id="52" w:name="_Toc162898826"/>
      <w:bookmarkStart w:id="53" w:name="_Toc162962947"/>
      <w:bookmarkStart w:id="54" w:name="_Toc162964124"/>
      <w:bookmarkStart w:id="55" w:name="_Toc170319823"/>
      <w:r w:rsidRPr="059B78C6">
        <w:rPr>
          <w:rStyle w:val="Heading2Char"/>
          <w:rFonts w:asciiTheme="minorHAnsi" w:hAnsiTheme="minorHAnsi" w:cstheme="minorBidi"/>
          <w:sz w:val="20"/>
          <w:szCs w:val="20"/>
        </w:rPr>
        <w:t>Operational Barriers</w:t>
      </w:r>
      <w:bookmarkEnd w:id="51"/>
      <w:bookmarkEnd w:id="52"/>
      <w:bookmarkEnd w:id="53"/>
      <w:bookmarkEnd w:id="54"/>
      <w:bookmarkEnd w:id="55"/>
    </w:p>
    <w:p w14:paraId="2D4A9A37" w14:textId="3F1FE489" w:rsidR="059B78C6" w:rsidRDefault="059B78C6" w:rsidP="059B78C6"/>
    <w:p w14:paraId="5459ABB6" w14:textId="2DEFF274" w:rsidR="001521B3" w:rsidRPr="0043215C" w:rsidRDefault="00232335" w:rsidP="00025BF2">
      <w:pPr>
        <w:pStyle w:val="BodyText"/>
        <w:jc w:val="both"/>
        <w:rPr>
          <w:rFonts w:asciiTheme="minorHAnsi" w:hAnsiTheme="minorHAnsi" w:cstheme="minorBidi"/>
          <w:sz w:val="20"/>
          <w:szCs w:val="20"/>
        </w:rPr>
      </w:pPr>
      <w:r w:rsidRPr="06D92705">
        <w:rPr>
          <w:rFonts w:asciiTheme="minorHAnsi" w:hAnsiTheme="minorHAnsi" w:cstheme="minorBidi"/>
          <w:b/>
          <w:sz w:val="20"/>
          <w:szCs w:val="20"/>
        </w:rPr>
        <w:t xml:space="preserve">Lack of </w:t>
      </w:r>
      <w:r w:rsidR="00FB74F3" w:rsidRPr="06D92705">
        <w:rPr>
          <w:rFonts w:asciiTheme="minorHAnsi" w:hAnsiTheme="minorHAnsi" w:cstheme="minorBidi"/>
          <w:b/>
          <w:sz w:val="20"/>
          <w:szCs w:val="20"/>
        </w:rPr>
        <w:t xml:space="preserve">sufficient </w:t>
      </w:r>
      <w:r w:rsidR="00C32C47" w:rsidRPr="06D92705">
        <w:rPr>
          <w:rFonts w:asciiTheme="minorHAnsi" w:hAnsiTheme="minorHAnsi" w:cstheme="minorBidi"/>
          <w:b/>
          <w:sz w:val="20"/>
          <w:szCs w:val="20"/>
        </w:rPr>
        <w:t>transmission</w:t>
      </w:r>
      <w:r w:rsidR="00FB74F3" w:rsidRPr="06D92705">
        <w:rPr>
          <w:rFonts w:asciiTheme="minorHAnsi" w:hAnsiTheme="minorHAnsi" w:cstheme="minorBidi"/>
          <w:b/>
          <w:sz w:val="20"/>
          <w:szCs w:val="20"/>
        </w:rPr>
        <w:t xml:space="preserve"> capacity to integrate RES </w:t>
      </w:r>
      <w:r w:rsidR="000F405E" w:rsidRPr="06D92705">
        <w:rPr>
          <w:rFonts w:asciiTheme="minorHAnsi" w:hAnsiTheme="minorHAnsi" w:cstheme="minorBidi"/>
          <w:b/>
          <w:sz w:val="20"/>
          <w:szCs w:val="20"/>
        </w:rPr>
        <w:t xml:space="preserve">is a major </w:t>
      </w:r>
      <w:r w:rsidR="001C0F52" w:rsidRPr="06D92705">
        <w:rPr>
          <w:rFonts w:asciiTheme="minorHAnsi" w:hAnsiTheme="minorHAnsi" w:cstheme="minorBidi"/>
          <w:b/>
          <w:sz w:val="20"/>
          <w:szCs w:val="20"/>
        </w:rPr>
        <w:t>c</w:t>
      </w:r>
      <w:r w:rsidR="000F405E" w:rsidRPr="06D92705">
        <w:rPr>
          <w:rFonts w:asciiTheme="minorHAnsi" w:hAnsiTheme="minorHAnsi" w:cstheme="minorBidi"/>
          <w:b/>
          <w:sz w:val="20"/>
          <w:szCs w:val="20"/>
        </w:rPr>
        <w:t xml:space="preserve">hallenge for 2035 targets which </w:t>
      </w:r>
      <w:r w:rsidR="00726F15" w:rsidRPr="06D92705">
        <w:rPr>
          <w:rFonts w:asciiTheme="minorHAnsi" w:hAnsiTheme="minorHAnsi" w:cstheme="minorBidi"/>
          <w:b/>
          <w:sz w:val="20"/>
          <w:szCs w:val="20"/>
        </w:rPr>
        <w:t>Türkiye</w:t>
      </w:r>
      <w:r w:rsidR="000F405E" w:rsidRPr="06D92705">
        <w:rPr>
          <w:rFonts w:asciiTheme="minorHAnsi" w:hAnsiTheme="minorHAnsi" w:cstheme="minorBidi"/>
          <w:b/>
          <w:sz w:val="20"/>
          <w:szCs w:val="20"/>
        </w:rPr>
        <w:t xml:space="preserve"> National Energy Plan </w:t>
      </w:r>
      <w:r w:rsidR="000B1BFF" w:rsidRPr="06D92705">
        <w:rPr>
          <w:rFonts w:asciiTheme="minorHAnsi" w:hAnsiTheme="minorHAnsi" w:cstheme="minorBidi"/>
          <w:b/>
          <w:sz w:val="20"/>
          <w:szCs w:val="20"/>
        </w:rPr>
        <w:t xml:space="preserve">(NEP) </w:t>
      </w:r>
      <w:r w:rsidR="000F405E" w:rsidRPr="06D92705">
        <w:rPr>
          <w:rFonts w:asciiTheme="minorHAnsi" w:hAnsiTheme="minorHAnsi" w:cstheme="minorBidi"/>
          <w:b/>
          <w:sz w:val="20"/>
          <w:szCs w:val="20"/>
        </w:rPr>
        <w:t>envisages.</w:t>
      </w:r>
      <w:r w:rsidR="000F405E" w:rsidRPr="06D92705">
        <w:rPr>
          <w:rFonts w:asciiTheme="minorHAnsi" w:hAnsiTheme="minorHAnsi" w:cstheme="minorBidi"/>
          <w:sz w:val="20"/>
          <w:szCs w:val="20"/>
        </w:rPr>
        <w:t xml:space="preserve"> MENR </w:t>
      </w:r>
      <w:r w:rsidR="001E00A6" w:rsidRPr="06D92705">
        <w:rPr>
          <w:rFonts w:asciiTheme="minorHAnsi" w:hAnsiTheme="minorHAnsi" w:cstheme="minorBidi"/>
          <w:sz w:val="20"/>
          <w:szCs w:val="20"/>
        </w:rPr>
        <w:t xml:space="preserve">aims to </w:t>
      </w:r>
      <w:r w:rsidR="000C3943" w:rsidRPr="06D92705">
        <w:rPr>
          <w:rFonts w:asciiTheme="minorHAnsi" w:hAnsiTheme="minorHAnsi" w:cstheme="minorBidi"/>
          <w:sz w:val="20"/>
          <w:szCs w:val="20"/>
        </w:rPr>
        <w:t xml:space="preserve">increase the RES capacity </w:t>
      </w:r>
      <w:r w:rsidR="00722CB3" w:rsidRPr="06D92705">
        <w:rPr>
          <w:rFonts w:asciiTheme="minorHAnsi" w:hAnsiTheme="minorHAnsi" w:cstheme="minorBidi"/>
          <w:sz w:val="20"/>
          <w:szCs w:val="20"/>
        </w:rPr>
        <w:t>by</w:t>
      </w:r>
      <w:r w:rsidR="000C3943" w:rsidRPr="06D92705">
        <w:rPr>
          <w:rFonts w:asciiTheme="minorHAnsi" w:hAnsiTheme="minorHAnsi" w:cstheme="minorBidi"/>
          <w:sz w:val="20"/>
          <w:szCs w:val="20"/>
        </w:rPr>
        <w:t xml:space="preserve"> 5 GW </w:t>
      </w:r>
      <w:r w:rsidR="00722CB3" w:rsidRPr="06D92705">
        <w:rPr>
          <w:rFonts w:asciiTheme="minorHAnsi" w:hAnsiTheme="minorHAnsi" w:cstheme="minorBidi"/>
          <w:sz w:val="20"/>
          <w:szCs w:val="20"/>
        </w:rPr>
        <w:t>annually</w:t>
      </w:r>
      <w:r w:rsidR="000C3943" w:rsidRPr="06D92705">
        <w:rPr>
          <w:rFonts w:asciiTheme="minorHAnsi" w:hAnsiTheme="minorHAnsi" w:cstheme="minorBidi"/>
          <w:sz w:val="20"/>
          <w:szCs w:val="20"/>
        </w:rPr>
        <w:t xml:space="preserve">. However, </w:t>
      </w:r>
      <w:r w:rsidR="00A97BC8" w:rsidRPr="06D92705">
        <w:rPr>
          <w:rFonts w:asciiTheme="minorHAnsi" w:hAnsiTheme="minorHAnsi" w:cstheme="minorBidi"/>
          <w:sz w:val="20"/>
          <w:szCs w:val="20"/>
        </w:rPr>
        <w:t xml:space="preserve">Turkish </w:t>
      </w:r>
      <w:r w:rsidR="00D61B82" w:rsidRPr="06D92705">
        <w:rPr>
          <w:rFonts w:asciiTheme="minorHAnsi" w:hAnsiTheme="minorHAnsi" w:cstheme="minorBidi"/>
          <w:sz w:val="20"/>
          <w:szCs w:val="20"/>
        </w:rPr>
        <w:t>Electric</w:t>
      </w:r>
      <w:r w:rsidR="63AB0F86" w:rsidRPr="06D92705">
        <w:rPr>
          <w:rFonts w:asciiTheme="minorHAnsi" w:hAnsiTheme="minorHAnsi" w:cstheme="minorBidi"/>
          <w:sz w:val="20"/>
          <w:szCs w:val="20"/>
        </w:rPr>
        <w:t>ity</w:t>
      </w:r>
      <w:r w:rsidR="00D61B82" w:rsidRPr="06D92705">
        <w:rPr>
          <w:rFonts w:asciiTheme="minorHAnsi" w:hAnsiTheme="minorHAnsi" w:cstheme="minorBidi"/>
          <w:sz w:val="20"/>
          <w:szCs w:val="20"/>
        </w:rPr>
        <w:t xml:space="preserve"> Transmission Company</w:t>
      </w:r>
      <w:r w:rsidR="00722CB3" w:rsidRPr="06D92705">
        <w:rPr>
          <w:rFonts w:asciiTheme="minorHAnsi" w:hAnsiTheme="minorHAnsi" w:cstheme="minorBidi"/>
          <w:sz w:val="20"/>
          <w:szCs w:val="20"/>
        </w:rPr>
        <w:t>’s</w:t>
      </w:r>
      <w:r w:rsidR="00D61B82" w:rsidRPr="06D92705">
        <w:rPr>
          <w:rFonts w:asciiTheme="minorHAnsi" w:hAnsiTheme="minorHAnsi" w:cstheme="minorBidi"/>
          <w:sz w:val="20"/>
          <w:szCs w:val="20"/>
        </w:rPr>
        <w:t xml:space="preserve"> (</w:t>
      </w:r>
      <w:r w:rsidR="002B50C9" w:rsidRPr="06D92705">
        <w:rPr>
          <w:rFonts w:asciiTheme="minorHAnsi" w:hAnsiTheme="minorHAnsi" w:cstheme="minorBidi"/>
          <w:sz w:val="20"/>
          <w:szCs w:val="20"/>
        </w:rPr>
        <w:t>TEİAŞ</w:t>
      </w:r>
      <w:r w:rsidR="00D61B82" w:rsidRPr="06D92705">
        <w:rPr>
          <w:rFonts w:asciiTheme="minorHAnsi" w:hAnsiTheme="minorHAnsi" w:cstheme="minorBidi"/>
          <w:sz w:val="20"/>
          <w:szCs w:val="20"/>
        </w:rPr>
        <w:t>)</w:t>
      </w:r>
      <w:r w:rsidR="00034BDF" w:rsidRPr="06D92705">
        <w:rPr>
          <w:rFonts w:asciiTheme="minorHAnsi" w:hAnsiTheme="minorHAnsi" w:cstheme="minorBidi"/>
          <w:sz w:val="20"/>
          <w:szCs w:val="20"/>
        </w:rPr>
        <w:t xml:space="preserve"> </w:t>
      </w:r>
      <w:r w:rsidR="0059333F" w:rsidRPr="06D92705">
        <w:rPr>
          <w:rFonts w:asciiTheme="minorHAnsi" w:hAnsiTheme="minorHAnsi" w:cstheme="minorBidi"/>
          <w:sz w:val="20"/>
          <w:szCs w:val="20"/>
        </w:rPr>
        <w:t>long term strategies and plans are ambiguous</w:t>
      </w:r>
      <w:r w:rsidR="00D75F1A" w:rsidRPr="06D92705">
        <w:rPr>
          <w:rFonts w:asciiTheme="minorHAnsi" w:hAnsiTheme="minorHAnsi" w:cstheme="minorBidi"/>
          <w:sz w:val="20"/>
          <w:szCs w:val="20"/>
        </w:rPr>
        <w:t xml:space="preserve">. </w:t>
      </w:r>
      <w:r w:rsidR="0059333F" w:rsidRPr="06D92705">
        <w:rPr>
          <w:rFonts w:asciiTheme="minorHAnsi" w:hAnsiTheme="minorHAnsi" w:cstheme="minorBidi"/>
          <w:sz w:val="20"/>
          <w:szCs w:val="20"/>
        </w:rPr>
        <w:t xml:space="preserve"> </w:t>
      </w:r>
      <w:r w:rsidR="00D75F1A" w:rsidRPr="06D92705">
        <w:rPr>
          <w:rFonts w:asciiTheme="minorHAnsi" w:hAnsiTheme="minorHAnsi" w:cstheme="minorBidi"/>
          <w:sz w:val="20"/>
          <w:szCs w:val="20"/>
        </w:rPr>
        <w:t>C</w:t>
      </w:r>
      <w:r w:rsidR="001C0F52" w:rsidRPr="06D92705">
        <w:rPr>
          <w:rFonts w:asciiTheme="minorHAnsi" w:hAnsiTheme="minorHAnsi" w:cstheme="minorBidi"/>
          <w:sz w:val="20"/>
          <w:szCs w:val="20"/>
        </w:rPr>
        <w:t>larity and predictability for invest</w:t>
      </w:r>
      <w:r w:rsidR="00726F15" w:rsidRPr="06D92705">
        <w:rPr>
          <w:rFonts w:asciiTheme="minorHAnsi" w:hAnsiTheme="minorHAnsi" w:cstheme="minorBidi"/>
          <w:sz w:val="20"/>
          <w:szCs w:val="20"/>
        </w:rPr>
        <w:t>ors</w:t>
      </w:r>
      <w:r w:rsidR="00D75F1A" w:rsidRPr="06D92705">
        <w:rPr>
          <w:rFonts w:asciiTheme="minorHAnsi" w:hAnsiTheme="minorHAnsi" w:cstheme="minorBidi"/>
          <w:sz w:val="20"/>
          <w:szCs w:val="20"/>
        </w:rPr>
        <w:t xml:space="preserve"> is needed in terms of the connection capacit</w:t>
      </w:r>
      <w:r w:rsidR="00525820" w:rsidRPr="06D92705">
        <w:rPr>
          <w:rFonts w:asciiTheme="minorHAnsi" w:hAnsiTheme="minorHAnsi" w:cstheme="minorBidi"/>
          <w:sz w:val="20"/>
          <w:szCs w:val="20"/>
        </w:rPr>
        <w:t>y</w:t>
      </w:r>
      <w:r w:rsidR="69BB0994" w:rsidRPr="06D92705">
        <w:rPr>
          <w:rFonts w:asciiTheme="minorHAnsi" w:hAnsiTheme="minorHAnsi" w:cstheme="minorBidi"/>
          <w:sz w:val="20"/>
          <w:szCs w:val="20"/>
        </w:rPr>
        <w:t>,</w:t>
      </w:r>
      <w:r w:rsidR="00525820" w:rsidRPr="06D92705">
        <w:rPr>
          <w:rFonts w:asciiTheme="minorHAnsi" w:hAnsiTheme="minorHAnsi" w:cstheme="minorBidi"/>
          <w:sz w:val="20"/>
          <w:szCs w:val="20"/>
        </w:rPr>
        <w:t xml:space="preserve"> </w:t>
      </w:r>
      <w:proofErr w:type="gramStart"/>
      <w:r w:rsidR="00525820" w:rsidRPr="06D92705">
        <w:rPr>
          <w:rFonts w:asciiTheme="minorHAnsi" w:hAnsiTheme="minorHAnsi" w:cstheme="minorBidi"/>
          <w:sz w:val="20"/>
          <w:szCs w:val="20"/>
        </w:rPr>
        <w:t>volumes</w:t>
      </w:r>
      <w:proofErr w:type="gramEnd"/>
      <w:r w:rsidR="00525820" w:rsidRPr="06D92705">
        <w:rPr>
          <w:rFonts w:asciiTheme="minorHAnsi" w:hAnsiTheme="minorHAnsi" w:cstheme="minorBidi"/>
          <w:sz w:val="20"/>
          <w:szCs w:val="20"/>
        </w:rPr>
        <w:t xml:space="preserve"> and locations</w:t>
      </w:r>
      <w:r w:rsidR="00726F15" w:rsidRPr="06D92705">
        <w:rPr>
          <w:rFonts w:asciiTheme="minorHAnsi" w:hAnsiTheme="minorHAnsi" w:cstheme="minorBidi"/>
          <w:sz w:val="20"/>
          <w:szCs w:val="20"/>
        </w:rPr>
        <w:t xml:space="preserve">. </w:t>
      </w:r>
    </w:p>
    <w:p w14:paraId="2E7CCAE1" w14:textId="77777777" w:rsidR="00525820" w:rsidRPr="0043215C" w:rsidRDefault="00525820" w:rsidP="00025BF2">
      <w:pPr>
        <w:pStyle w:val="BodyText"/>
        <w:jc w:val="both"/>
        <w:rPr>
          <w:rFonts w:asciiTheme="minorHAnsi" w:hAnsiTheme="minorHAnsi" w:cstheme="minorHAnsi"/>
          <w:sz w:val="20"/>
          <w:szCs w:val="20"/>
        </w:rPr>
      </w:pPr>
    </w:p>
    <w:p w14:paraId="7B49AC59" w14:textId="3CDC8712" w:rsidR="00143FF1" w:rsidRPr="0043215C" w:rsidRDefault="00143FF1" w:rsidP="00025BF2">
      <w:pPr>
        <w:pStyle w:val="BodyText"/>
        <w:jc w:val="both"/>
        <w:rPr>
          <w:rFonts w:asciiTheme="minorHAnsi" w:hAnsiTheme="minorHAnsi" w:cstheme="minorBidi"/>
          <w:sz w:val="20"/>
          <w:szCs w:val="20"/>
        </w:rPr>
      </w:pPr>
      <w:r w:rsidRPr="06D92705">
        <w:rPr>
          <w:rFonts w:asciiTheme="minorHAnsi" w:hAnsiTheme="minorHAnsi" w:cstheme="minorBidi"/>
          <w:b/>
          <w:sz w:val="20"/>
          <w:szCs w:val="20"/>
        </w:rPr>
        <w:t xml:space="preserve">Allocation of transmission capacities </w:t>
      </w:r>
      <w:proofErr w:type="gramStart"/>
      <w:r w:rsidRPr="06D92705">
        <w:rPr>
          <w:rFonts w:asciiTheme="minorHAnsi" w:hAnsiTheme="minorHAnsi" w:cstheme="minorBidi"/>
          <w:b/>
          <w:sz w:val="20"/>
          <w:szCs w:val="20"/>
        </w:rPr>
        <w:t>with regard to</w:t>
      </w:r>
      <w:proofErr w:type="gramEnd"/>
      <w:r w:rsidRPr="06D92705">
        <w:rPr>
          <w:rFonts w:asciiTheme="minorHAnsi" w:hAnsiTheme="minorHAnsi" w:cstheme="minorBidi"/>
          <w:b/>
          <w:sz w:val="20"/>
          <w:szCs w:val="20"/>
        </w:rPr>
        <w:t xml:space="preserve"> investor groups </w:t>
      </w:r>
      <w:r w:rsidR="65031EE1" w:rsidRPr="06D92705">
        <w:rPr>
          <w:rFonts w:asciiTheme="minorHAnsi" w:hAnsiTheme="minorHAnsi" w:cstheme="minorBidi"/>
          <w:b/>
          <w:bCs/>
          <w:sz w:val="20"/>
          <w:szCs w:val="20"/>
        </w:rPr>
        <w:t>creates</w:t>
      </w:r>
      <w:r w:rsidRPr="06D92705">
        <w:rPr>
          <w:rFonts w:asciiTheme="minorHAnsi" w:hAnsiTheme="minorHAnsi" w:cstheme="minorBidi"/>
          <w:b/>
          <w:bCs/>
          <w:sz w:val="20"/>
          <w:szCs w:val="20"/>
        </w:rPr>
        <w:t xml:space="preserve"> </w:t>
      </w:r>
      <w:r w:rsidR="00AF0881" w:rsidRPr="06D92705">
        <w:rPr>
          <w:rFonts w:asciiTheme="minorHAnsi" w:hAnsiTheme="minorHAnsi" w:cstheme="minorBidi"/>
          <w:b/>
          <w:sz w:val="20"/>
          <w:szCs w:val="20"/>
        </w:rPr>
        <w:t xml:space="preserve">further </w:t>
      </w:r>
      <w:r w:rsidR="001972BE" w:rsidRPr="06D92705">
        <w:rPr>
          <w:rFonts w:asciiTheme="minorHAnsi" w:hAnsiTheme="minorHAnsi" w:cstheme="minorBidi"/>
          <w:b/>
          <w:sz w:val="20"/>
          <w:szCs w:val="20"/>
        </w:rPr>
        <w:t>uncertainty for investors.</w:t>
      </w:r>
      <w:r w:rsidR="001972BE" w:rsidRPr="06D92705">
        <w:rPr>
          <w:rFonts w:asciiTheme="minorHAnsi" w:hAnsiTheme="minorHAnsi" w:cstheme="minorBidi"/>
          <w:sz w:val="20"/>
          <w:szCs w:val="20"/>
        </w:rPr>
        <w:t xml:space="preserve"> </w:t>
      </w:r>
      <w:r w:rsidR="00AC561B" w:rsidRPr="06D92705">
        <w:rPr>
          <w:rFonts w:asciiTheme="minorHAnsi" w:hAnsiTheme="minorHAnsi" w:cstheme="minorBidi"/>
          <w:sz w:val="20"/>
          <w:szCs w:val="20"/>
        </w:rPr>
        <w:t xml:space="preserve">Allocation of </w:t>
      </w:r>
      <w:r w:rsidR="00F02883" w:rsidRPr="06D92705">
        <w:rPr>
          <w:rFonts w:asciiTheme="minorHAnsi" w:hAnsiTheme="minorHAnsi" w:cstheme="minorBidi"/>
          <w:sz w:val="20"/>
          <w:szCs w:val="20"/>
        </w:rPr>
        <w:t>c</w:t>
      </w:r>
      <w:r w:rsidR="0072202C" w:rsidRPr="06D92705">
        <w:rPr>
          <w:rFonts w:asciiTheme="minorHAnsi" w:hAnsiTheme="minorHAnsi" w:cstheme="minorBidi"/>
          <w:sz w:val="20"/>
          <w:szCs w:val="20"/>
        </w:rPr>
        <w:t xml:space="preserve">apacities </w:t>
      </w:r>
      <w:r w:rsidR="00F02883" w:rsidRPr="06D92705">
        <w:rPr>
          <w:rFonts w:asciiTheme="minorHAnsi" w:hAnsiTheme="minorHAnsi" w:cstheme="minorBidi"/>
          <w:sz w:val="20"/>
          <w:szCs w:val="20"/>
        </w:rPr>
        <w:t>for</w:t>
      </w:r>
      <w:r w:rsidR="0081249F" w:rsidRPr="06D92705">
        <w:rPr>
          <w:rFonts w:asciiTheme="minorHAnsi" w:hAnsiTheme="minorHAnsi" w:cstheme="minorBidi"/>
          <w:sz w:val="20"/>
          <w:szCs w:val="20"/>
        </w:rPr>
        <w:t xml:space="preserve"> self-consumption</w:t>
      </w:r>
      <w:r w:rsidR="00E4235E" w:rsidRPr="06D92705">
        <w:rPr>
          <w:rFonts w:asciiTheme="minorHAnsi" w:hAnsiTheme="minorHAnsi" w:cstheme="minorBidi"/>
          <w:sz w:val="20"/>
          <w:szCs w:val="20"/>
        </w:rPr>
        <w:t xml:space="preserve">, </w:t>
      </w:r>
      <w:r w:rsidR="00C0160D" w:rsidRPr="06D92705">
        <w:rPr>
          <w:rFonts w:asciiTheme="minorHAnsi" w:hAnsiTheme="minorHAnsi" w:cstheme="minorBidi"/>
          <w:sz w:val="20"/>
          <w:szCs w:val="20"/>
        </w:rPr>
        <w:t>hybrid storage with wind and solar</w:t>
      </w:r>
      <w:r w:rsidR="004A6898" w:rsidRPr="06D92705">
        <w:rPr>
          <w:rFonts w:asciiTheme="minorHAnsi" w:hAnsiTheme="minorHAnsi" w:cstheme="minorBidi"/>
          <w:sz w:val="20"/>
          <w:szCs w:val="20"/>
        </w:rPr>
        <w:t xml:space="preserve"> and conve</w:t>
      </w:r>
      <w:r w:rsidR="007B6FBA" w:rsidRPr="06D92705">
        <w:rPr>
          <w:rFonts w:asciiTheme="minorHAnsi" w:hAnsiTheme="minorHAnsi" w:cstheme="minorBidi"/>
          <w:sz w:val="20"/>
          <w:szCs w:val="20"/>
        </w:rPr>
        <w:t xml:space="preserve">ntional RES investments </w:t>
      </w:r>
      <w:r w:rsidR="004A6898" w:rsidRPr="06D92705">
        <w:rPr>
          <w:rFonts w:asciiTheme="minorHAnsi" w:hAnsiTheme="minorHAnsi" w:cstheme="minorBidi"/>
          <w:sz w:val="20"/>
          <w:szCs w:val="20"/>
        </w:rPr>
        <w:t xml:space="preserve">are </w:t>
      </w:r>
      <w:r w:rsidR="00AB621A" w:rsidRPr="06D92705">
        <w:rPr>
          <w:rFonts w:asciiTheme="minorHAnsi" w:hAnsiTheme="minorHAnsi" w:cstheme="minorBidi"/>
          <w:sz w:val="20"/>
          <w:szCs w:val="20"/>
        </w:rPr>
        <w:t xml:space="preserve">not shared with the public in advance which creates </w:t>
      </w:r>
      <w:r w:rsidR="009E4709" w:rsidRPr="06D92705">
        <w:rPr>
          <w:rFonts w:asciiTheme="minorHAnsi" w:hAnsiTheme="minorHAnsi" w:cstheme="minorBidi"/>
          <w:sz w:val="20"/>
          <w:szCs w:val="20"/>
        </w:rPr>
        <w:t>un</w:t>
      </w:r>
      <w:r w:rsidR="00A60F92" w:rsidRPr="06D92705">
        <w:rPr>
          <w:rFonts w:asciiTheme="minorHAnsi" w:hAnsiTheme="minorHAnsi" w:cstheme="minorBidi"/>
          <w:sz w:val="20"/>
          <w:szCs w:val="20"/>
        </w:rPr>
        <w:t>predictab</w:t>
      </w:r>
      <w:r w:rsidR="00536948" w:rsidRPr="06D92705">
        <w:rPr>
          <w:rFonts w:asciiTheme="minorHAnsi" w:hAnsiTheme="minorHAnsi" w:cstheme="minorBidi"/>
          <w:sz w:val="20"/>
          <w:szCs w:val="20"/>
        </w:rPr>
        <w:t>ility for</w:t>
      </w:r>
      <w:r w:rsidR="00A85C91" w:rsidRPr="06D92705">
        <w:rPr>
          <w:rFonts w:asciiTheme="minorHAnsi" w:hAnsiTheme="minorHAnsi" w:cstheme="minorBidi"/>
          <w:sz w:val="20"/>
          <w:szCs w:val="20"/>
        </w:rPr>
        <w:t xml:space="preserve"> merchant investors.</w:t>
      </w:r>
      <w:r w:rsidR="00536948" w:rsidRPr="06D92705">
        <w:rPr>
          <w:rFonts w:asciiTheme="minorHAnsi" w:hAnsiTheme="minorHAnsi" w:cstheme="minorBidi"/>
          <w:sz w:val="20"/>
          <w:szCs w:val="20"/>
        </w:rPr>
        <w:t xml:space="preserve"> </w:t>
      </w:r>
      <w:r w:rsidR="00DA5398" w:rsidRPr="06D92705">
        <w:rPr>
          <w:rFonts w:asciiTheme="minorHAnsi" w:hAnsiTheme="minorHAnsi" w:cstheme="minorBidi"/>
          <w:sz w:val="20"/>
          <w:szCs w:val="20"/>
        </w:rPr>
        <w:t xml:space="preserve"> </w:t>
      </w:r>
    </w:p>
    <w:p w14:paraId="3A88A925" w14:textId="77777777" w:rsidR="00525820" w:rsidRPr="0043215C" w:rsidRDefault="00525820" w:rsidP="00025BF2">
      <w:pPr>
        <w:pStyle w:val="BodyText"/>
        <w:jc w:val="both"/>
        <w:rPr>
          <w:rFonts w:asciiTheme="minorHAnsi" w:hAnsiTheme="minorHAnsi" w:cstheme="minorHAnsi"/>
          <w:sz w:val="20"/>
          <w:szCs w:val="20"/>
        </w:rPr>
      </w:pPr>
    </w:p>
    <w:p w14:paraId="42BA8D2D" w14:textId="10C4729D" w:rsidR="006A11AC" w:rsidRPr="0043215C" w:rsidRDefault="00D97B00" w:rsidP="00025BF2">
      <w:pPr>
        <w:pStyle w:val="BodyText"/>
        <w:jc w:val="both"/>
        <w:rPr>
          <w:rFonts w:asciiTheme="minorHAnsi" w:hAnsiTheme="minorHAnsi" w:cstheme="minorBidi"/>
          <w:sz w:val="20"/>
          <w:szCs w:val="20"/>
        </w:rPr>
      </w:pPr>
      <w:r w:rsidRPr="06D92705">
        <w:rPr>
          <w:rFonts w:asciiTheme="minorHAnsi" w:hAnsiTheme="minorHAnsi" w:cstheme="minorBidi"/>
          <w:b/>
          <w:sz w:val="20"/>
          <w:szCs w:val="20"/>
        </w:rPr>
        <w:t>One-stop application combining all rules and procedures under one body would simplify and shorten permitting processes and encourage RES investors.</w:t>
      </w:r>
      <w:r w:rsidRPr="06D92705">
        <w:rPr>
          <w:rFonts w:asciiTheme="minorHAnsi" w:hAnsiTheme="minorHAnsi" w:cstheme="minorBidi"/>
          <w:sz w:val="20"/>
          <w:szCs w:val="20"/>
        </w:rPr>
        <w:t xml:space="preserve"> </w:t>
      </w:r>
      <w:r w:rsidR="006A11AC" w:rsidRPr="06D92705">
        <w:rPr>
          <w:rFonts w:asciiTheme="minorHAnsi" w:hAnsiTheme="minorHAnsi" w:cstheme="minorBidi"/>
          <w:sz w:val="20"/>
          <w:szCs w:val="20"/>
        </w:rPr>
        <w:t xml:space="preserve">Complex and lengthy approval and permit process is one of the main operational barriers for investors. Depending on the RE source, investors need to apply to various authorities and institutions to receive necessary approvals and permits. </w:t>
      </w:r>
      <w:r w:rsidR="3D60DB48" w:rsidRPr="06D92705">
        <w:rPr>
          <w:rFonts w:asciiTheme="minorHAnsi" w:hAnsiTheme="minorHAnsi" w:cstheme="minorBidi"/>
          <w:sz w:val="20"/>
          <w:szCs w:val="20"/>
        </w:rPr>
        <w:t>The long</w:t>
      </w:r>
      <w:r w:rsidR="006A11AC" w:rsidRPr="06D92705">
        <w:rPr>
          <w:rFonts w:asciiTheme="minorHAnsi" w:hAnsiTheme="minorHAnsi" w:cstheme="minorBidi"/>
          <w:sz w:val="20"/>
          <w:szCs w:val="20"/>
        </w:rPr>
        <w:t xml:space="preserve"> lead time due to several separate bodies involved in the permitting process and lack of coordination between stakeholders complicates RE investments. One-stop application combining all rules and procedures under one body would simplify and shorten permitting processes and </w:t>
      </w:r>
      <w:r w:rsidR="006A11AC" w:rsidRPr="06D92705">
        <w:rPr>
          <w:rFonts w:asciiTheme="minorHAnsi" w:hAnsiTheme="minorHAnsi" w:cstheme="minorBidi"/>
          <w:sz w:val="20"/>
          <w:szCs w:val="20"/>
        </w:rPr>
        <w:lastRenderedPageBreak/>
        <w:t xml:space="preserve">encourage RES investors. </w:t>
      </w:r>
    </w:p>
    <w:p w14:paraId="70F86C36" w14:textId="77777777" w:rsidR="002D56A2" w:rsidRPr="0043215C" w:rsidRDefault="002D56A2" w:rsidP="00025BF2">
      <w:pPr>
        <w:pStyle w:val="BodyText"/>
        <w:jc w:val="both"/>
        <w:rPr>
          <w:rFonts w:asciiTheme="minorHAnsi" w:hAnsiTheme="minorHAnsi" w:cstheme="minorHAnsi"/>
          <w:sz w:val="20"/>
          <w:szCs w:val="20"/>
        </w:rPr>
      </w:pPr>
    </w:p>
    <w:p w14:paraId="09C6C62D" w14:textId="186CA3BE" w:rsidR="006A11AC" w:rsidRPr="0043215C" w:rsidRDefault="006A11AC" w:rsidP="00025BF2">
      <w:pPr>
        <w:pStyle w:val="BodyText"/>
        <w:jc w:val="both"/>
        <w:rPr>
          <w:rFonts w:asciiTheme="minorHAnsi" w:hAnsiTheme="minorHAnsi" w:cstheme="minorHAnsi"/>
          <w:sz w:val="20"/>
          <w:szCs w:val="20"/>
        </w:rPr>
      </w:pPr>
      <w:r w:rsidRPr="0043215C">
        <w:rPr>
          <w:rFonts w:asciiTheme="minorHAnsi" w:hAnsiTheme="minorHAnsi" w:cstheme="minorHAnsi"/>
          <w:b/>
          <w:sz w:val="20"/>
          <w:szCs w:val="20"/>
        </w:rPr>
        <w:t xml:space="preserve">Instant load management is a significant concern as </w:t>
      </w:r>
      <w:r w:rsidR="00B52EF6" w:rsidRPr="0043215C">
        <w:rPr>
          <w:rFonts w:asciiTheme="minorHAnsi" w:hAnsiTheme="minorHAnsi" w:cstheme="minorHAnsi"/>
          <w:b/>
          <w:sz w:val="20"/>
          <w:szCs w:val="20"/>
        </w:rPr>
        <w:t>a g</w:t>
      </w:r>
      <w:r w:rsidR="001521B3" w:rsidRPr="0043215C">
        <w:rPr>
          <w:rFonts w:asciiTheme="minorHAnsi" w:hAnsiTheme="minorHAnsi" w:cstheme="minorHAnsi"/>
          <w:b/>
          <w:sz w:val="20"/>
          <w:szCs w:val="20"/>
        </w:rPr>
        <w:t>reater</w:t>
      </w:r>
      <w:r w:rsidRPr="0043215C">
        <w:rPr>
          <w:rFonts w:asciiTheme="minorHAnsi" w:hAnsiTheme="minorHAnsi" w:cstheme="minorHAnsi"/>
          <w:b/>
          <w:sz w:val="20"/>
          <w:szCs w:val="20"/>
        </w:rPr>
        <w:t xml:space="preserve"> unlicensed RES capacity is connected to the transmission and distribution grid.</w:t>
      </w:r>
      <w:r w:rsidRPr="0043215C">
        <w:rPr>
          <w:rFonts w:asciiTheme="minorHAnsi" w:hAnsiTheme="minorHAnsi" w:cstheme="minorHAnsi"/>
          <w:sz w:val="20"/>
          <w:szCs w:val="20"/>
        </w:rPr>
        <w:t xml:space="preserve"> Monitoring, controlling, and balancing the supply of these facilities is critical to manage overall energy system. However, sufficient investment for smart grid and digitalization is absent.</w:t>
      </w:r>
    </w:p>
    <w:p w14:paraId="28098A2F" w14:textId="77777777" w:rsidR="00025BF2" w:rsidRPr="0043215C" w:rsidRDefault="00025BF2" w:rsidP="00025BF2">
      <w:pPr>
        <w:pStyle w:val="BodyText"/>
        <w:jc w:val="both"/>
        <w:rPr>
          <w:rFonts w:asciiTheme="minorHAnsi" w:hAnsiTheme="minorHAnsi" w:cstheme="minorHAnsi"/>
          <w:sz w:val="20"/>
          <w:szCs w:val="20"/>
        </w:rPr>
      </w:pPr>
    </w:p>
    <w:p w14:paraId="422F3CFD" w14:textId="1D46D655" w:rsidR="00F62D09" w:rsidRPr="009E3F7E" w:rsidRDefault="006A11AC" w:rsidP="009E3F7E">
      <w:pPr>
        <w:pStyle w:val="Heading4"/>
        <w:rPr>
          <w:rFonts w:asciiTheme="minorHAnsi" w:hAnsiTheme="minorHAnsi" w:cstheme="minorHAnsi"/>
          <w:sz w:val="20"/>
          <w:szCs w:val="20"/>
        </w:rPr>
      </w:pPr>
      <w:bookmarkStart w:id="56" w:name="_Toc162898765"/>
      <w:bookmarkStart w:id="57" w:name="_Toc162898827"/>
      <w:bookmarkStart w:id="58" w:name="_Toc162962948"/>
      <w:bookmarkStart w:id="59" w:name="_Toc162964125"/>
      <w:bookmarkStart w:id="60" w:name="_Toc170319824"/>
      <w:r w:rsidRPr="059B78C6">
        <w:rPr>
          <w:rStyle w:val="Heading2Char"/>
          <w:rFonts w:asciiTheme="minorHAnsi" w:hAnsiTheme="minorHAnsi" w:cstheme="minorBidi"/>
          <w:sz w:val="20"/>
          <w:szCs w:val="20"/>
        </w:rPr>
        <w:t>Regulatory Barriers</w:t>
      </w:r>
      <w:bookmarkEnd w:id="56"/>
      <w:bookmarkEnd w:id="57"/>
      <w:bookmarkEnd w:id="58"/>
      <w:bookmarkEnd w:id="59"/>
      <w:bookmarkEnd w:id="60"/>
      <w:r w:rsidRPr="059B78C6">
        <w:rPr>
          <w:rStyle w:val="Heading2Char"/>
          <w:rFonts w:asciiTheme="minorHAnsi" w:hAnsiTheme="minorHAnsi" w:cstheme="minorBidi"/>
          <w:sz w:val="20"/>
          <w:szCs w:val="20"/>
        </w:rPr>
        <w:t xml:space="preserve"> </w:t>
      </w:r>
    </w:p>
    <w:p w14:paraId="2BFDB24A" w14:textId="3546257F" w:rsidR="059B78C6" w:rsidRDefault="059B78C6" w:rsidP="059B78C6"/>
    <w:p w14:paraId="6610783D" w14:textId="17403A04" w:rsidR="007E02E6" w:rsidRPr="0043215C" w:rsidRDefault="00EC2EAB" w:rsidP="00025BF2">
      <w:pPr>
        <w:pStyle w:val="BodyText"/>
        <w:jc w:val="both"/>
        <w:rPr>
          <w:rFonts w:asciiTheme="minorHAnsi" w:hAnsiTheme="minorHAnsi" w:cstheme="minorBidi"/>
          <w:sz w:val="20"/>
          <w:szCs w:val="20"/>
        </w:rPr>
      </w:pPr>
      <w:r w:rsidRPr="06D92705">
        <w:rPr>
          <w:rFonts w:asciiTheme="minorHAnsi" w:hAnsiTheme="minorHAnsi" w:cstheme="minorBidi"/>
          <w:b/>
          <w:sz w:val="20"/>
          <w:szCs w:val="20"/>
        </w:rPr>
        <w:t>Transparency</w:t>
      </w:r>
      <w:r w:rsidR="003232CE" w:rsidRPr="06D92705">
        <w:rPr>
          <w:rFonts w:asciiTheme="minorHAnsi" w:hAnsiTheme="minorHAnsi" w:cstheme="minorBidi"/>
          <w:b/>
          <w:sz w:val="20"/>
          <w:szCs w:val="20"/>
        </w:rPr>
        <w:t xml:space="preserve"> </w:t>
      </w:r>
      <w:r w:rsidR="0039044A" w:rsidRPr="06D92705">
        <w:rPr>
          <w:rFonts w:asciiTheme="minorHAnsi" w:hAnsiTheme="minorHAnsi" w:cstheme="minorBidi"/>
          <w:b/>
          <w:sz w:val="20"/>
          <w:szCs w:val="20"/>
        </w:rPr>
        <w:t>is one of the</w:t>
      </w:r>
      <w:r w:rsidR="00246EDA" w:rsidRPr="06D92705">
        <w:rPr>
          <w:rFonts w:asciiTheme="minorHAnsi" w:hAnsiTheme="minorHAnsi" w:cstheme="minorBidi"/>
          <w:b/>
          <w:sz w:val="20"/>
          <w:szCs w:val="20"/>
        </w:rPr>
        <w:t xml:space="preserve"> major concerns of market actors with regards to </w:t>
      </w:r>
      <w:r w:rsidRPr="06D92705">
        <w:rPr>
          <w:rFonts w:asciiTheme="minorHAnsi" w:hAnsiTheme="minorHAnsi" w:cstheme="minorBidi"/>
          <w:b/>
          <w:sz w:val="20"/>
          <w:szCs w:val="20"/>
        </w:rPr>
        <w:t>policy and regulation preparation processes.</w:t>
      </w:r>
      <w:r w:rsidRPr="06D92705">
        <w:rPr>
          <w:rFonts w:asciiTheme="minorHAnsi" w:hAnsiTheme="minorHAnsi" w:cstheme="minorBidi"/>
          <w:sz w:val="20"/>
          <w:szCs w:val="20"/>
        </w:rPr>
        <w:t xml:space="preserve"> </w:t>
      </w:r>
      <w:r w:rsidR="00C91D6E" w:rsidRPr="06D92705">
        <w:rPr>
          <w:rFonts w:asciiTheme="minorHAnsi" w:hAnsiTheme="minorHAnsi" w:cstheme="minorBidi"/>
          <w:sz w:val="20"/>
          <w:szCs w:val="20"/>
        </w:rPr>
        <w:t xml:space="preserve">Some </w:t>
      </w:r>
      <w:r w:rsidR="008C00CB" w:rsidRPr="06D92705">
        <w:rPr>
          <w:rFonts w:asciiTheme="minorHAnsi" w:hAnsiTheme="minorHAnsi" w:cstheme="minorBidi"/>
          <w:sz w:val="20"/>
          <w:szCs w:val="20"/>
        </w:rPr>
        <w:t>private sector investors</w:t>
      </w:r>
      <w:r w:rsidR="0072681C" w:rsidRPr="06D92705">
        <w:rPr>
          <w:rFonts w:asciiTheme="minorHAnsi" w:hAnsiTheme="minorHAnsi" w:cstheme="minorBidi"/>
          <w:sz w:val="20"/>
          <w:szCs w:val="20"/>
        </w:rPr>
        <w:t xml:space="preserve"> </w:t>
      </w:r>
      <w:r w:rsidR="007E02E6" w:rsidRPr="06D92705">
        <w:rPr>
          <w:rFonts w:asciiTheme="minorHAnsi" w:hAnsiTheme="minorHAnsi" w:cstheme="minorBidi"/>
          <w:sz w:val="20"/>
          <w:szCs w:val="20"/>
        </w:rPr>
        <w:t xml:space="preserve">state that draft </w:t>
      </w:r>
      <w:r w:rsidR="7C1FDBBC" w:rsidRPr="06D92705">
        <w:rPr>
          <w:rFonts w:asciiTheme="minorHAnsi" w:hAnsiTheme="minorHAnsi" w:cstheme="minorBidi"/>
          <w:sz w:val="20"/>
          <w:szCs w:val="20"/>
        </w:rPr>
        <w:t>legislation is</w:t>
      </w:r>
      <w:r w:rsidR="007E02E6" w:rsidRPr="06D92705">
        <w:rPr>
          <w:rFonts w:asciiTheme="minorHAnsi" w:hAnsiTheme="minorHAnsi" w:cstheme="minorBidi"/>
          <w:sz w:val="20"/>
          <w:szCs w:val="20"/>
        </w:rPr>
        <w:t xml:space="preserve"> not shared with the stakeholders</w:t>
      </w:r>
      <w:r w:rsidRPr="06D92705">
        <w:rPr>
          <w:rFonts w:asciiTheme="minorHAnsi" w:hAnsiTheme="minorHAnsi" w:cstheme="minorBidi"/>
          <w:sz w:val="20"/>
          <w:szCs w:val="20"/>
        </w:rPr>
        <w:t>,</w:t>
      </w:r>
      <w:r w:rsidR="007E02E6" w:rsidRPr="06D92705">
        <w:rPr>
          <w:rFonts w:asciiTheme="minorHAnsi" w:hAnsiTheme="minorHAnsi" w:cstheme="minorBidi"/>
          <w:sz w:val="20"/>
          <w:szCs w:val="20"/>
        </w:rPr>
        <w:t xml:space="preserve"> or their opinions are not included in the legislati</w:t>
      </w:r>
      <w:r w:rsidR="00CD4FED" w:rsidRPr="06D92705">
        <w:rPr>
          <w:rFonts w:asciiTheme="minorHAnsi" w:hAnsiTheme="minorHAnsi" w:cstheme="minorBidi"/>
          <w:sz w:val="20"/>
          <w:szCs w:val="20"/>
        </w:rPr>
        <w:t>ve</w:t>
      </w:r>
      <w:r w:rsidR="007E02E6" w:rsidRPr="06D92705">
        <w:rPr>
          <w:rFonts w:asciiTheme="minorHAnsi" w:hAnsiTheme="minorHAnsi" w:cstheme="minorBidi"/>
          <w:sz w:val="20"/>
          <w:szCs w:val="20"/>
        </w:rPr>
        <w:t xml:space="preserve"> process</w:t>
      </w:r>
      <w:r w:rsidR="00CD4FED" w:rsidRPr="06D92705">
        <w:rPr>
          <w:rFonts w:asciiTheme="minorHAnsi" w:hAnsiTheme="minorHAnsi" w:cstheme="minorBidi"/>
          <w:sz w:val="20"/>
          <w:szCs w:val="20"/>
        </w:rPr>
        <w:t>es</w:t>
      </w:r>
      <w:r w:rsidR="007E02E6" w:rsidRPr="06D92705">
        <w:rPr>
          <w:rFonts w:asciiTheme="minorHAnsi" w:hAnsiTheme="minorHAnsi" w:cstheme="minorBidi"/>
          <w:sz w:val="20"/>
          <w:szCs w:val="20"/>
        </w:rPr>
        <w:t>.</w:t>
      </w:r>
      <w:r w:rsidR="002B3E69" w:rsidRPr="06D92705">
        <w:rPr>
          <w:rFonts w:asciiTheme="minorHAnsi" w:hAnsiTheme="minorHAnsi" w:cstheme="minorBidi"/>
          <w:sz w:val="20"/>
          <w:szCs w:val="20"/>
        </w:rPr>
        <w:t xml:space="preserve"> </w:t>
      </w:r>
      <w:r w:rsidR="00CD4FED" w:rsidRPr="06D92705">
        <w:rPr>
          <w:rFonts w:asciiTheme="minorHAnsi" w:hAnsiTheme="minorHAnsi" w:cstheme="minorBidi"/>
          <w:sz w:val="20"/>
          <w:szCs w:val="20"/>
        </w:rPr>
        <w:t>The</w:t>
      </w:r>
      <w:r w:rsidR="002B3E69" w:rsidRPr="06D92705">
        <w:rPr>
          <w:rFonts w:asciiTheme="minorHAnsi" w:hAnsiTheme="minorHAnsi" w:cstheme="minorBidi"/>
          <w:sz w:val="20"/>
          <w:szCs w:val="20"/>
        </w:rPr>
        <w:t xml:space="preserve"> regulations should be transparent</w:t>
      </w:r>
      <w:r w:rsidR="00BC1D55" w:rsidRPr="06D92705">
        <w:rPr>
          <w:rFonts w:asciiTheme="minorHAnsi" w:hAnsiTheme="minorHAnsi" w:cstheme="minorBidi"/>
          <w:sz w:val="20"/>
          <w:szCs w:val="20"/>
        </w:rPr>
        <w:t xml:space="preserve"> and there should be no information asymmetry</w:t>
      </w:r>
      <w:r w:rsidR="00AB2507" w:rsidRPr="06D92705">
        <w:rPr>
          <w:rFonts w:asciiTheme="minorHAnsi" w:hAnsiTheme="minorHAnsi" w:cstheme="minorBidi"/>
          <w:sz w:val="20"/>
          <w:szCs w:val="20"/>
        </w:rPr>
        <w:t>.</w:t>
      </w:r>
    </w:p>
    <w:p w14:paraId="692CB0A3" w14:textId="77777777" w:rsidR="002B3E69" w:rsidRPr="0043215C" w:rsidRDefault="002B3E69" w:rsidP="00025BF2">
      <w:pPr>
        <w:pStyle w:val="BodyText"/>
        <w:jc w:val="both"/>
        <w:rPr>
          <w:rFonts w:asciiTheme="minorHAnsi" w:hAnsiTheme="minorHAnsi" w:cstheme="minorHAnsi"/>
          <w:sz w:val="20"/>
          <w:szCs w:val="20"/>
        </w:rPr>
      </w:pPr>
    </w:p>
    <w:p w14:paraId="4B75BE16" w14:textId="43BAF3C6" w:rsidR="00380BDA" w:rsidRPr="0043215C" w:rsidRDefault="00F81112" w:rsidP="00025BF2">
      <w:pPr>
        <w:pStyle w:val="BodyText"/>
        <w:jc w:val="both"/>
        <w:rPr>
          <w:rFonts w:asciiTheme="minorHAnsi" w:hAnsiTheme="minorHAnsi" w:cstheme="minorHAnsi"/>
          <w:sz w:val="20"/>
          <w:szCs w:val="20"/>
        </w:rPr>
      </w:pPr>
      <w:r w:rsidRPr="0043215C">
        <w:rPr>
          <w:rFonts w:asciiTheme="minorHAnsi" w:hAnsiTheme="minorHAnsi" w:cstheme="minorHAnsi"/>
          <w:b/>
          <w:sz w:val="20"/>
          <w:szCs w:val="20"/>
        </w:rPr>
        <w:t xml:space="preserve">Frequent changes in regulations create uncertainty </w:t>
      </w:r>
      <w:r w:rsidR="000543AF" w:rsidRPr="0043215C">
        <w:rPr>
          <w:rFonts w:asciiTheme="minorHAnsi" w:hAnsiTheme="minorHAnsi" w:cstheme="minorHAnsi"/>
          <w:b/>
          <w:sz w:val="20"/>
          <w:szCs w:val="20"/>
        </w:rPr>
        <w:t>and complica</w:t>
      </w:r>
      <w:r w:rsidR="009D1224" w:rsidRPr="0043215C">
        <w:rPr>
          <w:rFonts w:asciiTheme="minorHAnsi" w:hAnsiTheme="minorHAnsi" w:cstheme="minorHAnsi"/>
          <w:b/>
          <w:sz w:val="20"/>
          <w:szCs w:val="20"/>
        </w:rPr>
        <w:t>tions for the market players and distorts well-functioning investment environment.</w:t>
      </w:r>
      <w:r w:rsidR="009D1224" w:rsidRPr="0043215C">
        <w:rPr>
          <w:rFonts w:asciiTheme="minorHAnsi" w:hAnsiTheme="minorHAnsi" w:cstheme="minorHAnsi"/>
          <w:sz w:val="20"/>
          <w:szCs w:val="20"/>
        </w:rPr>
        <w:t xml:space="preserve"> </w:t>
      </w:r>
      <w:r w:rsidR="00380BDA" w:rsidRPr="0043215C">
        <w:rPr>
          <w:rFonts w:asciiTheme="minorHAnsi" w:hAnsiTheme="minorHAnsi" w:cstheme="minorHAnsi"/>
          <w:sz w:val="20"/>
          <w:szCs w:val="20"/>
        </w:rPr>
        <w:t>For example, the unlicensed generation regulation has undergone several amendments since its first implementation in 2019</w:t>
      </w:r>
      <w:r w:rsidR="006B6D5D" w:rsidRPr="0043215C">
        <w:rPr>
          <w:rFonts w:asciiTheme="minorHAnsi" w:hAnsiTheme="minorHAnsi" w:cstheme="minorHAnsi"/>
          <w:sz w:val="20"/>
          <w:szCs w:val="20"/>
        </w:rPr>
        <w:t>.</w:t>
      </w:r>
      <w:r w:rsidR="00380BDA" w:rsidRPr="0043215C">
        <w:rPr>
          <w:rFonts w:asciiTheme="minorHAnsi" w:hAnsiTheme="minorHAnsi" w:cstheme="minorHAnsi"/>
          <w:sz w:val="20"/>
          <w:szCs w:val="20"/>
        </w:rPr>
        <w:t xml:space="preserve"> While making changes to the regulation based on needs is</w:t>
      </w:r>
      <w:r w:rsidR="006B6D5D" w:rsidRPr="0043215C">
        <w:rPr>
          <w:rFonts w:asciiTheme="minorHAnsi" w:hAnsiTheme="minorHAnsi" w:cstheme="minorHAnsi"/>
          <w:sz w:val="20"/>
          <w:szCs w:val="20"/>
        </w:rPr>
        <w:t xml:space="preserve"> </w:t>
      </w:r>
      <w:r w:rsidR="00380BDA" w:rsidRPr="0043215C">
        <w:rPr>
          <w:rFonts w:asciiTheme="minorHAnsi" w:hAnsiTheme="minorHAnsi" w:cstheme="minorHAnsi"/>
          <w:sz w:val="20"/>
          <w:szCs w:val="20"/>
        </w:rPr>
        <w:t>normal, a consistent regulatory framework provides a more stable investment environment</w:t>
      </w:r>
      <w:r w:rsidR="006B6D5D" w:rsidRPr="0043215C">
        <w:rPr>
          <w:rFonts w:asciiTheme="minorHAnsi" w:hAnsiTheme="minorHAnsi" w:cstheme="minorHAnsi"/>
          <w:sz w:val="20"/>
          <w:szCs w:val="20"/>
        </w:rPr>
        <w:t>.</w:t>
      </w:r>
    </w:p>
    <w:p w14:paraId="306CC04E" w14:textId="77777777" w:rsidR="001A7ECA" w:rsidRPr="0043215C" w:rsidRDefault="001A7ECA" w:rsidP="00025BF2">
      <w:pPr>
        <w:pStyle w:val="BodyText"/>
        <w:jc w:val="both"/>
        <w:rPr>
          <w:rFonts w:asciiTheme="minorHAnsi" w:hAnsiTheme="minorHAnsi" w:cstheme="minorHAnsi"/>
          <w:sz w:val="20"/>
          <w:szCs w:val="20"/>
        </w:rPr>
      </w:pPr>
    </w:p>
    <w:p w14:paraId="36C7B424" w14:textId="3B91AA9C" w:rsidR="002D4C59" w:rsidRPr="0043215C" w:rsidRDefault="001A7ECA" w:rsidP="00025BF2">
      <w:pPr>
        <w:pStyle w:val="BodyText"/>
        <w:jc w:val="both"/>
        <w:rPr>
          <w:rFonts w:asciiTheme="minorHAnsi" w:hAnsiTheme="minorHAnsi" w:cstheme="minorBidi"/>
          <w:sz w:val="20"/>
          <w:szCs w:val="20"/>
        </w:rPr>
      </w:pPr>
      <w:r w:rsidRPr="06D92705">
        <w:rPr>
          <w:rFonts w:asciiTheme="minorHAnsi" w:hAnsiTheme="minorHAnsi" w:cstheme="minorBidi"/>
          <w:b/>
          <w:sz w:val="20"/>
          <w:szCs w:val="20"/>
        </w:rPr>
        <w:t>A</w:t>
      </w:r>
      <w:r w:rsidR="002D4C59" w:rsidRPr="06D92705">
        <w:rPr>
          <w:rFonts w:asciiTheme="minorHAnsi" w:hAnsiTheme="minorHAnsi" w:cstheme="minorBidi"/>
          <w:b/>
          <w:sz w:val="20"/>
          <w:szCs w:val="20"/>
        </w:rPr>
        <w:t xml:space="preserve">voidance of retroactive </w:t>
      </w:r>
      <w:r w:rsidR="07618FA6" w:rsidRPr="06D92705">
        <w:rPr>
          <w:rFonts w:asciiTheme="minorHAnsi" w:hAnsiTheme="minorHAnsi" w:cstheme="minorBidi"/>
          <w:b/>
          <w:bCs/>
          <w:sz w:val="20"/>
          <w:szCs w:val="20"/>
        </w:rPr>
        <w:t>legislative</w:t>
      </w:r>
      <w:r w:rsidR="002D4C59" w:rsidRPr="06D92705">
        <w:rPr>
          <w:rFonts w:asciiTheme="minorHAnsi" w:hAnsiTheme="minorHAnsi" w:cstheme="minorBidi"/>
          <w:b/>
          <w:sz w:val="20"/>
          <w:szCs w:val="20"/>
        </w:rPr>
        <w:t xml:space="preserve"> changes is a significant problem </w:t>
      </w:r>
      <w:r w:rsidRPr="06D92705">
        <w:rPr>
          <w:rFonts w:asciiTheme="minorHAnsi" w:hAnsiTheme="minorHAnsi" w:cstheme="minorBidi"/>
          <w:b/>
          <w:sz w:val="20"/>
          <w:szCs w:val="20"/>
        </w:rPr>
        <w:t>for</w:t>
      </w:r>
      <w:r w:rsidR="002D4C59" w:rsidRPr="06D92705">
        <w:rPr>
          <w:rFonts w:asciiTheme="minorHAnsi" w:hAnsiTheme="minorHAnsi" w:cstheme="minorBidi"/>
          <w:b/>
          <w:sz w:val="20"/>
          <w:szCs w:val="20"/>
        </w:rPr>
        <w:t xml:space="preserve"> some investors.</w:t>
      </w:r>
      <w:r w:rsidR="002D4C59" w:rsidRPr="06D92705">
        <w:rPr>
          <w:rFonts w:asciiTheme="minorHAnsi" w:hAnsiTheme="minorHAnsi" w:cstheme="minorBidi"/>
          <w:sz w:val="20"/>
          <w:szCs w:val="20"/>
        </w:rPr>
        <w:t xml:space="preserve"> For example, some investors complain about excess energy sales via </w:t>
      </w:r>
      <w:r w:rsidR="00C73B0D" w:rsidRPr="06D92705">
        <w:rPr>
          <w:rFonts w:asciiTheme="minorHAnsi" w:hAnsiTheme="minorHAnsi" w:cstheme="minorBidi"/>
          <w:sz w:val="20"/>
          <w:szCs w:val="20"/>
        </w:rPr>
        <w:t xml:space="preserve">Turkish </w:t>
      </w:r>
      <w:r w:rsidR="00913F80" w:rsidRPr="06D92705">
        <w:rPr>
          <w:rFonts w:asciiTheme="minorHAnsi" w:hAnsiTheme="minorHAnsi" w:cstheme="minorBidi"/>
          <w:sz w:val="20"/>
          <w:szCs w:val="20"/>
        </w:rPr>
        <w:t>Renewable Energy Resources Support (</w:t>
      </w:r>
      <w:r w:rsidR="002D4C59" w:rsidRPr="06D92705">
        <w:rPr>
          <w:rFonts w:asciiTheme="minorHAnsi" w:hAnsiTheme="minorHAnsi" w:cstheme="minorBidi"/>
          <w:sz w:val="20"/>
          <w:szCs w:val="20"/>
        </w:rPr>
        <w:t>YEKDEM</w:t>
      </w:r>
      <w:r w:rsidR="00913F80" w:rsidRPr="06D92705">
        <w:rPr>
          <w:rFonts w:asciiTheme="minorHAnsi" w:hAnsiTheme="minorHAnsi" w:cstheme="minorBidi"/>
          <w:sz w:val="20"/>
          <w:szCs w:val="20"/>
        </w:rPr>
        <w:t>)</w:t>
      </w:r>
      <w:r w:rsidR="002D4C59" w:rsidRPr="06D92705">
        <w:rPr>
          <w:rFonts w:asciiTheme="minorHAnsi" w:hAnsiTheme="minorHAnsi" w:cstheme="minorBidi"/>
          <w:sz w:val="20"/>
          <w:szCs w:val="20"/>
        </w:rPr>
        <w:t xml:space="preserve"> mechanism were limited by a certain factor of the consumption with an EMRA decision </w:t>
      </w:r>
      <w:r w:rsidR="00D7076B" w:rsidRPr="06D92705">
        <w:rPr>
          <w:rFonts w:asciiTheme="minorHAnsi" w:hAnsiTheme="minorHAnsi" w:cstheme="minorBidi"/>
          <w:sz w:val="20"/>
          <w:szCs w:val="20"/>
        </w:rPr>
        <w:t xml:space="preserve">retroactively </w:t>
      </w:r>
      <w:r w:rsidR="0041405C" w:rsidRPr="06D92705">
        <w:rPr>
          <w:rFonts w:asciiTheme="minorHAnsi" w:hAnsiTheme="minorHAnsi" w:cstheme="minorBidi"/>
          <w:sz w:val="20"/>
          <w:szCs w:val="20"/>
        </w:rPr>
        <w:t xml:space="preserve">although </w:t>
      </w:r>
      <w:r w:rsidR="002D4C59" w:rsidRPr="06D92705">
        <w:rPr>
          <w:rFonts w:asciiTheme="minorHAnsi" w:hAnsiTheme="minorHAnsi" w:cstheme="minorBidi"/>
          <w:sz w:val="20"/>
          <w:szCs w:val="20"/>
        </w:rPr>
        <w:t xml:space="preserve">there was no </w:t>
      </w:r>
      <w:r w:rsidR="006B53D2" w:rsidRPr="06D92705">
        <w:rPr>
          <w:rFonts w:asciiTheme="minorHAnsi" w:hAnsiTheme="minorHAnsi" w:cstheme="minorBidi"/>
          <w:sz w:val="20"/>
          <w:szCs w:val="20"/>
        </w:rPr>
        <w:t xml:space="preserve">legal </w:t>
      </w:r>
      <w:r w:rsidR="002D4C59" w:rsidRPr="06D92705">
        <w:rPr>
          <w:rFonts w:asciiTheme="minorHAnsi" w:hAnsiTheme="minorHAnsi" w:cstheme="minorBidi"/>
          <w:sz w:val="20"/>
          <w:szCs w:val="20"/>
        </w:rPr>
        <w:t xml:space="preserve">limitation </w:t>
      </w:r>
      <w:r w:rsidR="00C40B3B" w:rsidRPr="06D92705">
        <w:rPr>
          <w:rFonts w:asciiTheme="minorHAnsi" w:hAnsiTheme="minorHAnsi" w:cstheme="minorBidi"/>
          <w:sz w:val="20"/>
          <w:szCs w:val="20"/>
        </w:rPr>
        <w:t>at the</w:t>
      </w:r>
      <w:r w:rsidR="002D4C59" w:rsidRPr="06D92705">
        <w:rPr>
          <w:rFonts w:asciiTheme="minorHAnsi" w:hAnsiTheme="minorHAnsi" w:cstheme="minorBidi"/>
          <w:sz w:val="20"/>
          <w:szCs w:val="20"/>
        </w:rPr>
        <w:t xml:space="preserve"> investment decision</w:t>
      </w:r>
      <w:r w:rsidR="00C40B3B" w:rsidRPr="06D92705">
        <w:rPr>
          <w:rFonts w:asciiTheme="minorHAnsi" w:hAnsiTheme="minorHAnsi" w:cstheme="minorBidi"/>
          <w:sz w:val="20"/>
          <w:szCs w:val="20"/>
        </w:rPr>
        <w:t xml:space="preserve"> </w:t>
      </w:r>
      <w:r w:rsidR="0041405C" w:rsidRPr="06D92705">
        <w:rPr>
          <w:rFonts w:asciiTheme="minorHAnsi" w:hAnsiTheme="minorHAnsi" w:cstheme="minorBidi"/>
          <w:sz w:val="20"/>
          <w:szCs w:val="20"/>
        </w:rPr>
        <w:t xml:space="preserve">or </w:t>
      </w:r>
      <w:r w:rsidR="00C40B3B" w:rsidRPr="06D92705">
        <w:rPr>
          <w:rFonts w:asciiTheme="minorHAnsi" w:hAnsiTheme="minorHAnsi" w:cstheme="minorBidi"/>
          <w:sz w:val="20"/>
          <w:szCs w:val="20"/>
        </w:rPr>
        <w:t>financing</w:t>
      </w:r>
      <w:r w:rsidR="002D4C59" w:rsidRPr="06D92705">
        <w:rPr>
          <w:rFonts w:asciiTheme="minorHAnsi" w:hAnsiTheme="minorHAnsi" w:cstheme="minorBidi"/>
          <w:sz w:val="20"/>
          <w:szCs w:val="20"/>
        </w:rPr>
        <w:t xml:space="preserve"> phase. </w:t>
      </w:r>
      <w:r w:rsidR="00072A56" w:rsidRPr="06D92705">
        <w:rPr>
          <w:rFonts w:asciiTheme="minorHAnsi" w:hAnsiTheme="minorHAnsi" w:cstheme="minorBidi"/>
          <w:sz w:val="20"/>
          <w:szCs w:val="20"/>
        </w:rPr>
        <w:t>Such cases would distort</w:t>
      </w:r>
      <w:r w:rsidR="00417145" w:rsidRPr="06D92705">
        <w:rPr>
          <w:rFonts w:asciiTheme="minorHAnsi" w:hAnsiTheme="minorHAnsi" w:cstheme="minorBidi"/>
          <w:sz w:val="20"/>
          <w:szCs w:val="20"/>
        </w:rPr>
        <w:t xml:space="preserve"> </w:t>
      </w:r>
      <w:r w:rsidR="002D4C59" w:rsidRPr="06D92705">
        <w:rPr>
          <w:rFonts w:asciiTheme="minorHAnsi" w:hAnsiTheme="minorHAnsi" w:cstheme="minorBidi"/>
          <w:sz w:val="20"/>
          <w:szCs w:val="20"/>
        </w:rPr>
        <w:t>cash flow</w:t>
      </w:r>
      <w:r w:rsidR="00417145" w:rsidRPr="06D92705">
        <w:rPr>
          <w:rFonts w:asciiTheme="minorHAnsi" w:hAnsiTheme="minorHAnsi" w:cstheme="minorBidi"/>
          <w:sz w:val="20"/>
          <w:szCs w:val="20"/>
        </w:rPr>
        <w:t>s</w:t>
      </w:r>
      <w:r w:rsidR="002D4C59" w:rsidRPr="06D92705">
        <w:rPr>
          <w:rFonts w:asciiTheme="minorHAnsi" w:hAnsiTheme="minorHAnsi" w:cstheme="minorBidi"/>
          <w:sz w:val="20"/>
          <w:szCs w:val="20"/>
        </w:rPr>
        <w:t xml:space="preserve"> assumed for the project feasibility. </w:t>
      </w:r>
    </w:p>
    <w:p w14:paraId="2656A937" w14:textId="77777777" w:rsidR="00D81FC6" w:rsidRPr="0043215C" w:rsidRDefault="00D81FC6" w:rsidP="00025BF2">
      <w:pPr>
        <w:pStyle w:val="BodyText"/>
        <w:jc w:val="both"/>
        <w:rPr>
          <w:rFonts w:asciiTheme="minorHAnsi" w:hAnsiTheme="minorHAnsi" w:cstheme="minorHAnsi"/>
          <w:sz w:val="20"/>
          <w:szCs w:val="20"/>
        </w:rPr>
      </w:pPr>
    </w:p>
    <w:p w14:paraId="4B8ACB5C" w14:textId="38364AA4" w:rsidR="00562C7F" w:rsidRPr="0043215C" w:rsidRDefault="0005191F" w:rsidP="00025BF2">
      <w:pPr>
        <w:pStyle w:val="BodyText"/>
        <w:jc w:val="both"/>
        <w:rPr>
          <w:rFonts w:asciiTheme="minorHAnsi" w:hAnsiTheme="minorHAnsi" w:cstheme="minorHAnsi"/>
          <w:color w:val="000000" w:themeColor="text1"/>
          <w:sz w:val="20"/>
          <w:szCs w:val="20"/>
        </w:rPr>
      </w:pPr>
      <w:r w:rsidRPr="0043215C">
        <w:rPr>
          <w:rFonts w:asciiTheme="minorHAnsi" w:hAnsiTheme="minorHAnsi" w:cstheme="minorHAnsi"/>
          <w:b/>
          <w:sz w:val="20"/>
          <w:szCs w:val="20"/>
        </w:rPr>
        <w:t xml:space="preserve">Low realization of projects from license to operation phase perceived </w:t>
      </w:r>
      <w:r w:rsidR="00562C7F" w:rsidRPr="0043215C">
        <w:rPr>
          <w:rFonts w:asciiTheme="minorHAnsi" w:hAnsiTheme="minorHAnsi" w:cstheme="minorHAnsi"/>
          <w:b/>
          <w:sz w:val="20"/>
          <w:szCs w:val="20"/>
        </w:rPr>
        <w:t>by some investors</w:t>
      </w:r>
      <w:r w:rsidRPr="0043215C">
        <w:rPr>
          <w:rFonts w:asciiTheme="minorHAnsi" w:hAnsiTheme="minorHAnsi" w:cstheme="minorHAnsi"/>
          <w:b/>
          <w:sz w:val="20"/>
          <w:szCs w:val="20"/>
        </w:rPr>
        <w:t xml:space="preserve"> as another regulatory </w:t>
      </w:r>
      <w:r w:rsidR="00562C7F" w:rsidRPr="0043215C">
        <w:rPr>
          <w:rFonts w:asciiTheme="minorHAnsi" w:hAnsiTheme="minorHAnsi" w:cstheme="minorHAnsi"/>
          <w:b/>
          <w:sz w:val="20"/>
          <w:szCs w:val="20"/>
        </w:rPr>
        <w:t>barrier.</w:t>
      </w:r>
      <w:r w:rsidR="00562C7F" w:rsidRPr="0043215C">
        <w:rPr>
          <w:rFonts w:asciiTheme="minorHAnsi" w:hAnsiTheme="minorHAnsi" w:cstheme="minorHAnsi"/>
          <w:sz w:val="20"/>
          <w:szCs w:val="20"/>
        </w:rPr>
        <w:t xml:space="preserve"> According to public authorities, approximately 28</w:t>
      </w:r>
      <w:r w:rsidR="00B07847" w:rsidRPr="0043215C">
        <w:rPr>
          <w:rFonts w:asciiTheme="minorHAnsi" w:hAnsiTheme="minorHAnsi" w:cstheme="minorHAnsi"/>
          <w:sz w:val="20"/>
          <w:szCs w:val="20"/>
        </w:rPr>
        <w:t>,</w:t>
      </w:r>
      <w:r w:rsidR="00562C7F" w:rsidRPr="0043215C">
        <w:rPr>
          <w:rFonts w:asciiTheme="minorHAnsi" w:hAnsiTheme="minorHAnsi" w:cstheme="minorHAnsi"/>
          <w:sz w:val="20"/>
          <w:szCs w:val="20"/>
        </w:rPr>
        <w:t xml:space="preserve">000 </w:t>
      </w:r>
      <w:r w:rsidR="006B53D2" w:rsidRPr="0043215C">
        <w:rPr>
          <w:rFonts w:asciiTheme="minorHAnsi" w:hAnsiTheme="minorHAnsi" w:cstheme="minorHAnsi"/>
          <w:sz w:val="20"/>
          <w:szCs w:val="20"/>
        </w:rPr>
        <w:t>M</w:t>
      </w:r>
      <w:r w:rsidR="00B03BCB" w:rsidRPr="0043215C">
        <w:rPr>
          <w:rFonts w:asciiTheme="minorHAnsi" w:hAnsiTheme="minorHAnsi" w:cstheme="minorHAnsi"/>
          <w:sz w:val="20"/>
          <w:szCs w:val="20"/>
        </w:rPr>
        <w:t>egawatt (</w:t>
      </w:r>
      <w:r w:rsidR="00562C7F" w:rsidRPr="0043215C">
        <w:rPr>
          <w:rFonts w:asciiTheme="minorHAnsi" w:hAnsiTheme="minorHAnsi" w:cstheme="minorHAnsi"/>
          <w:sz w:val="20"/>
          <w:szCs w:val="20"/>
        </w:rPr>
        <w:t>MW</w:t>
      </w:r>
      <w:r w:rsidR="00B03BCB" w:rsidRPr="0043215C">
        <w:rPr>
          <w:rFonts w:asciiTheme="minorHAnsi" w:hAnsiTheme="minorHAnsi" w:cstheme="minorHAnsi"/>
          <w:sz w:val="20"/>
          <w:szCs w:val="20"/>
        </w:rPr>
        <w:t>)</w:t>
      </w:r>
      <w:r w:rsidR="00562C7F" w:rsidRPr="0043215C">
        <w:rPr>
          <w:rFonts w:asciiTheme="minorHAnsi" w:hAnsiTheme="minorHAnsi" w:cstheme="minorHAnsi"/>
          <w:sz w:val="20"/>
          <w:szCs w:val="20"/>
        </w:rPr>
        <w:t xml:space="preserve"> of licensed project </w:t>
      </w:r>
      <w:r w:rsidR="00387269" w:rsidRPr="0043215C">
        <w:rPr>
          <w:rFonts w:asciiTheme="minorHAnsi" w:hAnsiTheme="minorHAnsi" w:cstheme="minorHAnsi"/>
          <w:sz w:val="20"/>
          <w:szCs w:val="20"/>
        </w:rPr>
        <w:t xml:space="preserve">have not been realized and </w:t>
      </w:r>
      <w:r w:rsidR="00562C7F" w:rsidRPr="0043215C">
        <w:rPr>
          <w:rFonts w:asciiTheme="minorHAnsi" w:hAnsiTheme="minorHAnsi" w:cstheme="minorHAnsi"/>
          <w:sz w:val="20"/>
          <w:szCs w:val="20"/>
        </w:rPr>
        <w:t>allocates worthy transmission capacity</w:t>
      </w:r>
      <w:r w:rsidR="00D81FC6" w:rsidRPr="0043215C">
        <w:rPr>
          <w:rFonts w:asciiTheme="minorHAnsi" w:hAnsiTheme="minorHAnsi" w:cstheme="minorHAnsi"/>
          <w:sz w:val="20"/>
          <w:szCs w:val="20"/>
        </w:rPr>
        <w:t xml:space="preserve"> idle</w:t>
      </w:r>
      <w:r w:rsidR="00562C7F" w:rsidRPr="0043215C">
        <w:rPr>
          <w:rFonts w:asciiTheme="minorHAnsi" w:hAnsiTheme="minorHAnsi" w:cstheme="minorHAnsi"/>
          <w:sz w:val="20"/>
          <w:szCs w:val="20"/>
        </w:rPr>
        <w:t xml:space="preserve">. Regulations should be developed to decrease idle capacities. </w:t>
      </w:r>
    </w:p>
    <w:p w14:paraId="103B198D" w14:textId="77777777" w:rsidR="00ED2306" w:rsidRPr="0043215C" w:rsidRDefault="00ED2306" w:rsidP="00025BF2">
      <w:pPr>
        <w:pStyle w:val="BodyText"/>
        <w:jc w:val="both"/>
        <w:rPr>
          <w:rFonts w:asciiTheme="minorHAnsi" w:hAnsiTheme="minorHAnsi" w:cstheme="minorHAnsi"/>
          <w:sz w:val="20"/>
          <w:szCs w:val="20"/>
        </w:rPr>
      </w:pPr>
    </w:p>
    <w:p w14:paraId="3C359D3A" w14:textId="2C57C71C" w:rsidR="00ED2306" w:rsidRPr="0043215C" w:rsidRDefault="00ED2306" w:rsidP="00025BF2">
      <w:pPr>
        <w:pStyle w:val="BodyText"/>
        <w:jc w:val="both"/>
        <w:rPr>
          <w:rFonts w:asciiTheme="minorHAnsi" w:hAnsiTheme="minorHAnsi" w:cstheme="minorHAnsi"/>
          <w:sz w:val="20"/>
          <w:szCs w:val="20"/>
        </w:rPr>
      </w:pPr>
      <w:r w:rsidRPr="0043215C">
        <w:rPr>
          <w:rFonts w:asciiTheme="minorHAnsi" w:hAnsiTheme="minorHAnsi" w:cstheme="minorHAnsi"/>
          <w:b/>
          <w:sz w:val="20"/>
          <w:szCs w:val="20"/>
        </w:rPr>
        <w:t>Some of the merchant investors complain about the unfair conditions favorable to the unlicensed RES investors.</w:t>
      </w:r>
      <w:r w:rsidRPr="0043215C">
        <w:rPr>
          <w:rFonts w:asciiTheme="minorHAnsi" w:hAnsiTheme="minorHAnsi" w:cstheme="minorHAnsi"/>
          <w:sz w:val="20"/>
          <w:szCs w:val="20"/>
        </w:rPr>
        <w:t xml:space="preserve"> Unlicensed investors have </w:t>
      </w:r>
      <w:r w:rsidR="008A7756" w:rsidRPr="0043215C">
        <w:rPr>
          <w:rFonts w:asciiTheme="minorHAnsi" w:hAnsiTheme="minorHAnsi" w:cstheme="minorHAnsi"/>
          <w:sz w:val="20"/>
          <w:szCs w:val="20"/>
        </w:rPr>
        <w:t xml:space="preserve">recently </w:t>
      </w:r>
      <w:r w:rsidRPr="0043215C">
        <w:rPr>
          <w:rFonts w:asciiTheme="minorHAnsi" w:hAnsiTheme="minorHAnsi" w:cstheme="minorHAnsi"/>
          <w:sz w:val="20"/>
          <w:szCs w:val="20"/>
        </w:rPr>
        <w:t>had priority for transmission capacities</w:t>
      </w:r>
      <w:r w:rsidR="00AB4D5A" w:rsidRPr="0043215C">
        <w:rPr>
          <w:rFonts w:asciiTheme="minorHAnsi" w:hAnsiTheme="minorHAnsi" w:cstheme="minorHAnsi"/>
          <w:sz w:val="20"/>
          <w:szCs w:val="20"/>
        </w:rPr>
        <w:t>,</w:t>
      </w:r>
      <w:r w:rsidRPr="0043215C">
        <w:rPr>
          <w:rFonts w:asciiTheme="minorHAnsi" w:hAnsiTheme="minorHAnsi" w:cstheme="minorHAnsi"/>
          <w:sz w:val="20"/>
          <w:szCs w:val="20"/>
        </w:rPr>
        <w:t xml:space="preserve"> and they are exempt from balancing requirements on the contrary to </w:t>
      </w:r>
      <w:r w:rsidR="0094198A" w:rsidRPr="0043215C">
        <w:rPr>
          <w:rFonts w:asciiTheme="minorHAnsi" w:hAnsiTheme="minorHAnsi" w:cstheme="minorHAnsi"/>
          <w:sz w:val="20"/>
          <w:szCs w:val="20"/>
        </w:rPr>
        <w:t xml:space="preserve">merchant </w:t>
      </w:r>
      <w:r w:rsidR="00D94F17" w:rsidRPr="0043215C">
        <w:rPr>
          <w:rFonts w:asciiTheme="minorHAnsi" w:hAnsiTheme="minorHAnsi" w:cstheme="minorHAnsi"/>
          <w:sz w:val="20"/>
          <w:szCs w:val="20"/>
        </w:rPr>
        <w:t>investors</w:t>
      </w:r>
      <w:r w:rsidR="0094198A" w:rsidRPr="0043215C">
        <w:rPr>
          <w:rFonts w:asciiTheme="minorHAnsi" w:hAnsiTheme="minorHAnsi" w:cstheme="minorHAnsi"/>
          <w:sz w:val="20"/>
          <w:szCs w:val="20"/>
        </w:rPr>
        <w:t>.</w:t>
      </w:r>
      <w:r w:rsidR="008A7756" w:rsidRPr="0043215C">
        <w:rPr>
          <w:rFonts w:asciiTheme="minorHAnsi" w:hAnsiTheme="minorHAnsi" w:cstheme="minorHAnsi"/>
          <w:sz w:val="20"/>
          <w:szCs w:val="20"/>
        </w:rPr>
        <w:t xml:space="preserve"> </w:t>
      </w:r>
    </w:p>
    <w:p w14:paraId="6FDD9B1A" w14:textId="77777777" w:rsidR="00AB4D5A" w:rsidRPr="0043215C" w:rsidRDefault="00AB4D5A" w:rsidP="00025BF2">
      <w:pPr>
        <w:pStyle w:val="BodyText"/>
        <w:jc w:val="both"/>
        <w:rPr>
          <w:rFonts w:asciiTheme="minorHAnsi" w:hAnsiTheme="minorHAnsi" w:cstheme="minorHAnsi"/>
          <w:sz w:val="20"/>
          <w:szCs w:val="20"/>
        </w:rPr>
      </w:pPr>
    </w:p>
    <w:p w14:paraId="0973BBB9" w14:textId="7055D071" w:rsidR="006A11AC" w:rsidRPr="0043215C" w:rsidRDefault="006A11AC" w:rsidP="00025BF2">
      <w:pPr>
        <w:pStyle w:val="BodyText"/>
        <w:jc w:val="both"/>
        <w:rPr>
          <w:rFonts w:asciiTheme="minorHAnsi" w:hAnsiTheme="minorHAnsi" w:cstheme="minorHAnsi"/>
          <w:sz w:val="20"/>
          <w:szCs w:val="20"/>
        </w:rPr>
      </w:pPr>
      <w:r w:rsidRPr="0043215C">
        <w:rPr>
          <w:rFonts w:asciiTheme="minorHAnsi" w:hAnsiTheme="minorHAnsi" w:cstheme="minorHAnsi"/>
          <w:b/>
          <w:sz w:val="20"/>
          <w:szCs w:val="20"/>
        </w:rPr>
        <w:t>Some of the investors also complain that some investment processes are not inclusive such as storage with wind and solar due to the information asymmetry and “</w:t>
      </w:r>
      <w:r w:rsidR="000B34ED" w:rsidRPr="0043215C">
        <w:rPr>
          <w:rFonts w:asciiTheme="minorHAnsi" w:hAnsiTheme="minorHAnsi" w:cstheme="minorHAnsi"/>
          <w:b/>
          <w:sz w:val="20"/>
          <w:szCs w:val="20"/>
        </w:rPr>
        <w:t>come first served</w:t>
      </w:r>
      <w:r w:rsidRPr="0043215C">
        <w:rPr>
          <w:rFonts w:asciiTheme="minorHAnsi" w:hAnsiTheme="minorHAnsi" w:cstheme="minorHAnsi"/>
          <w:b/>
          <w:sz w:val="20"/>
          <w:szCs w:val="20"/>
        </w:rPr>
        <w:t>” approach without any bid</w:t>
      </w:r>
      <w:r w:rsidR="00D94F17" w:rsidRPr="0043215C">
        <w:rPr>
          <w:rFonts w:asciiTheme="minorHAnsi" w:hAnsiTheme="minorHAnsi" w:cstheme="minorHAnsi"/>
          <w:b/>
          <w:sz w:val="20"/>
          <w:szCs w:val="20"/>
        </w:rPr>
        <w:t>ding</w:t>
      </w:r>
      <w:r w:rsidRPr="0043215C">
        <w:rPr>
          <w:rFonts w:asciiTheme="minorHAnsi" w:hAnsiTheme="minorHAnsi" w:cstheme="minorHAnsi"/>
          <w:b/>
          <w:sz w:val="20"/>
          <w:szCs w:val="20"/>
        </w:rPr>
        <w:t xml:space="preserve"> processes.</w:t>
      </w:r>
      <w:r w:rsidRPr="0043215C">
        <w:rPr>
          <w:rFonts w:asciiTheme="minorHAnsi" w:hAnsiTheme="minorHAnsi" w:cstheme="minorHAnsi"/>
          <w:sz w:val="20"/>
          <w:szCs w:val="20"/>
        </w:rPr>
        <w:t xml:space="preserve"> As a result, some qualified investors could not acquire sufficient capacities while some investors act as intermediary and trade their allocated licenses at the second-hand market with higher prices.</w:t>
      </w:r>
    </w:p>
    <w:p w14:paraId="0A3C98F0" w14:textId="77777777" w:rsidR="008029E3" w:rsidRPr="0043215C" w:rsidRDefault="008029E3" w:rsidP="00025BF2">
      <w:pPr>
        <w:pStyle w:val="BodyText"/>
        <w:jc w:val="both"/>
        <w:rPr>
          <w:rFonts w:asciiTheme="minorHAnsi" w:hAnsiTheme="minorHAnsi" w:cstheme="minorHAnsi"/>
          <w:sz w:val="20"/>
          <w:szCs w:val="20"/>
        </w:rPr>
      </w:pPr>
    </w:p>
    <w:p w14:paraId="01BFEF91" w14:textId="27BA91BB" w:rsidR="00A80F6C" w:rsidRPr="0043215C" w:rsidRDefault="00A80F6C" w:rsidP="00BA5A4F">
      <w:pPr>
        <w:pStyle w:val="Heading1"/>
        <w:spacing w:before="0" w:line="240" w:lineRule="auto"/>
        <w:rPr>
          <w:rFonts w:asciiTheme="minorHAnsi" w:hAnsiTheme="minorHAnsi" w:cstheme="minorHAnsi"/>
          <w:sz w:val="20"/>
          <w:szCs w:val="20"/>
        </w:rPr>
      </w:pPr>
      <w:bookmarkStart w:id="61" w:name="_Toc162898766"/>
      <w:bookmarkStart w:id="62" w:name="_Toc162898828"/>
      <w:bookmarkStart w:id="63" w:name="_Toc162962949"/>
      <w:bookmarkStart w:id="64" w:name="_Toc162964126"/>
      <w:bookmarkStart w:id="65" w:name="_Toc170319825"/>
      <w:r w:rsidRPr="0043215C">
        <w:rPr>
          <w:rFonts w:asciiTheme="minorHAnsi" w:hAnsiTheme="minorHAnsi" w:cstheme="minorHAnsi"/>
          <w:sz w:val="20"/>
          <w:szCs w:val="20"/>
        </w:rPr>
        <w:t>III. Renewable Energy Integration Context</w:t>
      </w:r>
      <w:bookmarkEnd w:id="61"/>
      <w:bookmarkEnd w:id="62"/>
      <w:bookmarkEnd w:id="63"/>
      <w:bookmarkEnd w:id="64"/>
      <w:bookmarkEnd w:id="65"/>
    </w:p>
    <w:p w14:paraId="47C692CD" w14:textId="62682969" w:rsidR="00AE1BBE" w:rsidRPr="0043215C" w:rsidRDefault="00AE1BBE" w:rsidP="059B78C6">
      <w:pPr>
        <w:pStyle w:val="Heading2"/>
        <w:rPr>
          <w:sz w:val="20"/>
          <w:szCs w:val="20"/>
        </w:rPr>
      </w:pPr>
      <w:bookmarkStart w:id="66" w:name="_Toc162964127"/>
      <w:bookmarkStart w:id="67" w:name="_Toc170319826"/>
      <w:r w:rsidRPr="059B78C6">
        <w:rPr>
          <w:sz w:val="20"/>
          <w:szCs w:val="20"/>
        </w:rPr>
        <w:t>Renewable energy framework</w:t>
      </w:r>
      <w:bookmarkEnd w:id="66"/>
      <w:bookmarkEnd w:id="67"/>
    </w:p>
    <w:p w14:paraId="45001C6C" w14:textId="7FC98A62" w:rsidR="059B78C6" w:rsidRDefault="059B78C6" w:rsidP="059B78C6"/>
    <w:p w14:paraId="78AC3437" w14:textId="3AB444EA" w:rsidR="00A80F6C" w:rsidRPr="0043215C" w:rsidRDefault="00A80F6C" w:rsidP="00BA5A4F">
      <w:pPr>
        <w:spacing w:after="0" w:line="240" w:lineRule="auto"/>
        <w:rPr>
          <w:rFonts w:cstheme="minorHAnsi"/>
          <w:sz w:val="20"/>
          <w:szCs w:val="20"/>
        </w:rPr>
      </w:pPr>
      <w:r w:rsidRPr="0043215C">
        <w:rPr>
          <w:rFonts w:cstheme="minorHAnsi"/>
          <w:b/>
          <w:bCs/>
          <w:sz w:val="20"/>
          <w:szCs w:val="20"/>
        </w:rPr>
        <w:t xml:space="preserve">The 2005 Renewable Energy Law (REL) No. 5346 defines the renewable energy sources as non-fossil energy sources such as hydraulic, wind, solar, geothermal, biomass, wave, current and tide. </w:t>
      </w:r>
      <w:r w:rsidRPr="0043215C">
        <w:rPr>
          <w:rFonts w:cstheme="minorHAnsi"/>
          <w:sz w:val="20"/>
          <w:szCs w:val="20"/>
        </w:rPr>
        <w:t xml:space="preserve">However, the reservoir area of dam-type </w:t>
      </w:r>
      <w:r w:rsidR="00784A56" w:rsidRPr="0043215C">
        <w:rPr>
          <w:rFonts w:cstheme="minorHAnsi"/>
          <w:sz w:val="20"/>
          <w:szCs w:val="20"/>
        </w:rPr>
        <w:t>Hydroelectric Power Plants (</w:t>
      </w:r>
      <w:r w:rsidRPr="0043215C">
        <w:rPr>
          <w:rFonts w:cstheme="minorHAnsi"/>
          <w:sz w:val="20"/>
          <w:szCs w:val="20"/>
        </w:rPr>
        <w:t>HPPs</w:t>
      </w:r>
      <w:r w:rsidR="00784A56" w:rsidRPr="0043215C">
        <w:rPr>
          <w:rFonts w:cstheme="minorHAnsi"/>
          <w:sz w:val="20"/>
          <w:szCs w:val="20"/>
        </w:rPr>
        <w:t>)</w:t>
      </w:r>
      <w:r w:rsidRPr="0043215C">
        <w:rPr>
          <w:rFonts w:cstheme="minorHAnsi"/>
          <w:sz w:val="20"/>
          <w:szCs w:val="20"/>
        </w:rPr>
        <w:t xml:space="preserve"> exceeding</w:t>
      </w:r>
      <w:r w:rsidR="00307D9C" w:rsidRPr="0043215C">
        <w:rPr>
          <w:rFonts w:cstheme="minorHAnsi"/>
          <w:sz w:val="20"/>
          <w:szCs w:val="20"/>
        </w:rPr>
        <w:t xml:space="preserve"> </w:t>
      </w:r>
      <w:r w:rsidRPr="0043215C">
        <w:rPr>
          <w:rFonts w:cstheme="minorHAnsi"/>
          <w:sz w:val="20"/>
          <w:szCs w:val="20"/>
        </w:rPr>
        <w:t>15 km</w:t>
      </w:r>
      <w:r w:rsidRPr="0043215C">
        <w:rPr>
          <w:rFonts w:cstheme="minorHAnsi"/>
          <w:sz w:val="20"/>
          <w:szCs w:val="20"/>
          <w:vertAlign w:val="superscript"/>
        </w:rPr>
        <w:t>2</w:t>
      </w:r>
      <w:r w:rsidRPr="0043215C">
        <w:rPr>
          <w:rFonts w:cstheme="minorHAnsi"/>
          <w:sz w:val="20"/>
          <w:szCs w:val="20"/>
        </w:rPr>
        <w:t xml:space="preserve"> are not eligible to benefit from Feed-in-Tariff (FIT) Mechanism. </w:t>
      </w:r>
      <w:r w:rsidR="000B26B9" w:rsidRPr="0043215C">
        <w:rPr>
          <w:rFonts w:cstheme="minorHAnsi"/>
          <w:sz w:val="20"/>
          <w:szCs w:val="20"/>
        </w:rPr>
        <w:t>Please see detailed information on the renewable energy legislation and the authorities in charge of executing the relevant legislation in Annex</w:t>
      </w:r>
      <w:r w:rsidR="009C521F" w:rsidRPr="0043215C">
        <w:rPr>
          <w:rFonts w:cstheme="minorHAnsi"/>
          <w:sz w:val="20"/>
          <w:szCs w:val="20"/>
        </w:rPr>
        <w:t xml:space="preserve"> </w:t>
      </w:r>
      <w:r w:rsidR="00AD56A4" w:rsidRPr="0043215C">
        <w:rPr>
          <w:rFonts w:cstheme="minorHAnsi"/>
          <w:sz w:val="20"/>
          <w:szCs w:val="20"/>
        </w:rPr>
        <w:t>2</w:t>
      </w:r>
      <w:r w:rsidR="000B26B9" w:rsidRPr="0043215C">
        <w:rPr>
          <w:rFonts w:cstheme="minorHAnsi"/>
          <w:sz w:val="20"/>
          <w:szCs w:val="20"/>
        </w:rPr>
        <w:t>.</w:t>
      </w:r>
    </w:p>
    <w:p w14:paraId="3E10F510" w14:textId="77777777" w:rsidR="00616EB3" w:rsidRPr="0043215C" w:rsidRDefault="00616EB3" w:rsidP="008029E3">
      <w:pPr>
        <w:shd w:val="clear" w:color="auto" w:fill="FDFDFD"/>
        <w:spacing w:after="0" w:line="240" w:lineRule="auto"/>
        <w:rPr>
          <w:rFonts w:cstheme="minorHAnsi"/>
          <w:b/>
          <w:sz w:val="20"/>
          <w:szCs w:val="20"/>
        </w:rPr>
      </w:pPr>
    </w:p>
    <w:p w14:paraId="1B7BECDD" w14:textId="77777777" w:rsidR="00CF6680" w:rsidRPr="0043215C" w:rsidRDefault="00A80F6C" w:rsidP="00A80F6C">
      <w:pPr>
        <w:shd w:val="clear" w:color="auto" w:fill="FDFDFD"/>
        <w:spacing w:after="0" w:line="240" w:lineRule="auto"/>
        <w:rPr>
          <w:rFonts w:eastAsia="Calibri" w:cstheme="minorHAnsi"/>
          <w:sz w:val="20"/>
          <w:szCs w:val="20"/>
        </w:rPr>
      </w:pPr>
      <w:r w:rsidRPr="0043215C">
        <w:rPr>
          <w:rFonts w:cstheme="minorHAnsi"/>
          <w:b/>
          <w:sz w:val="20"/>
          <w:szCs w:val="20"/>
        </w:rPr>
        <w:lastRenderedPageBreak/>
        <w:t>Following the enactment of 2001 Electricity Market Law (EML) for</w:t>
      </w:r>
      <w:r w:rsidR="00CF57D8" w:rsidRPr="0043215C">
        <w:rPr>
          <w:rFonts w:cstheme="minorHAnsi"/>
          <w:b/>
          <w:sz w:val="20"/>
          <w:szCs w:val="20"/>
        </w:rPr>
        <w:t xml:space="preserve"> </w:t>
      </w:r>
      <w:r w:rsidRPr="0043215C">
        <w:rPr>
          <w:rFonts w:cstheme="minorHAnsi"/>
          <w:b/>
          <w:sz w:val="20"/>
          <w:szCs w:val="20"/>
        </w:rPr>
        <w:t xml:space="preserve">the liberalization of the market and 2005 REL, the renewable energy investments scaled up. </w:t>
      </w:r>
      <w:r w:rsidRPr="0043215C">
        <w:rPr>
          <w:rFonts w:cstheme="minorHAnsi"/>
          <w:sz w:val="20"/>
          <w:szCs w:val="20"/>
        </w:rPr>
        <w:t>Earlier, the only way of constructing a renewable power plant to generate electricity for a private investor was either to install an auto</w:t>
      </w:r>
      <w:r w:rsidR="00BE287D" w:rsidRPr="0043215C">
        <w:rPr>
          <w:rFonts w:cstheme="minorHAnsi"/>
          <w:sz w:val="20"/>
          <w:szCs w:val="20"/>
        </w:rPr>
        <w:t xml:space="preserve"> </w:t>
      </w:r>
      <w:r w:rsidRPr="0043215C">
        <w:rPr>
          <w:rFonts w:cstheme="minorHAnsi"/>
          <w:sz w:val="20"/>
          <w:szCs w:val="20"/>
        </w:rPr>
        <w:t>producer facility or to realize a Built-Operate-Transfer (BOT) project. Hence, as shown in, the projects utilizing renewable energy had 11,221.6 MW installed capacity in the year 2000 and renewable share in the total capacity was 41.2%. Under the BOT model, 3 Wind Power Plants (WPP) having a total installed capacity of 18.9 MW and 13 HPP having a total installed capacity of 846,91 MW were constructed and operated then. In the early years of reform, neither the administration nor the investors were ready to invest in renewable resources for electricity generation since the technical prerequisites were not determined, a support system was not developed and the study of the determination of connection capacity limits of grid was not finalized at that time. As the legislation developed, the installed capacity developed and constructed by the private sector’s contribution increased considerably and reached 15,487.1 MW in 2009, but its share in the total capacity decreased to 34.6% due to the constructed thermal plants. With the development of unlicensed generation legislation, the construction of renewable facilities boomed. In 2015, total renewable capacity reached 31,520.8 MW, comp</w:t>
      </w:r>
      <w:r w:rsidR="00BA2C03" w:rsidRPr="0043215C">
        <w:rPr>
          <w:rFonts w:cstheme="minorHAnsi"/>
          <w:sz w:val="20"/>
          <w:szCs w:val="20"/>
        </w:rPr>
        <w:t>ri</w:t>
      </w:r>
      <w:r w:rsidRPr="0043215C">
        <w:rPr>
          <w:rFonts w:cstheme="minorHAnsi"/>
          <w:sz w:val="20"/>
          <w:szCs w:val="20"/>
        </w:rPr>
        <w:t xml:space="preserve">sing 43.1% of total capacity. By end-2023, renewable capacity reached 58,819.3 MW, with a 55.2% share in </w:t>
      </w:r>
      <w:r w:rsidR="00784A56" w:rsidRPr="0043215C">
        <w:rPr>
          <w:rFonts w:cstheme="minorHAnsi"/>
          <w:sz w:val="20"/>
          <w:szCs w:val="20"/>
        </w:rPr>
        <w:t>total</w:t>
      </w:r>
      <w:r w:rsidRPr="0043215C">
        <w:rPr>
          <w:rFonts w:cstheme="minorHAnsi"/>
          <w:sz w:val="20"/>
          <w:szCs w:val="20"/>
        </w:rPr>
        <w:t xml:space="preserve"> capacity. </w:t>
      </w:r>
      <w:r w:rsidRPr="0043215C">
        <w:rPr>
          <w:rFonts w:eastAsia="Calibri" w:cstheme="minorHAnsi"/>
          <w:sz w:val="20"/>
          <w:szCs w:val="20"/>
        </w:rPr>
        <w:t>This achievement has significantly exceeded the original target of 38.8 percent of RE in the power generation mix by 2023 set in the National Renewable Energy Action Plan (2013–2023), placing Türkiye as the fifth largest RE generator in Europe and the 12</w:t>
      </w:r>
      <w:r w:rsidRPr="0043215C">
        <w:rPr>
          <w:rFonts w:eastAsia="Calibri" w:cstheme="minorHAnsi"/>
          <w:sz w:val="20"/>
          <w:szCs w:val="20"/>
          <w:vertAlign w:val="superscript"/>
        </w:rPr>
        <w:t>th</w:t>
      </w:r>
      <w:r w:rsidRPr="0043215C">
        <w:rPr>
          <w:rFonts w:eastAsia="Calibri" w:cstheme="minorHAnsi"/>
          <w:sz w:val="20"/>
          <w:szCs w:val="20"/>
        </w:rPr>
        <w:t xml:space="preserve"> largest in the world.</w:t>
      </w:r>
      <w:r w:rsidR="00386E1F" w:rsidRPr="0043215C">
        <w:rPr>
          <w:rFonts w:eastAsia="Calibri" w:cstheme="minorHAnsi"/>
          <w:sz w:val="20"/>
          <w:szCs w:val="20"/>
        </w:rPr>
        <w:t xml:space="preserve"> Please see Annex </w:t>
      </w:r>
      <w:r w:rsidR="00A3696F" w:rsidRPr="0043215C">
        <w:rPr>
          <w:rFonts w:eastAsia="Calibri" w:cstheme="minorHAnsi"/>
          <w:sz w:val="20"/>
          <w:szCs w:val="20"/>
        </w:rPr>
        <w:t>3</w:t>
      </w:r>
      <w:r w:rsidR="00386E1F" w:rsidRPr="0043215C">
        <w:rPr>
          <w:rFonts w:eastAsia="Calibri" w:cstheme="minorHAnsi"/>
          <w:sz w:val="20"/>
          <w:szCs w:val="20"/>
        </w:rPr>
        <w:t xml:space="preserve"> </w:t>
      </w:r>
      <w:r w:rsidR="00C822CB" w:rsidRPr="0043215C">
        <w:rPr>
          <w:rFonts w:eastAsia="Calibri" w:cstheme="minorHAnsi"/>
          <w:sz w:val="20"/>
          <w:szCs w:val="20"/>
        </w:rPr>
        <w:t xml:space="preserve">for </w:t>
      </w:r>
      <w:r w:rsidR="005F64A6" w:rsidRPr="0043215C">
        <w:rPr>
          <w:rFonts w:eastAsia="Calibri" w:cstheme="minorHAnsi"/>
          <w:sz w:val="20"/>
          <w:szCs w:val="20"/>
        </w:rPr>
        <w:t>Türkiye</w:t>
      </w:r>
      <w:r w:rsidR="00C822CB" w:rsidRPr="0043215C">
        <w:rPr>
          <w:rFonts w:eastAsia="Calibri" w:cstheme="minorHAnsi"/>
          <w:sz w:val="20"/>
          <w:szCs w:val="20"/>
        </w:rPr>
        <w:t xml:space="preserve"> power sector overview.</w:t>
      </w:r>
    </w:p>
    <w:p w14:paraId="613631C6" w14:textId="617D358A" w:rsidR="00DD30EE" w:rsidRPr="0043215C" w:rsidRDefault="00C822CB" w:rsidP="00A80F6C">
      <w:pPr>
        <w:shd w:val="clear" w:color="auto" w:fill="FDFDFD"/>
        <w:spacing w:after="0" w:line="240" w:lineRule="auto"/>
        <w:rPr>
          <w:rFonts w:cstheme="minorHAnsi"/>
          <w:sz w:val="20"/>
          <w:szCs w:val="20"/>
        </w:rPr>
      </w:pPr>
      <w:r w:rsidRPr="0043215C">
        <w:rPr>
          <w:rFonts w:eastAsia="Calibri" w:cstheme="minorHAnsi"/>
          <w:sz w:val="20"/>
          <w:szCs w:val="20"/>
        </w:rPr>
        <w:t xml:space="preserve"> </w:t>
      </w:r>
    </w:p>
    <w:p w14:paraId="1F40521C" w14:textId="4F43DAD0" w:rsidR="00A80F6C" w:rsidRPr="0043215C" w:rsidRDefault="00EB0A0E" w:rsidP="00EB0A0E">
      <w:pPr>
        <w:pStyle w:val="Caption"/>
        <w:keepNext/>
        <w:rPr>
          <w:rFonts w:cstheme="minorHAnsi"/>
          <w:b w:val="0"/>
          <w:sz w:val="20"/>
          <w:szCs w:val="20"/>
        </w:rPr>
      </w:pPr>
      <w:r w:rsidRPr="0043215C">
        <w:rPr>
          <w:rFonts w:cstheme="minorHAnsi"/>
          <w:sz w:val="20"/>
          <w:szCs w:val="20"/>
        </w:rPr>
        <w:t>F</w:t>
      </w:r>
      <w:r w:rsidR="00636124" w:rsidRPr="0043215C">
        <w:rPr>
          <w:rFonts w:cstheme="minorHAnsi"/>
          <w:sz w:val="20"/>
          <w:szCs w:val="20"/>
        </w:rPr>
        <w:t>i</w:t>
      </w:r>
      <w:r w:rsidRPr="0043215C">
        <w:rPr>
          <w:rFonts w:cstheme="minorHAnsi"/>
          <w:sz w:val="20"/>
          <w:szCs w:val="20"/>
        </w:rPr>
        <w:t xml:space="preserve">gure </w:t>
      </w:r>
      <w:r w:rsidR="0032195A" w:rsidRPr="0043215C">
        <w:rPr>
          <w:rFonts w:cstheme="minorHAnsi"/>
          <w:sz w:val="20"/>
          <w:szCs w:val="20"/>
        </w:rPr>
        <w:t>3</w:t>
      </w:r>
      <w:r w:rsidR="00CF57D8" w:rsidRPr="0043215C">
        <w:rPr>
          <w:rFonts w:cstheme="minorHAnsi"/>
          <w:b w:val="0"/>
          <w:sz w:val="20"/>
          <w:szCs w:val="20"/>
        </w:rPr>
        <w:t>:</w:t>
      </w:r>
      <w:r w:rsidR="00A80F6C" w:rsidRPr="0043215C">
        <w:rPr>
          <w:rFonts w:cstheme="minorHAnsi"/>
          <w:b w:val="0"/>
          <w:sz w:val="20"/>
          <w:szCs w:val="20"/>
        </w:rPr>
        <w:t xml:space="preserve"> The development of renewable capacity and the total capacity (2000 – 2023)</w:t>
      </w:r>
    </w:p>
    <w:p w14:paraId="1C275916" w14:textId="77777777" w:rsidR="00A80F6C" w:rsidRPr="0043215C" w:rsidRDefault="00A80F6C" w:rsidP="00A80F6C">
      <w:pPr>
        <w:keepNext/>
        <w:shd w:val="clear" w:color="auto" w:fill="FDFDFD"/>
        <w:spacing w:after="0" w:line="240" w:lineRule="auto"/>
        <w:jc w:val="center"/>
        <w:rPr>
          <w:rFonts w:cstheme="minorHAnsi"/>
          <w:sz w:val="20"/>
          <w:szCs w:val="20"/>
        </w:rPr>
      </w:pPr>
      <w:r w:rsidRPr="0043215C">
        <w:rPr>
          <w:rFonts w:cstheme="minorHAnsi"/>
          <w:noProof/>
          <w:sz w:val="20"/>
          <w:szCs w:val="20"/>
        </w:rPr>
        <w:drawing>
          <wp:inline distT="0" distB="0" distL="0" distR="0" wp14:anchorId="0CD4D5CE" wp14:editId="67693834">
            <wp:extent cx="5677491" cy="2529840"/>
            <wp:effectExtent l="171450" t="171450" r="171450" b="175260"/>
            <wp:docPr id="598966181" name="Picture 598966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8460"/>
                    <a:stretch/>
                  </pic:blipFill>
                  <pic:spPr bwMode="auto">
                    <a:xfrm>
                      <a:off x="0" y="0"/>
                      <a:ext cx="5724496" cy="255078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6A4D4ED5" w14:textId="60D16FF5" w:rsidR="00FA77A3" w:rsidRPr="0043215C" w:rsidRDefault="00CF6680" w:rsidP="003B30D6">
      <w:pPr>
        <w:rPr>
          <w:rFonts w:cstheme="minorHAnsi"/>
          <w:sz w:val="20"/>
          <w:szCs w:val="20"/>
        </w:rPr>
      </w:pPr>
      <w:r w:rsidRPr="0043215C">
        <w:rPr>
          <w:rFonts w:cstheme="minorHAnsi"/>
          <w:sz w:val="20"/>
          <w:szCs w:val="20"/>
        </w:rPr>
        <w:t xml:space="preserve">Source: </w:t>
      </w:r>
      <w:r w:rsidRPr="0043215C">
        <w:rPr>
          <w:rFonts w:cstheme="minorHAnsi"/>
          <w:bCs/>
          <w:sz w:val="20"/>
          <w:szCs w:val="20"/>
        </w:rPr>
        <w:t>TEİAŞ</w:t>
      </w:r>
    </w:p>
    <w:p w14:paraId="3547FBA6" w14:textId="356CB611" w:rsidR="00FA77A3" w:rsidRPr="0043215C" w:rsidRDefault="00A80F6C" w:rsidP="003B30D6">
      <w:pPr>
        <w:rPr>
          <w:rFonts w:cstheme="minorHAnsi"/>
          <w:sz w:val="20"/>
          <w:szCs w:val="20"/>
        </w:rPr>
      </w:pPr>
      <w:r w:rsidRPr="0043215C">
        <w:rPr>
          <w:rFonts w:cstheme="minorHAnsi"/>
          <w:b/>
          <w:sz w:val="20"/>
          <w:szCs w:val="20"/>
        </w:rPr>
        <w:t xml:space="preserve">Share of renewables in the generation mix increased from 24.9% in 2000 to 32 percent in 2015 and </w:t>
      </w:r>
      <w:r w:rsidRPr="0043215C">
        <w:rPr>
          <w:rFonts w:cstheme="minorHAnsi"/>
          <w:sz w:val="20"/>
          <w:szCs w:val="20"/>
        </w:rPr>
        <w:t>42 percent in 2022,</w:t>
      </w:r>
      <w:r w:rsidR="00CF57D8" w:rsidRPr="0043215C">
        <w:rPr>
          <w:rFonts w:cstheme="minorHAnsi"/>
          <w:sz w:val="20"/>
          <w:szCs w:val="20"/>
        </w:rPr>
        <w:t xml:space="preserve"> </w:t>
      </w:r>
      <w:r w:rsidRPr="0043215C">
        <w:rPr>
          <w:rFonts w:cstheme="minorHAnsi"/>
          <w:sz w:val="20"/>
          <w:szCs w:val="20"/>
        </w:rPr>
        <w:t xml:space="preserve">as shown in </w:t>
      </w:r>
      <w:r w:rsidR="0075559A" w:rsidRPr="0043215C">
        <w:rPr>
          <w:rFonts w:cstheme="minorHAnsi"/>
          <w:sz w:val="20"/>
          <w:szCs w:val="20"/>
        </w:rPr>
        <w:t>Figure 4</w:t>
      </w:r>
      <w:r w:rsidR="00966945" w:rsidRPr="0043215C">
        <w:rPr>
          <w:rFonts w:cstheme="minorHAnsi"/>
          <w:sz w:val="20"/>
          <w:szCs w:val="20"/>
        </w:rPr>
        <w:t>.</w:t>
      </w:r>
    </w:p>
    <w:p w14:paraId="0066D8BA" w14:textId="532BF54A" w:rsidR="009C3A57" w:rsidRPr="0043215C" w:rsidRDefault="00A80F6C" w:rsidP="00FA77A3">
      <w:pPr>
        <w:pStyle w:val="Caption"/>
        <w:keepNext/>
        <w:rPr>
          <w:rFonts w:cstheme="minorHAnsi"/>
          <w:b w:val="0"/>
          <w:bCs w:val="0"/>
          <w:sz w:val="20"/>
          <w:szCs w:val="20"/>
        </w:rPr>
      </w:pPr>
      <w:r w:rsidRPr="0043215C">
        <w:rPr>
          <w:rFonts w:cstheme="minorHAnsi"/>
          <w:sz w:val="20"/>
          <w:szCs w:val="20"/>
        </w:rPr>
        <w:lastRenderedPageBreak/>
        <w:t>Figure</w:t>
      </w:r>
      <w:r w:rsidR="0032195A" w:rsidRPr="0043215C">
        <w:rPr>
          <w:rFonts w:cstheme="minorHAnsi"/>
          <w:sz w:val="20"/>
          <w:szCs w:val="20"/>
        </w:rPr>
        <w:t xml:space="preserve"> 4:</w:t>
      </w:r>
      <w:r w:rsidRPr="0043215C">
        <w:rPr>
          <w:rFonts w:cstheme="minorHAnsi"/>
          <w:sz w:val="20"/>
          <w:szCs w:val="20"/>
        </w:rPr>
        <w:t xml:space="preserve"> </w:t>
      </w:r>
      <w:r w:rsidRPr="0043215C">
        <w:rPr>
          <w:rFonts w:cstheme="minorHAnsi"/>
          <w:b w:val="0"/>
          <w:bCs w:val="0"/>
          <w:sz w:val="20"/>
          <w:szCs w:val="20"/>
        </w:rPr>
        <w:t>Development of Renewable Generation in the Total Generation</w:t>
      </w:r>
      <w:r w:rsidR="00CF57D8" w:rsidRPr="0043215C">
        <w:rPr>
          <w:rFonts w:cstheme="minorHAnsi"/>
          <w:b w:val="0"/>
          <w:bCs w:val="0"/>
          <w:sz w:val="20"/>
          <w:szCs w:val="20"/>
        </w:rPr>
        <w:t xml:space="preserve"> </w:t>
      </w:r>
      <w:r w:rsidR="006D546A" w:rsidRPr="0043215C">
        <w:rPr>
          <w:rFonts w:cstheme="minorHAnsi"/>
          <w:b w:val="0"/>
          <w:bCs w:val="0"/>
          <w:sz w:val="20"/>
          <w:szCs w:val="20"/>
        </w:rPr>
        <w:t>(2000-2023)</w:t>
      </w:r>
      <w:bookmarkStart w:id="68" w:name="_Ref159339986"/>
    </w:p>
    <w:bookmarkEnd w:id="68"/>
    <w:p w14:paraId="38D28ACF" w14:textId="77777777" w:rsidR="00CF6680" w:rsidRPr="0043215C" w:rsidRDefault="00FA77A3" w:rsidP="00F64416">
      <w:pPr>
        <w:rPr>
          <w:rFonts w:cstheme="minorHAnsi"/>
          <w:sz w:val="20"/>
          <w:szCs w:val="20"/>
        </w:rPr>
      </w:pPr>
      <w:r w:rsidRPr="0043215C">
        <w:rPr>
          <w:rFonts w:cstheme="minorHAnsi"/>
          <w:noProof/>
          <w:sz w:val="20"/>
          <w:szCs w:val="20"/>
        </w:rPr>
        <w:drawing>
          <wp:inline distT="0" distB="0" distL="0" distR="0" wp14:anchorId="71351CC4" wp14:editId="38C157BD">
            <wp:extent cx="5876867" cy="3091815"/>
            <wp:effectExtent l="19050" t="19050" r="0" b="0"/>
            <wp:docPr id="8" name="Chart 8">
              <a:extLst xmlns:a="http://schemas.openxmlformats.org/drawingml/2006/main">
                <a:ext uri="{FF2B5EF4-FFF2-40B4-BE49-F238E27FC236}">
                  <a16:creationId xmlns:a16="http://schemas.microsoft.com/office/drawing/2014/main" id="{615F18D1-1409-8D5C-342B-997F6417B0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A59BBA" w14:textId="2CD2F57C" w:rsidR="00CF6680" w:rsidRPr="0043215C" w:rsidRDefault="00CF6680" w:rsidP="00CF6680">
      <w:pPr>
        <w:pStyle w:val="Caption"/>
        <w:ind w:left="720"/>
        <w:jc w:val="left"/>
        <w:rPr>
          <w:rFonts w:cstheme="minorHAnsi"/>
          <w:b w:val="0"/>
          <w:bCs w:val="0"/>
          <w:sz w:val="20"/>
          <w:szCs w:val="20"/>
        </w:rPr>
      </w:pPr>
      <w:r w:rsidRPr="0043215C">
        <w:rPr>
          <w:rFonts w:cstheme="minorHAnsi"/>
          <w:b w:val="0"/>
          <w:bCs w:val="0"/>
          <w:sz w:val="20"/>
          <w:szCs w:val="20"/>
        </w:rPr>
        <w:t xml:space="preserve">Source: TEİAŞ </w:t>
      </w:r>
    </w:p>
    <w:p w14:paraId="67A625EC" w14:textId="641D2C31" w:rsidR="00A80F6C" w:rsidRPr="0043215C" w:rsidRDefault="00A80F6C" w:rsidP="00BA5A4F">
      <w:pPr>
        <w:pStyle w:val="Default"/>
        <w:jc w:val="both"/>
        <w:rPr>
          <w:rFonts w:asciiTheme="minorHAnsi" w:hAnsiTheme="minorHAnsi" w:cstheme="minorHAnsi"/>
          <w:sz w:val="20"/>
          <w:szCs w:val="20"/>
          <w:lang w:val="en-US"/>
        </w:rPr>
      </w:pPr>
      <w:r w:rsidRPr="0043215C">
        <w:rPr>
          <w:rFonts w:asciiTheme="minorHAnsi" w:hAnsiTheme="minorHAnsi" w:cstheme="minorHAnsi"/>
          <w:b/>
          <w:sz w:val="20"/>
          <w:szCs w:val="20"/>
          <w:lang w:val="en-US"/>
        </w:rPr>
        <w:t>The REL was enacted to introduce certain incentives to the investors such as floor prices and priority of dispatch.</w:t>
      </w:r>
      <w:r w:rsidRPr="0043215C">
        <w:rPr>
          <w:rFonts w:asciiTheme="minorHAnsi" w:hAnsiTheme="minorHAnsi" w:cstheme="minorHAnsi"/>
          <w:sz w:val="20"/>
          <w:szCs w:val="20"/>
          <w:lang w:val="en-US"/>
        </w:rPr>
        <w:t xml:space="preserve"> The regulatory framework for renewable energy was much strengthened in January 2011 with amendments to the REL, with the introduction of FITs in </w:t>
      </w:r>
      <w:r w:rsidR="00636124" w:rsidRPr="0043215C">
        <w:rPr>
          <w:rFonts w:asciiTheme="minorHAnsi" w:hAnsiTheme="minorHAnsi" w:cstheme="minorHAnsi"/>
          <w:sz w:val="20"/>
          <w:szCs w:val="20"/>
          <w:lang w:val="en-US"/>
        </w:rPr>
        <w:t>US$</w:t>
      </w:r>
      <w:r w:rsidRPr="0043215C">
        <w:rPr>
          <w:rFonts w:asciiTheme="minorHAnsi" w:hAnsiTheme="minorHAnsi" w:cstheme="minorHAnsi"/>
          <w:sz w:val="20"/>
          <w:szCs w:val="20"/>
          <w:lang w:val="en-US"/>
        </w:rPr>
        <w:t xml:space="preserve"> ha for each type of renewable power generation. The amendment</w:t>
      </w:r>
      <w:r w:rsidRPr="0043215C">
        <w:rPr>
          <w:rFonts w:asciiTheme="minorHAnsi" w:hAnsiTheme="minorHAnsi" w:cstheme="minorHAnsi"/>
          <w:sz w:val="20"/>
          <w:szCs w:val="20"/>
          <w:vertAlign w:val="superscript"/>
          <w:lang w:val="en-US"/>
        </w:rPr>
        <w:footnoteReference w:id="18"/>
      </w:r>
      <w:r w:rsidRPr="0043215C">
        <w:rPr>
          <w:rFonts w:asciiTheme="minorHAnsi" w:hAnsiTheme="minorHAnsi" w:cstheme="minorHAnsi"/>
          <w:sz w:val="20"/>
          <w:szCs w:val="20"/>
          <w:lang w:val="en-US"/>
        </w:rPr>
        <w:t xml:space="preserve"> to REL about unlicensed RES generation gave the opportunity to unlicensed RES generators to benefit from the FIT as well. This was followed by the law on </w:t>
      </w:r>
      <w:r w:rsidR="00DA208A" w:rsidRPr="0043215C">
        <w:rPr>
          <w:rFonts w:asciiTheme="minorHAnsi" w:hAnsiTheme="minorHAnsi" w:cstheme="minorHAnsi"/>
          <w:sz w:val="20"/>
          <w:szCs w:val="20"/>
          <w:lang w:val="en-US"/>
        </w:rPr>
        <w:t>Renewable Energy Zo</w:t>
      </w:r>
      <w:r w:rsidR="00810986" w:rsidRPr="0043215C">
        <w:rPr>
          <w:rFonts w:asciiTheme="minorHAnsi" w:hAnsiTheme="minorHAnsi" w:cstheme="minorHAnsi"/>
          <w:sz w:val="20"/>
          <w:szCs w:val="20"/>
          <w:lang w:val="en-US"/>
        </w:rPr>
        <w:t>nes (</w:t>
      </w:r>
      <w:r w:rsidRPr="0043215C">
        <w:rPr>
          <w:rFonts w:asciiTheme="minorHAnsi" w:hAnsiTheme="minorHAnsi" w:cstheme="minorHAnsi"/>
          <w:sz w:val="20"/>
          <w:szCs w:val="20"/>
          <w:lang w:val="en-US"/>
        </w:rPr>
        <w:t>YEKAs</w:t>
      </w:r>
      <w:r w:rsidR="00810986" w:rsidRPr="0043215C">
        <w:rPr>
          <w:rFonts w:asciiTheme="minorHAnsi" w:hAnsiTheme="minorHAnsi" w:cstheme="minorHAnsi"/>
          <w:sz w:val="20"/>
          <w:szCs w:val="20"/>
          <w:lang w:val="en-US"/>
        </w:rPr>
        <w:t>)</w:t>
      </w:r>
      <w:r w:rsidRPr="0043215C">
        <w:rPr>
          <w:rFonts w:asciiTheme="minorHAnsi" w:hAnsiTheme="minorHAnsi" w:cstheme="minorHAnsi"/>
          <w:sz w:val="20"/>
          <w:szCs w:val="20"/>
          <w:lang w:val="en-US"/>
        </w:rPr>
        <w:t xml:space="preserve">. The renewable energy resource areas are the areas having electricity generation potential through solar or wind sources. These areas are studied, and their realistic electricity generation capacities are determined. Eventually, an auction is being held, and a contract is executed with the company that offers the lowest electricity sales price, and the company in question is entitled to receive a provisional license. </w:t>
      </w:r>
    </w:p>
    <w:p w14:paraId="6C09CCFC" w14:textId="77777777" w:rsidR="00A80F6C" w:rsidRPr="0043215C" w:rsidRDefault="00A80F6C" w:rsidP="00BA5A4F">
      <w:pPr>
        <w:pStyle w:val="Default"/>
        <w:ind w:left="426"/>
        <w:jc w:val="both"/>
        <w:rPr>
          <w:rFonts w:asciiTheme="minorHAnsi" w:hAnsiTheme="minorHAnsi" w:cstheme="minorHAnsi"/>
          <w:sz w:val="20"/>
          <w:szCs w:val="20"/>
          <w:lang w:val="en-US"/>
        </w:rPr>
      </w:pPr>
    </w:p>
    <w:p w14:paraId="4F09E239" w14:textId="5239EECF" w:rsidR="00A80F6C" w:rsidRPr="0043215C" w:rsidRDefault="00A80F6C" w:rsidP="00BA5A4F">
      <w:pPr>
        <w:pStyle w:val="Default"/>
        <w:jc w:val="both"/>
        <w:rPr>
          <w:rFonts w:asciiTheme="minorHAnsi" w:hAnsiTheme="minorHAnsi" w:cstheme="minorHAnsi"/>
          <w:color w:val="auto"/>
          <w:sz w:val="20"/>
          <w:szCs w:val="20"/>
          <w:lang w:val="en-US"/>
        </w:rPr>
      </w:pPr>
      <w:r w:rsidRPr="0043215C">
        <w:rPr>
          <w:rFonts w:asciiTheme="minorHAnsi" w:hAnsiTheme="minorHAnsi" w:cstheme="minorHAnsi"/>
          <w:color w:val="auto"/>
          <w:sz w:val="20"/>
          <w:szCs w:val="20"/>
          <w:lang w:val="en-US"/>
        </w:rPr>
        <w:t>With another amendment to REL</w:t>
      </w:r>
      <w:r w:rsidRPr="0043215C">
        <w:rPr>
          <w:rFonts w:asciiTheme="minorHAnsi" w:hAnsiTheme="minorHAnsi" w:cstheme="minorHAnsi"/>
          <w:color w:val="auto"/>
          <w:sz w:val="20"/>
          <w:szCs w:val="20"/>
          <w:vertAlign w:val="superscript"/>
          <w:lang w:val="en-US"/>
        </w:rPr>
        <w:footnoteReference w:id="19"/>
      </w:r>
      <w:r w:rsidRPr="0043215C">
        <w:rPr>
          <w:rFonts w:asciiTheme="minorHAnsi" w:hAnsiTheme="minorHAnsi" w:cstheme="minorHAnsi"/>
          <w:color w:val="auto"/>
          <w:sz w:val="20"/>
          <w:szCs w:val="20"/>
          <w:lang w:val="en-US"/>
        </w:rPr>
        <w:t xml:space="preserve"> in 2020, FIT was determined in </w:t>
      </w:r>
      <w:r w:rsidR="00065571" w:rsidRPr="0043215C">
        <w:rPr>
          <w:rFonts w:asciiTheme="minorHAnsi" w:hAnsiTheme="minorHAnsi" w:cstheme="minorHAnsi"/>
          <w:color w:val="auto"/>
          <w:sz w:val="20"/>
          <w:szCs w:val="20"/>
          <w:lang w:val="en-US"/>
        </w:rPr>
        <w:t>Turkish Lira (</w:t>
      </w:r>
      <w:r w:rsidRPr="0043215C">
        <w:rPr>
          <w:rFonts w:asciiTheme="minorHAnsi" w:hAnsiTheme="minorHAnsi" w:cstheme="minorHAnsi"/>
          <w:color w:val="auto"/>
          <w:sz w:val="20"/>
          <w:szCs w:val="20"/>
          <w:lang w:val="en-US"/>
        </w:rPr>
        <w:t>TRY</w:t>
      </w:r>
      <w:r w:rsidR="00065571" w:rsidRPr="0043215C">
        <w:rPr>
          <w:rFonts w:asciiTheme="minorHAnsi" w:hAnsiTheme="minorHAnsi" w:cstheme="minorHAnsi"/>
          <w:color w:val="auto"/>
          <w:sz w:val="20"/>
          <w:szCs w:val="20"/>
          <w:lang w:val="en-US"/>
        </w:rPr>
        <w:t>)</w:t>
      </w:r>
      <w:r w:rsidRPr="0043215C">
        <w:rPr>
          <w:rFonts w:asciiTheme="minorHAnsi" w:hAnsiTheme="minorHAnsi" w:cstheme="minorHAnsi"/>
          <w:color w:val="auto"/>
          <w:sz w:val="20"/>
          <w:szCs w:val="20"/>
          <w:lang w:val="en-US"/>
        </w:rPr>
        <w:t>, and the amounts are left to be decided by the President, and the updating method of FIT was also left to be determined by the President. In line with this amendment, the tariff, tariff escalation principles and implementation duration applicable to electricity generators using renewable energy were determined</w:t>
      </w:r>
      <w:r w:rsidRPr="0043215C">
        <w:rPr>
          <w:rStyle w:val="FootnoteReference"/>
          <w:rFonts w:asciiTheme="minorHAnsi" w:hAnsiTheme="minorHAnsi" w:cstheme="minorHAnsi"/>
          <w:color w:val="auto"/>
          <w:sz w:val="20"/>
          <w:szCs w:val="20"/>
        </w:rPr>
        <w:footnoteReference w:id="20"/>
      </w:r>
      <w:r w:rsidRPr="0043215C">
        <w:rPr>
          <w:rFonts w:asciiTheme="minorHAnsi" w:hAnsiTheme="minorHAnsi" w:cstheme="minorHAnsi"/>
          <w:color w:val="auto"/>
          <w:sz w:val="20"/>
          <w:szCs w:val="20"/>
          <w:lang w:val="en-US"/>
        </w:rPr>
        <w:t xml:space="preserve">  and an updated tariff was issued recently</w:t>
      </w:r>
      <w:r w:rsidRPr="0043215C">
        <w:rPr>
          <w:rStyle w:val="FootnoteReference"/>
          <w:rFonts w:asciiTheme="minorHAnsi" w:hAnsiTheme="minorHAnsi" w:cstheme="minorHAnsi"/>
          <w:color w:val="auto"/>
          <w:sz w:val="20"/>
          <w:szCs w:val="20"/>
        </w:rPr>
        <w:footnoteReference w:id="21"/>
      </w:r>
      <w:r w:rsidRPr="0043215C">
        <w:rPr>
          <w:rFonts w:asciiTheme="minorHAnsi" w:hAnsiTheme="minorHAnsi" w:cstheme="minorHAnsi"/>
          <w:color w:val="auto"/>
          <w:sz w:val="20"/>
          <w:szCs w:val="20"/>
          <w:lang w:val="en-US"/>
        </w:rPr>
        <w:t>.</w:t>
      </w:r>
    </w:p>
    <w:p w14:paraId="49387627" w14:textId="77777777" w:rsidR="00A80F6C" w:rsidRPr="0043215C" w:rsidRDefault="00A80F6C" w:rsidP="00BA5A4F">
      <w:pPr>
        <w:pStyle w:val="Default"/>
        <w:ind w:left="426"/>
        <w:jc w:val="both"/>
        <w:rPr>
          <w:rFonts w:asciiTheme="minorHAnsi" w:hAnsiTheme="minorHAnsi" w:cstheme="minorHAnsi"/>
          <w:sz w:val="20"/>
          <w:szCs w:val="20"/>
          <w:lang w:val="en-US"/>
        </w:rPr>
      </w:pPr>
    </w:p>
    <w:p w14:paraId="66F3C906" w14:textId="3A85EBDE" w:rsidR="00FA77A3" w:rsidRPr="0043215C" w:rsidRDefault="00FA77A3" w:rsidP="00BA5A4F">
      <w:pPr>
        <w:pStyle w:val="Default"/>
        <w:jc w:val="both"/>
        <w:rPr>
          <w:rFonts w:asciiTheme="minorHAnsi" w:hAnsiTheme="minorHAnsi" w:cstheme="minorHAnsi"/>
          <w:b/>
          <w:sz w:val="20"/>
          <w:szCs w:val="20"/>
          <w:lang w:val="en-US"/>
        </w:rPr>
      </w:pPr>
    </w:p>
    <w:p w14:paraId="1619A105" w14:textId="50EA01F9" w:rsidR="00A80F6C" w:rsidRPr="0043215C" w:rsidRDefault="00A80F6C" w:rsidP="00BA5A4F">
      <w:pPr>
        <w:pStyle w:val="Default"/>
        <w:jc w:val="both"/>
        <w:rPr>
          <w:rFonts w:asciiTheme="minorHAnsi" w:hAnsiTheme="minorHAnsi" w:cstheme="minorHAnsi"/>
          <w:b/>
          <w:sz w:val="20"/>
          <w:szCs w:val="20"/>
          <w:lang w:val="en-US"/>
        </w:rPr>
      </w:pPr>
      <w:r w:rsidRPr="0043215C">
        <w:rPr>
          <w:rFonts w:asciiTheme="minorHAnsi" w:hAnsiTheme="minorHAnsi" w:cstheme="minorHAnsi"/>
          <w:b/>
          <w:sz w:val="20"/>
          <w:szCs w:val="20"/>
          <w:lang w:val="en-US"/>
        </w:rPr>
        <w:t>Currently, there are four ways of installing renewable energy facilities to generate electricity</w:t>
      </w:r>
      <w:r w:rsidR="00F91212" w:rsidRPr="0043215C">
        <w:rPr>
          <w:rFonts w:asciiTheme="minorHAnsi" w:hAnsiTheme="minorHAnsi" w:cstheme="minorHAnsi"/>
          <w:b/>
          <w:sz w:val="20"/>
          <w:szCs w:val="20"/>
          <w:lang w:val="en-US"/>
        </w:rPr>
        <w:t xml:space="preserve"> as follows: </w:t>
      </w:r>
    </w:p>
    <w:p w14:paraId="7042F10A" w14:textId="0547286C" w:rsidR="00A80F6C" w:rsidRPr="0043215C" w:rsidRDefault="00A80F6C"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By using announced connection capacities applying to EMRA for receiving FIT. However, in case of connection capacity scarcity and/or project site overlapping with other applicants, the applicant can only gain the provisional license right, offering the lowest price in an auction process and receive the price determined in the auction.</w:t>
      </w:r>
    </w:p>
    <w:p w14:paraId="5325FDA0" w14:textId="69BDE7F4" w:rsidR="00A80F6C" w:rsidRPr="0043215C" w:rsidRDefault="00A80F6C"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 xml:space="preserve">By participating in the YEKA tenders announced by the MENR, </w:t>
      </w:r>
    </w:p>
    <w:p w14:paraId="737FB9AA" w14:textId="5AC790C4" w:rsidR="00A80F6C" w:rsidRPr="0043215C" w:rsidRDefault="00A80F6C"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 xml:space="preserve">By developing an unlicensed project considering the connection capacities issued by distribution companies and </w:t>
      </w:r>
      <w:r w:rsidR="002B50C9" w:rsidRPr="0043215C">
        <w:rPr>
          <w:rFonts w:asciiTheme="minorHAnsi" w:hAnsiTheme="minorHAnsi" w:cstheme="minorHAnsi"/>
          <w:sz w:val="20"/>
          <w:szCs w:val="20"/>
          <w:lang w:val="en-US"/>
        </w:rPr>
        <w:t>TEİAŞ</w:t>
      </w:r>
      <w:r w:rsidRPr="0043215C">
        <w:rPr>
          <w:rFonts w:asciiTheme="minorHAnsi" w:hAnsiTheme="minorHAnsi" w:cstheme="minorHAnsi"/>
          <w:sz w:val="20"/>
          <w:szCs w:val="20"/>
          <w:lang w:val="en-US"/>
        </w:rPr>
        <w:t>.</w:t>
      </w:r>
    </w:p>
    <w:p w14:paraId="0602A719" w14:textId="77777777" w:rsidR="00A80F6C" w:rsidRPr="0043215C" w:rsidRDefault="00A80F6C"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lastRenderedPageBreak/>
        <w:t>through an undertaking to establish an electricity storage facility, to develop an electricity generation facility based on wind and/or solar energy up to the installed capacity of the electricity storage facility in question</w:t>
      </w:r>
      <w:r w:rsidRPr="0043215C">
        <w:rPr>
          <w:rStyle w:val="FootnoteReference"/>
          <w:rFonts w:asciiTheme="minorHAnsi" w:hAnsiTheme="minorHAnsi" w:cstheme="minorHAnsi"/>
          <w:sz w:val="20"/>
          <w:szCs w:val="20"/>
        </w:rPr>
        <w:footnoteReference w:id="22"/>
      </w:r>
      <w:r w:rsidRPr="0043215C">
        <w:rPr>
          <w:rFonts w:asciiTheme="minorHAnsi" w:hAnsiTheme="minorHAnsi" w:cstheme="minorHAnsi"/>
          <w:sz w:val="20"/>
          <w:szCs w:val="20"/>
          <w:lang w:val="en-US"/>
        </w:rPr>
        <w:t>.</w:t>
      </w:r>
    </w:p>
    <w:p w14:paraId="2ED112C5" w14:textId="77777777" w:rsidR="00A80F6C" w:rsidRPr="0043215C" w:rsidRDefault="00A80F6C" w:rsidP="00BA5A4F">
      <w:pPr>
        <w:pStyle w:val="Default"/>
        <w:ind w:left="360"/>
        <w:rPr>
          <w:rFonts w:asciiTheme="minorHAnsi" w:hAnsiTheme="minorHAnsi" w:cstheme="minorHAnsi"/>
          <w:sz w:val="20"/>
          <w:szCs w:val="20"/>
          <w:lang w:val="en-US"/>
        </w:rPr>
      </w:pPr>
    </w:p>
    <w:p w14:paraId="5541D64D" w14:textId="4BBB4712" w:rsidR="000D355B" w:rsidRPr="0043215C" w:rsidRDefault="4D969846" w:rsidP="212263D3">
      <w:pPr>
        <w:spacing w:after="0" w:line="240" w:lineRule="auto"/>
        <w:rPr>
          <w:rFonts w:cstheme="minorHAnsi"/>
          <w:sz w:val="20"/>
          <w:szCs w:val="20"/>
        </w:rPr>
      </w:pPr>
      <w:r w:rsidRPr="0043215C">
        <w:rPr>
          <w:rFonts w:eastAsia="Calibri" w:cstheme="minorHAnsi"/>
          <w:b/>
          <w:bCs/>
          <w:sz w:val="20"/>
          <w:szCs w:val="20"/>
        </w:rPr>
        <w:t>New</w:t>
      </w:r>
      <w:r w:rsidR="64E83FBD" w:rsidRPr="0043215C">
        <w:rPr>
          <w:rFonts w:eastAsia="Calibri" w:cstheme="minorHAnsi"/>
          <w:b/>
          <w:bCs/>
          <w:sz w:val="20"/>
          <w:szCs w:val="20"/>
        </w:rPr>
        <w:t xml:space="preserve"> capacities were announced </w:t>
      </w:r>
      <w:r w:rsidR="147D687F" w:rsidRPr="0043215C">
        <w:rPr>
          <w:rFonts w:eastAsia="Calibri" w:cstheme="minorHAnsi"/>
          <w:b/>
          <w:bCs/>
          <w:sz w:val="20"/>
          <w:szCs w:val="20"/>
        </w:rPr>
        <w:t xml:space="preserve">for unlicensed </w:t>
      </w:r>
      <w:r w:rsidR="6D559DBC" w:rsidRPr="0043215C">
        <w:rPr>
          <w:rFonts w:eastAsia="Calibri" w:cstheme="minorHAnsi"/>
          <w:b/>
          <w:bCs/>
          <w:sz w:val="20"/>
          <w:szCs w:val="20"/>
        </w:rPr>
        <w:t>RE</w:t>
      </w:r>
      <w:r w:rsidR="147D687F" w:rsidRPr="0043215C">
        <w:rPr>
          <w:rFonts w:eastAsia="Calibri" w:cstheme="minorHAnsi"/>
          <w:b/>
          <w:bCs/>
          <w:sz w:val="20"/>
          <w:szCs w:val="20"/>
        </w:rPr>
        <w:t xml:space="preserve"> investments</w:t>
      </w:r>
      <w:r w:rsidR="3D71A802" w:rsidRPr="0043215C">
        <w:rPr>
          <w:rFonts w:eastAsia="Calibri" w:cstheme="minorHAnsi"/>
          <w:b/>
          <w:bCs/>
          <w:sz w:val="20"/>
          <w:szCs w:val="20"/>
        </w:rPr>
        <w:t xml:space="preserve">, some </w:t>
      </w:r>
      <w:r w:rsidR="147D687F" w:rsidRPr="0043215C">
        <w:rPr>
          <w:rFonts w:cstheme="minorHAnsi"/>
          <w:b/>
          <w:bCs/>
          <w:sz w:val="20"/>
          <w:szCs w:val="20"/>
        </w:rPr>
        <w:t xml:space="preserve">capacities allocated </w:t>
      </w:r>
      <w:r w:rsidR="58BF2BD4" w:rsidRPr="0043215C">
        <w:rPr>
          <w:rFonts w:cstheme="minorHAnsi"/>
          <w:b/>
          <w:bCs/>
          <w:sz w:val="20"/>
          <w:szCs w:val="20"/>
        </w:rPr>
        <w:t>have not been</w:t>
      </w:r>
      <w:r w:rsidR="147D687F" w:rsidRPr="0043215C">
        <w:rPr>
          <w:rFonts w:cstheme="minorHAnsi"/>
          <w:b/>
          <w:bCs/>
          <w:sz w:val="20"/>
          <w:szCs w:val="20"/>
        </w:rPr>
        <w:t xml:space="preserve"> realized by the investor</w:t>
      </w:r>
      <w:r w:rsidR="3D71A802" w:rsidRPr="0043215C">
        <w:rPr>
          <w:rFonts w:cstheme="minorHAnsi"/>
          <w:b/>
          <w:bCs/>
          <w:sz w:val="20"/>
          <w:szCs w:val="20"/>
        </w:rPr>
        <w:t>s</w:t>
      </w:r>
      <w:r w:rsidR="147D687F" w:rsidRPr="0043215C">
        <w:rPr>
          <w:rFonts w:cstheme="minorHAnsi"/>
          <w:b/>
          <w:bCs/>
          <w:sz w:val="20"/>
          <w:szCs w:val="20"/>
        </w:rPr>
        <w:t xml:space="preserve">, </w:t>
      </w:r>
      <w:r w:rsidR="76920B98" w:rsidRPr="0043215C">
        <w:rPr>
          <w:rFonts w:cstheme="minorHAnsi"/>
          <w:b/>
          <w:bCs/>
          <w:sz w:val="20"/>
          <w:szCs w:val="20"/>
        </w:rPr>
        <w:t xml:space="preserve">thus </w:t>
      </w:r>
      <w:r w:rsidR="147D687F" w:rsidRPr="0043215C">
        <w:rPr>
          <w:rFonts w:cstheme="minorHAnsi"/>
          <w:b/>
          <w:bCs/>
          <w:sz w:val="20"/>
          <w:szCs w:val="20"/>
        </w:rPr>
        <w:t>creating idle capacities in the transmission grid</w:t>
      </w:r>
      <w:r w:rsidR="6BB2042F" w:rsidRPr="0043215C">
        <w:rPr>
          <w:rFonts w:cstheme="minorHAnsi"/>
          <w:b/>
          <w:bCs/>
          <w:sz w:val="20"/>
          <w:szCs w:val="20"/>
        </w:rPr>
        <w:t xml:space="preserve">. </w:t>
      </w:r>
      <w:r w:rsidR="002B50C9" w:rsidRPr="0043215C">
        <w:rPr>
          <w:rFonts w:eastAsia="Calibri" w:cstheme="minorHAnsi"/>
          <w:sz w:val="20"/>
          <w:szCs w:val="20"/>
        </w:rPr>
        <w:t>TEİAŞ</w:t>
      </w:r>
      <w:r w:rsidR="64E83FBD" w:rsidRPr="0043215C">
        <w:rPr>
          <w:rFonts w:eastAsia="Calibri" w:cstheme="minorHAnsi"/>
          <w:sz w:val="20"/>
          <w:szCs w:val="20"/>
        </w:rPr>
        <w:t xml:space="preserve"> announced 3,750MW connection capacity in February 2024, following the MENR’s announcement of a 7,500MW capacity allocation for unlicensed renewable </w:t>
      </w:r>
      <w:r w:rsidR="00500988" w:rsidRPr="0043215C">
        <w:rPr>
          <w:rFonts w:eastAsia="Calibri" w:cstheme="minorHAnsi"/>
          <w:sz w:val="20"/>
          <w:szCs w:val="20"/>
        </w:rPr>
        <w:t>investments. However</w:t>
      </w:r>
      <w:r w:rsidR="74D03858" w:rsidRPr="0043215C">
        <w:rPr>
          <w:rFonts w:eastAsia="Calibri" w:cstheme="minorHAnsi"/>
          <w:sz w:val="20"/>
          <w:szCs w:val="20"/>
        </w:rPr>
        <w:t>,</w:t>
      </w:r>
      <w:r w:rsidR="64E83FBD" w:rsidRPr="0043215C">
        <w:rPr>
          <w:rFonts w:eastAsia="Calibri" w:cstheme="minorHAnsi"/>
          <w:sz w:val="20"/>
          <w:szCs w:val="20"/>
        </w:rPr>
        <w:t xml:space="preserve"> some </w:t>
      </w:r>
      <w:r w:rsidR="64E83FBD" w:rsidRPr="0043215C">
        <w:rPr>
          <w:rFonts w:cstheme="minorHAnsi"/>
          <w:sz w:val="20"/>
          <w:szCs w:val="20"/>
        </w:rPr>
        <w:t>capacities allocated are not realized by the investors</w:t>
      </w:r>
      <w:r w:rsidR="6BB2042F" w:rsidRPr="0043215C">
        <w:rPr>
          <w:rFonts w:cstheme="minorHAnsi"/>
          <w:sz w:val="20"/>
          <w:szCs w:val="20"/>
        </w:rPr>
        <w:t xml:space="preserve">. </w:t>
      </w:r>
    </w:p>
    <w:p w14:paraId="22D8D450" w14:textId="77777777" w:rsidR="00A80F6C" w:rsidRPr="0043215C" w:rsidRDefault="00A80F6C" w:rsidP="00BA5A4F">
      <w:pPr>
        <w:pStyle w:val="Default"/>
        <w:jc w:val="both"/>
        <w:rPr>
          <w:rFonts w:asciiTheme="minorHAnsi" w:hAnsiTheme="minorHAnsi" w:cstheme="minorHAnsi"/>
          <w:color w:val="000000" w:themeColor="text1"/>
          <w:sz w:val="20"/>
          <w:szCs w:val="20"/>
          <w:lang w:val="en-US"/>
        </w:rPr>
      </w:pPr>
    </w:p>
    <w:p w14:paraId="3106E6A4" w14:textId="7711BDBA" w:rsidR="00194DF0" w:rsidRPr="0043215C" w:rsidRDefault="00A80F6C" w:rsidP="00BA5A4F">
      <w:pPr>
        <w:spacing w:after="0" w:line="240" w:lineRule="auto"/>
        <w:ind w:left="-20" w:right="-20"/>
        <w:rPr>
          <w:rFonts w:eastAsia="Calibri" w:cstheme="minorHAnsi"/>
          <w:sz w:val="20"/>
          <w:szCs w:val="20"/>
        </w:rPr>
      </w:pPr>
      <w:r w:rsidRPr="0043215C">
        <w:rPr>
          <w:rFonts w:eastAsia="Calibri" w:cstheme="minorHAnsi"/>
          <w:b/>
          <w:sz w:val="20"/>
          <w:szCs w:val="20"/>
        </w:rPr>
        <w:t xml:space="preserve">Despite impressive growth in the RE market in recent years, Türkiye still uses only nearly 3 percent of its solar and 15 percent of its onshore wind potential. </w:t>
      </w:r>
      <w:r w:rsidRPr="0043215C">
        <w:rPr>
          <w:rFonts w:eastAsia="Calibri" w:cstheme="minorHAnsi"/>
          <w:sz w:val="20"/>
          <w:szCs w:val="20"/>
        </w:rPr>
        <w:t xml:space="preserve">The </w:t>
      </w:r>
      <w:r w:rsidR="00B04034" w:rsidRPr="0043215C">
        <w:rPr>
          <w:rFonts w:eastAsia="Calibri" w:cstheme="minorHAnsi"/>
          <w:sz w:val="20"/>
          <w:szCs w:val="20"/>
        </w:rPr>
        <w:t>Government</w:t>
      </w:r>
      <w:r w:rsidRPr="0043215C">
        <w:rPr>
          <w:rFonts w:eastAsia="Calibri" w:cstheme="minorHAnsi"/>
          <w:sz w:val="20"/>
          <w:szCs w:val="20"/>
        </w:rPr>
        <w:t xml:space="preserve"> has made important progress in defining its strategy to achieve carbon neutrality, but this needs to be translated into more granular and concrete sector-level actions. As mentioned, the recently released NEP is a key milestone in setting energy sectoral targets by 2035, allowing the country to meet the carbon neutrality objectives by 2053. However, additional granularity is needed to inform implementation going forward. In this context, the </w:t>
      </w:r>
      <w:r w:rsidR="00B04034" w:rsidRPr="0043215C">
        <w:rPr>
          <w:rFonts w:eastAsia="Calibri" w:cstheme="minorHAnsi"/>
          <w:sz w:val="20"/>
          <w:szCs w:val="20"/>
        </w:rPr>
        <w:t>Government</w:t>
      </w:r>
      <w:r w:rsidRPr="0043215C">
        <w:rPr>
          <w:rFonts w:eastAsia="Calibri" w:cstheme="minorHAnsi"/>
          <w:sz w:val="20"/>
          <w:szCs w:val="20"/>
        </w:rPr>
        <w:t xml:space="preserve"> and in particular the MENR, is working toward the release of the next Strategic Energy Plan, to cover the period 2024–2028, that will provide further details on sectoral targets and refine implementation modalities.</w:t>
      </w:r>
    </w:p>
    <w:p w14:paraId="29E41DC2" w14:textId="77777777" w:rsidR="00F11DB5" w:rsidRPr="0043215C" w:rsidRDefault="00F11DB5" w:rsidP="008F6EBE">
      <w:pPr>
        <w:spacing w:after="0" w:line="240" w:lineRule="auto"/>
        <w:rPr>
          <w:rFonts w:cstheme="minorHAnsi"/>
          <w:b/>
          <w:sz w:val="20"/>
          <w:szCs w:val="20"/>
        </w:rPr>
      </w:pPr>
    </w:p>
    <w:p w14:paraId="73A38D27" w14:textId="39BCA414" w:rsidR="00F11DB5" w:rsidRPr="009E3F7E" w:rsidRDefault="00A80F6C" w:rsidP="009E3F7E">
      <w:pPr>
        <w:pStyle w:val="Heading2"/>
        <w:rPr>
          <w:rFonts w:cstheme="minorHAnsi"/>
          <w:sz w:val="20"/>
          <w:szCs w:val="20"/>
        </w:rPr>
      </w:pPr>
      <w:bookmarkStart w:id="69" w:name="_Toc162964128"/>
      <w:bookmarkStart w:id="70" w:name="_Toc170319827"/>
      <w:r w:rsidRPr="059B78C6">
        <w:rPr>
          <w:sz w:val="20"/>
          <w:szCs w:val="20"/>
        </w:rPr>
        <w:t>Energy Storage</w:t>
      </w:r>
      <w:bookmarkEnd w:id="69"/>
      <w:bookmarkEnd w:id="70"/>
      <w:r w:rsidRPr="059B78C6">
        <w:rPr>
          <w:sz w:val="20"/>
          <w:szCs w:val="20"/>
        </w:rPr>
        <w:t xml:space="preserve"> </w:t>
      </w:r>
    </w:p>
    <w:p w14:paraId="5C9247CE" w14:textId="0C64A83A" w:rsidR="059B78C6" w:rsidRDefault="059B78C6" w:rsidP="059B78C6"/>
    <w:p w14:paraId="2EE57649" w14:textId="23038DB7" w:rsidR="00A80F6C" w:rsidRPr="0043215C" w:rsidRDefault="00A80F6C" w:rsidP="00BA5A4F">
      <w:pPr>
        <w:shd w:val="clear" w:color="auto" w:fill="FDFDFD"/>
        <w:spacing w:after="0" w:line="240" w:lineRule="auto"/>
        <w:rPr>
          <w:rFonts w:eastAsia="Times New Roman" w:cstheme="minorHAnsi"/>
          <w:sz w:val="20"/>
          <w:szCs w:val="20"/>
          <w:lang w:eastAsia="tr-TR"/>
        </w:rPr>
      </w:pPr>
      <w:r w:rsidRPr="0043215C">
        <w:rPr>
          <w:rFonts w:cstheme="minorHAnsi"/>
          <w:b/>
          <w:sz w:val="20"/>
          <w:szCs w:val="20"/>
        </w:rPr>
        <w:t xml:space="preserve">Given the ambitious RE scale up plans of the </w:t>
      </w:r>
      <w:r w:rsidR="00B04034" w:rsidRPr="0043215C">
        <w:rPr>
          <w:rFonts w:cstheme="minorHAnsi"/>
          <w:b/>
          <w:sz w:val="20"/>
          <w:szCs w:val="20"/>
        </w:rPr>
        <w:t>Government</w:t>
      </w:r>
      <w:r w:rsidRPr="0043215C">
        <w:rPr>
          <w:rFonts w:cstheme="minorHAnsi"/>
          <w:b/>
          <w:sz w:val="20"/>
          <w:szCs w:val="20"/>
        </w:rPr>
        <w:t>, new legislation ha</w:t>
      </w:r>
      <w:r w:rsidR="00194DF0" w:rsidRPr="0043215C">
        <w:rPr>
          <w:rFonts w:cstheme="minorHAnsi"/>
          <w:b/>
          <w:sz w:val="20"/>
          <w:szCs w:val="20"/>
        </w:rPr>
        <w:t>s</w:t>
      </w:r>
      <w:r w:rsidRPr="0043215C">
        <w:rPr>
          <w:rFonts w:cstheme="minorHAnsi"/>
          <w:b/>
          <w:sz w:val="20"/>
          <w:szCs w:val="20"/>
        </w:rPr>
        <w:t xml:space="preserve"> been passed for the energy storage systems that will play a crucial role in system balancing peak shaving and grid stabilization. </w:t>
      </w:r>
      <w:r w:rsidRPr="0043215C">
        <w:rPr>
          <w:rFonts w:cstheme="minorHAnsi"/>
          <w:sz w:val="20"/>
          <w:szCs w:val="20"/>
        </w:rPr>
        <w:t>The Regulation on Storage Activities</w:t>
      </w:r>
      <w:r w:rsidRPr="0043215C">
        <w:rPr>
          <w:rStyle w:val="FootnoteReference"/>
          <w:rFonts w:cstheme="minorHAnsi"/>
          <w:sz w:val="20"/>
          <w:szCs w:val="20"/>
        </w:rPr>
        <w:footnoteReference w:id="23"/>
      </w:r>
      <w:r w:rsidRPr="0043215C">
        <w:rPr>
          <w:rFonts w:cstheme="minorHAnsi"/>
          <w:sz w:val="20"/>
          <w:szCs w:val="20"/>
        </w:rPr>
        <w:t xml:space="preserve"> enables Generation Licensees, Supply Licensees, </w:t>
      </w:r>
      <w:r w:rsidR="002B50C9" w:rsidRPr="0043215C">
        <w:rPr>
          <w:rFonts w:cstheme="minorHAnsi"/>
          <w:sz w:val="20"/>
          <w:szCs w:val="20"/>
        </w:rPr>
        <w:t>TEİAŞ</w:t>
      </w:r>
      <w:r w:rsidRPr="0043215C">
        <w:rPr>
          <w:rFonts w:cstheme="minorHAnsi"/>
          <w:sz w:val="20"/>
          <w:szCs w:val="20"/>
        </w:rPr>
        <w:t xml:space="preserve">, Distribution Licensees and Consumers to establish storage facilities. According to the Regulation, Grid operator companies have some restrictions. Distribution companies can only install battery storage facilities if </w:t>
      </w:r>
      <w:r w:rsidRPr="0043215C">
        <w:rPr>
          <w:rFonts w:eastAsia="Times New Roman" w:cstheme="minorHAnsi"/>
          <w:sz w:val="20"/>
          <w:szCs w:val="20"/>
          <w:lang w:eastAsia="tr-TR"/>
        </w:rPr>
        <w:t xml:space="preserve">it is more economical than new network investment within the scope of investment plans. Provided that it is included in the investment plans, </w:t>
      </w:r>
      <w:r w:rsidR="002B50C9" w:rsidRPr="0043215C">
        <w:rPr>
          <w:rFonts w:eastAsia="Times New Roman" w:cstheme="minorHAnsi"/>
          <w:sz w:val="20"/>
          <w:szCs w:val="20"/>
          <w:lang w:eastAsia="tr-TR"/>
        </w:rPr>
        <w:t>TEİAŞ</w:t>
      </w:r>
      <w:r w:rsidRPr="0043215C">
        <w:rPr>
          <w:rFonts w:eastAsia="Times New Roman" w:cstheme="minorHAnsi"/>
          <w:sz w:val="20"/>
          <w:szCs w:val="20"/>
          <w:lang w:eastAsia="tr-TR"/>
        </w:rPr>
        <w:t xml:space="preserve"> may establish storage facilities within the scope of pilot applications and without being subject to commercial activities.</w:t>
      </w:r>
    </w:p>
    <w:p w14:paraId="7C9DFE77" w14:textId="77777777" w:rsidR="00F11DB5" w:rsidRPr="0043215C" w:rsidRDefault="00F11DB5" w:rsidP="008F6EBE">
      <w:pPr>
        <w:spacing w:after="0" w:line="240" w:lineRule="auto"/>
        <w:ind w:left="-20" w:right="-20"/>
        <w:rPr>
          <w:rFonts w:eastAsia="Calibri" w:cstheme="minorHAnsi"/>
          <w:b/>
          <w:sz w:val="20"/>
          <w:szCs w:val="20"/>
        </w:rPr>
      </w:pPr>
    </w:p>
    <w:p w14:paraId="33F7A058" w14:textId="4D2C7104" w:rsidR="00A80F6C" w:rsidRPr="0043215C" w:rsidRDefault="00A80F6C" w:rsidP="00BA5A4F">
      <w:pPr>
        <w:spacing w:after="0" w:line="240" w:lineRule="auto"/>
        <w:ind w:left="-20" w:right="-20"/>
        <w:rPr>
          <w:rFonts w:eastAsia="Calibri"/>
          <w:sz w:val="20"/>
          <w:szCs w:val="20"/>
        </w:rPr>
      </w:pPr>
      <w:r w:rsidRPr="15929288">
        <w:rPr>
          <w:rFonts w:eastAsia="Calibri"/>
          <w:b/>
          <w:sz w:val="20"/>
          <w:szCs w:val="20"/>
        </w:rPr>
        <w:t>Battery energy storage systems (</w:t>
      </w:r>
      <w:r w:rsidRPr="15929288">
        <w:rPr>
          <w:rFonts w:eastAsia="Arial"/>
          <w:b/>
          <w:sz w:val="20"/>
          <w:szCs w:val="20"/>
        </w:rPr>
        <w:t xml:space="preserve">BESS) </w:t>
      </w:r>
      <w:r w:rsidR="421B6927" w:rsidRPr="15929288">
        <w:rPr>
          <w:rFonts w:eastAsia="Arial"/>
          <w:b/>
          <w:sz w:val="20"/>
          <w:szCs w:val="20"/>
        </w:rPr>
        <w:t>are</w:t>
      </w:r>
      <w:r w:rsidRPr="15929288">
        <w:rPr>
          <w:rFonts w:eastAsia="Arial"/>
          <w:b/>
          <w:sz w:val="20"/>
          <w:szCs w:val="20"/>
        </w:rPr>
        <w:t xml:space="preserve"> one of the energy storage options to improve RE availability and reliability.</w:t>
      </w:r>
      <w:r w:rsidRPr="15929288">
        <w:rPr>
          <w:rFonts w:eastAsia="Calibri"/>
          <w:b/>
          <w:sz w:val="20"/>
          <w:szCs w:val="20"/>
        </w:rPr>
        <w:t xml:space="preserve"> </w:t>
      </w:r>
      <w:r w:rsidRPr="15929288">
        <w:rPr>
          <w:rFonts w:eastAsia="Calibri"/>
          <w:sz w:val="20"/>
          <w:szCs w:val="20"/>
        </w:rPr>
        <w:t xml:space="preserve">Further regulatory changes are also required to develop innovative private-driven solutions for BESS. Following policy and legislative capacity-building support, EMRA published in May 2021 the Regulation on Storage Activities in the Electricity Market (and subsequent amended), which regulates the installation, connection, and general market activities for storage facilities and updated other regulations to incorporate storage. With </w:t>
      </w:r>
      <w:r w:rsidR="00194DF0" w:rsidRPr="15929288">
        <w:rPr>
          <w:rFonts w:eastAsia="Calibri"/>
          <w:sz w:val="20"/>
          <w:szCs w:val="20"/>
        </w:rPr>
        <w:t>an amendment</w:t>
      </w:r>
      <w:r w:rsidRPr="15929288">
        <w:rPr>
          <w:rFonts w:eastAsia="Calibri"/>
          <w:sz w:val="20"/>
          <w:szCs w:val="20"/>
        </w:rPr>
        <w:t xml:space="preserve"> to EML in 2022, which enables legal entities establishing a battery storage facility have the right of establishing WPP or SPP up to the installed capacity of the BESS. This article has </w:t>
      </w:r>
      <w:r w:rsidR="507FCCEB" w:rsidRPr="15929288">
        <w:rPr>
          <w:rFonts w:eastAsia="Calibri"/>
          <w:sz w:val="20"/>
          <w:szCs w:val="20"/>
        </w:rPr>
        <w:t>boosted</w:t>
      </w:r>
      <w:r w:rsidRPr="15929288">
        <w:rPr>
          <w:rFonts w:eastAsia="Calibri"/>
          <w:sz w:val="20"/>
          <w:szCs w:val="20"/>
        </w:rPr>
        <w:t xml:space="preserve"> the battery storage license applications and EMRA suspended receiving battery storage applications. </w:t>
      </w:r>
    </w:p>
    <w:p w14:paraId="4FD337F4" w14:textId="77777777" w:rsidR="00F11DB5" w:rsidRPr="0043215C" w:rsidRDefault="00F11DB5" w:rsidP="008F6EBE">
      <w:pPr>
        <w:spacing w:after="0" w:line="240" w:lineRule="auto"/>
        <w:ind w:left="-20" w:right="-20"/>
        <w:rPr>
          <w:rFonts w:eastAsia="Calibri" w:cstheme="minorHAnsi"/>
          <w:sz w:val="20"/>
          <w:szCs w:val="20"/>
        </w:rPr>
      </w:pPr>
    </w:p>
    <w:p w14:paraId="3DCF10EF" w14:textId="075BF9E9" w:rsidR="00A80F6C" w:rsidRPr="0043215C" w:rsidRDefault="00A80F6C" w:rsidP="00BA5A4F">
      <w:pPr>
        <w:spacing w:after="0" w:line="240" w:lineRule="auto"/>
        <w:ind w:left="-20" w:right="-20"/>
        <w:rPr>
          <w:rFonts w:eastAsia="Calibri" w:cstheme="minorHAnsi"/>
          <w:sz w:val="20"/>
          <w:szCs w:val="20"/>
        </w:rPr>
      </w:pPr>
      <w:r w:rsidRPr="0043215C">
        <w:rPr>
          <w:rFonts w:eastAsia="Calibri" w:cstheme="minorHAnsi"/>
          <w:sz w:val="20"/>
          <w:szCs w:val="20"/>
        </w:rPr>
        <w:t xml:space="preserve">In addition, the </w:t>
      </w:r>
      <w:r w:rsidR="009B4DA7" w:rsidRPr="0043215C">
        <w:rPr>
          <w:rFonts w:eastAsia="Calibri" w:cstheme="minorHAnsi"/>
          <w:sz w:val="20"/>
          <w:szCs w:val="20"/>
        </w:rPr>
        <w:t>s</w:t>
      </w:r>
      <w:r w:rsidRPr="0043215C">
        <w:rPr>
          <w:rFonts w:eastAsia="Calibri" w:cstheme="minorHAnsi"/>
          <w:sz w:val="20"/>
          <w:szCs w:val="20"/>
        </w:rPr>
        <w:t xml:space="preserve">torage capacity should </w:t>
      </w:r>
      <w:r w:rsidR="511258A9" w:rsidRPr="0043215C">
        <w:rPr>
          <w:rFonts w:eastAsia="Calibri" w:cstheme="minorHAnsi"/>
          <w:sz w:val="20"/>
          <w:szCs w:val="20"/>
        </w:rPr>
        <w:t>grow in proportion</w:t>
      </w:r>
      <w:r w:rsidRPr="0043215C">
        <w:rPr>
          <w:rFonts w:eastAsia="Calibri" w:cstheme="minorHAnsi"/>
          <w:sz w:val="20"/>
          <w:szCs w:val="20"/>
        </w:rPr>
        <w:t xml:space="preserve"> to the capacity of RES, which makes it hard to justify the investments economically. Thus, it is unlikely that these applications will result in actual installed capacity </w:t>
      </w:r>
      <w:r w:rsidR="000F6E47" w:rsidRPr="0043215C">
        <w:rPr>
          <w:rFonts w:eastAsia="Calibri" w:cstheme="minorHAnsi"/>
          <w:sz w:val="20"/>
          <w:szCs w:val="20"/>
        </w:rPr>
        <w:t xml:space="preserve">in the short term </w:t>
      </w:r>
      <w:r w:rsidRPr="0043215C">
        <w:rPr>
          <w:rFonts w:eastAsia="Calibri" w:cstheme="minorHAnsi"/>
          <w:sz w:val="20"/>
          <w:szCs w:val="20"/>
        </w:rPr>
        <w:t xml:space="preserve">given that capital costs remain high and access to finance is limited for developers. This is in line with a World Bank analysis carried out in 2020–2022, which confirmed that very few BESS applications are commercially viable in Türkiye </w:t>
      </w:r>
      <w:r w:rsidR="001004DC" w:rsidRPr="0043215C">
        <w:rPr>
          <w:rFonts w:eastAsia="Calibri" w:cstheme="minorHAnsi"/>
          <w:sz w:val="20"/>
          <w:szCs w:val="20"/>
        </w:rPr>
        <w:t>as of that date</w:t>
      </w:r>
      <w:r w:rsidRPr="0043215C">
        <w:rPr>
          <w:rFonts w:eastAsia="Calibri" w:cstheme="minorHAnsi"/>
          <w:sz w:val="20"/>
          <w:szCs w:val="20"/>
        </w:rPr>
        <w:t xml:space="preserve">. </w:t>
      </w:r>
      <w:r w:rsidR="00F92211" w:rsidRPr="0043215C">
        <w:rPr>
          <w:rFonts w:eastAsia="Calibri" w:cstheme="minorHAnsi"/>
          <w:sz w:val="20"/>
          <w:szCs w:val="20"/>
        </w:rPr>
        <w:t>T</w:t>
      </w:r>
      <w:r w:rsidR="00727477" w:rsidRPr="0043215C">
        <w:rPr>
          <w:rFonts w:eastAsia="Calibri" w:cstheme="minorHAnsi"/>
          <w:sz w:val="20"/>
          <w:szCs w:val="20"/>
        </w:rPr>
        <w:t>he deployment of this critical technology requires further investment support to account for the incremental capital cost.</w:t>
      </w:r>
      <w:r w:rsidRPr="0043215C">
        <w:rPr>
          <w:rFonts w:eastAsia="Calibri" w:cstheme="minorHAnsi"/>
          <w:sz w:val="20"/>
          <w:szCs w:val="20"/>
        </w:rPr>
        <w:t xml:space="preserve"> Future enactment of targeted policy and regulations, including incentive systems, for storage would positively affect market confidence and allow early adopters to move ahead with investments in BESS. </w:t>
      </w:r>
      <w:proofErr w:type="gramStart"/>
      <w:r w:rsidRPr="0043215C">
        <w:rPr>
          <w:rFonts w:eastAsia="Calibri" w:cstheme="minorHAnsi"/>
          <w:sz w:val="20"/>
          <w:szCs w:val="20"/>
        </w:rPr>
        <w:t>In particular, distributed</w:t>
      </w:r>
      <w:proofErr w:type="gramEnd"/>
      <w:r w:rsidRPr="0043215C">
        <w:rPr>
          <w:rFonts w:eastAsia="Calibri" w:cstheme="minorHAnsi"/>
          <w:sz w:val="20"/>
          <w:szCs w:val="20"/>
        </w:rPr>
        <w:t xml:space="preserve"> BESS at </w:t>
      </w:r>
      <w:r w:rsidR="00BD3DEB" w:rsidRPr="0043215C">
        <w:rPr>
          <w:rFonts w:eastAsia="Calibri" w:cstheme="minorHAnsi"/>
          <w:sz w:val="20"/>
          <w:szCs w:val="20"/>
        </w:rPr>
        <w:t>commerce and industry (</w:t>
      </w:r>
      <w:r w:rsidRPr="0043215C">
        <w:rPr>
          <w:rFonts w:eastAsia="Calibri" w:cstheme="minorHAnsi"/>
          <w:sz w:val="20"/>
          <w:szCs w:val="20"/>
        </w:rPr>
        <w:t>C&amp;I</w:t>
      </w:r>
      <w:r w:rsidR="00BD3DEB" w:rsidRPr="0043215C">
        <w:rPr>
          <w:rFonts w:eastAsia="Calibri" w:cstheme="minorHAnsi"/>
          <w:sz w:val="20"/>
          <w:szCs w:val="20"/>
        </w:rPr>
        <w:t>)</w:t>
      </w:r>
      <w:r w:rsidRPr="0043215C">
        <w:rPr>
          <w:rFonts w:eastAsia="Calibri" w:cstheme="minorHAnsi"/>
          <w:sz w:val="20"/>
          <w:szCs w:val="20"/>
        </w:rPr>
        <w:t>, and later residential, customers could in the medium-term help provide decentralized storage and ancillary services.</w:t>
      </w:r>
    </w:p>
    <w:p w14:paraId="7D2D3399" w14:textId="77777777" w:rsidR="00F11DB5" w:rsidRPr="0043215C" w:rsidRDefault="00F11DB5" w:rsidP="008F6EBE">
      <w:pPr>
        <w:shd w:val="clear" w:color="auto" w:fill="FDFDFD"/>
        <w:spacing w:after="0" w:line="240" w:lineRule="auto"/>
        <w:rPr>
          <w:rFonts w:eastAsia="Times New Roman" w:cstheme="minorHAnsi"/>
          <w:sz w:val="20"/>
          <w:szCs w:val="20"/>
          <w:lang w:eastAsia="tr-TR"/>
        </w:rPr>
      </w:pPr>
    </w:p>
    <w:p w14:paraId="4BC966CF" w14:textId="0773B681" w:rsidR="00A80F6C" w:rsidRPr="0043215C" w:rsidRDefault="00A80F6C" w:rsidP="00BA5A4F">
      <w:pPr>
        <w:shd w:val="clear" w:color="auto" w:fill="FDFDFD"/>
        <w:spacing w:after="0" w:line="240" w:lineRule="auto"/>
        <w:rPr>
          <w:rFonts w:eastAsia="Times New Roman" w:cstheme="minorHAnsi"/>
          <w:sz w:val="20"/>
          <w:szCs w:val="20"/>
          <w:lang w:val="en" w:eastAsia="tr-TR"/>
        </w:rPr>
      </w:pPr>
      <w:r w:rsidRPr="0043215C">
        <w:rPr>
          <w:rFonts w:eastAsia="Times New Roman" w:cstheme="minorHAnsi"/>
          <w:sz w:val="20"/>
          <w:szCs w:val="20"/>
          <w:lang w:eastAsia="tr-TR"/>
        </w:rPr>
        <w:lastRenderedPageBreak/>
        <w:t xml:space="preserve">With an amendment to </w:t>
      </w:r>
      <w:r w:rsidR="006C2B03" w:rsidRPr="0043215C">
        <w:rPr>
          <w:rFonts w:eastAsia="Times New Roman" w:cstheme="minorHAnsi"/>
          <w:sz w:val="20"/>
          <w:szCs w:val="20"/>
          <w:lang w:eastAsia="tr-TR"/>
        </w:rPr>
        <w:t>E</w:t>
      </w:r>
      <w:r w:rsidR="54DC3F85" w:rsidRPr="0043215C">
        <w:rPr>
          <w:rFonts w:eastAsia="Times New Roman" w:cstheme="minorHAnsi"/>
          <w:sz w:val="20"/>
          <w:szCs w:val="20"/>
          <w:lang w:eastAsia="tr-TR"/>
        </w:rPr>
        <w:t>lectricity Market Law</w:t>
      </w:r>
      <w:r w:rsidR="006C2B03" w:rsidRPr="0043215C">
        <w:rPr>
          <w:rFonts w:eastAsia="Times New Roman" w:cstheme="minorHAnsi"/>
          <w:sz w:val="20"/>
          <w:szCs w:val="20"/>
          <w:lang w:eastAsia="tr-TR"/>
        </w:rPr>
        <w:t xml:space="preserve"> (</w:t>
      </w:r>
      <w:r w:rsidRPr="0043215C">
        <w:rPr>
          <w:rFonts w:eastAsia="Times New Roman" w:cstheme="minorHAnsi"/>
          <w:sz w:val="20"/>
          <w:szCs w:val="20"/>
          <w:lang w:eastAsia="tr-TR"/>
        </w:rPr>
        <w:t>EML</w:t>
      </w:r>
      <w:r w:rsidR="006C2B03" w:rsidRPr="0043215C">
        <w:rPr>
          <w:rFonts w:eastAsia="Times New Roman" w:cstheme="minorHAnsi"/>
          <w:sz w:val="20"/>
          <w:szCs w:val="20"/>
          <w:lang w:eastAsia="tr-TR"/>
        </w:rPr>
        <w:t>)</w:t>
      </w:r>
      <w:r w:rsidRPr="0043215C">
        <w:rPr>
          <w:rStyle w:val="FootnoteReference"/>
          <w:rFonts w:eastAsia="Times New Roman" w:cstheme="minorHAnsi"/>
          <w:sz w:val="20"/>
          <w:szCs w:val="20"/>
          <w:lang w:eastAsia="tr-TR"/>
        </w:rPr>
        <w:footnoteReference w:id="24"/>
      </w:r>
      <w:r w:rsidRPr="0043215C">
        <w:rPr>
          <w:rFonts w:eastAsia="Times New Roman" w:cstheme="minorHAnsi"/>
          <w:sz w:val="20"/>
          <w:szCs w:val="20"/>
          <w:lang w:eastAsia="tr-TR"/>
        </w:rPr>
        <w:t xml:space="preserve">, </w:t>
      </w:r>
      <w:r w:rsidRPr="0043215C">
        <w:rPr>
          <w:rFonts w:eastAsia="Times New Roman" w:cstheme="minorHAnsi"/>
          <w:sz w:val="20"/>
          <w:szCs w:val="20"/>
          <w:lang w:val="en" w:eastAsia="tr-TR"/>
        </w:rPr>
        <w:t>legal entities that undertake to establish a battery storage facility gain the advantage of receiving a provisional license by EMRA for the establishment of an electricity generation facility based on wind and/or solar energy up to the installed capacity of the electricity storage facility they have committed to establish. This article has boomed the battery storage provisional license applications exceeding 120 GW</w:t>
      </w:r>
      <w:r w:rsidRPr="0043215C">
        <w:rPr>
          <w:rStyle w:val="FootnoteReference"/>
          <w:rFonts w:eastAsia="Times New Roman" w:cstheme="minorHAnsi"/>
          <w:sz w:val="20"/>
          <w:szCs w:val="20"/>
          <w:lang w:val="en" w:eastAsia="tr-TR"/>
        </w:rPr>
        <w:footnoteReference w:id="25"/>
      </w:r>
      <w:r w:rsidRPr="0043215C">
        <w:rPr>
          <w:rFonts w:eastAsia="Times New Roman" w:cstheme="minorHAnsi"/>
          <w:sz w:val="20"/>
          <w:szCs w:val="20"/>
          <w:lang w:val="en" w:eastAsia="tr-TR"/>
        </w:rPr>
        <w:t xml:space="preserve"> in capacity and EMRA suspended receiving battery storage applications</w:t>
      </w:r>
      <w:r w:rsidRPr="0043215C">
        <w:rPr>
          <w:rStyle w:val="FootnoteReference"/>
          <w:rFonts w:eastAsia="Times New Roman" w:cstheme="minorHAnsi"/>
          <w:sz w:val="20"/>
          <w:szCs w:val="20"/>
          <w:lang w:val="en" w:eastAsia="tr-TR"/>
        </w:rPr>
        <w:footnoteReference w:id="26"/>
      </w:r>
      <w:r w:rsidRPr="0043215C">
        <w:rPr>
          <w:rFonts w:eastAsia="Times New Roman" w:cstheme="minorHAnsi"/>
          <w:sz w:val="20"/>
          <w:szCs w:val="20"/>
          <w:lang w:val="en" w:eastAsia="tr-TR"/>
        </w:rPr>
        <w:t xml:space="preserve">. </w:t>
      </w:r>
    </w:p>
    <w:p w14:paraId="23E3AFFB" w14:textId="77777777" w:rsidR="00F11DB5" w:rsidRPr="0043215C" w:rsidRDefault="00F11DB5" w:rsidP="008F6EBE">
      <w:pPr>
        <w:pStyle w:val="Default"/>
        <w:rPr>
          <w:rFonts w:asciiTheme="minorHAnsi" w:hAnsiTheme="minorHAnsi" w:cstheme="minorHAnsi"/>
          <w:b/>
          <w:sz w:val="20"/>
          <w:szCs w:val="20"/>
          <w:lang w:val="en-US"/>
        </w:rPr>
      </w:pPr>
    </w:p>
    <w:p w14:paraId="49033ABF" w14:textId="18CDFA50" w:rsidR="00CE5B67" w:rsidRPr="0043215C" w:rsidRDefault="00115A79" w:rsidP="00A04459">
      <w:pPr>
        <w:pStyle w:val="Default"/>
        <w:jc w:val="both"/>
        <w:rPr>
          <w:rFonts w:asciiTheme="minorHAnsi" w:eastAsia="Times New Roman" w:hAnsiTheme="minorHAnsi" w:cstheme="minorBidi"/>
          <w:color w:val="auto"/>
          <w:sz w:val="20"/>
          <w:szCs w:val="20"/>
          <w:lang w:val="en-US" w:eastAsia="tr-TR"/>
        </w:rPr>
      </w:pPr>
      <w:r w:rsidRPr="0797A686">
        <w:rPr>
          <w:rFonts w:asciiTheme="minorHAnsi" w:eastAsia="Times New Roman" w:hAnsiTheme="minorHAnsi" w:cstheme="minorBidi"/>
          <w:b/>
          <w:color w:val="auto"/>
          <w:sz w:val="20"/>
          <w:szCs w:val="20"/>
          <w:lang w:val="en-US" w:eastAsia="tr-TR"/>
        </w:rPr>
        <w:t xml:space="preserve">The recent </w:t>
      </w:r>
      <w:r w:rsidR="005C15CD" w:rsidRPr="0797A686">
        <w:rPr>
          <w:rFonts w:asciiTheme="minorHAnsi" w:eastAsia="Times New Roman" w:hAnsiTheme="minorHAnsi" w:cstheme="minorBidi"/>
          <w:b/>
          <w:color w:val="auto"/>
          <w:sz w:val="20"/>
          <w:szCs w:val="20"/>
          <w:lang w:val="en-US" w:eastAsia="tr-TR"/>
        </w:rPr>
        <w:t>introduction of storage license applications and the NEP targets</w:t>
      </w:r>
      <w:r w:rsidR="00A47A1A" w:rsidRPr="0797A686">
        <w:rPr>
          <w:rFonts w:asciiTheme="minorHAnsi" w:eastAsia="Times New Roman" w:hAnsiTheme="minorHAnsi" w:cstheme="minorBidi"/>
          <w:b/>
          <w:color w:val="auto"/>
          <w:sz w:val="20"/>
          <w:szCs w:val="20"/>
          <w:lang w:val="en-US" w:eastAsia="tr-TR"/>
        </w:rPr>
        <w:t xml:space="preserve"> has set</w:t>
      </w:r>
      <w:r w:rsidR="005C15CD" w:rsidRPr="0797A686">
        <w:rPr>
          <w:rFonts w:asciiTheme="minorHAnsi" w:eastAsia="Times New Roman" w:hAnsiTheme="minorHAnsi" w:cstheme="minorBidi"/>
          <w:b/>
          <w:color w:val="auto"/>
          <w:sz w:val="20"/>
          <w:szCs w:val="20"/>
          <w:lang w:val="en-US" w:eastAsia="tr-TR"/>
        </w:rPr>
        <w:t xml:space="preserve"> t</w:t>
      </w:r>
      <w:r w:rsidR="00CE5B67" w:rsidRPr="0797A686">
        <w:rPr>
          <w:rFonts w:asciiTheme="minorHAnsi" w:eastAsia="Times New Roman" w:hAnsiTheme="minorHAnsi" w:cstheme="minorBidi"/>
          <w:b/>
          <w:color w:val="auto"/>
          <w:sz w:val="20"/>
          <w:szCs w:val="20"/>
          <w:lang w:val="en-US" w:eastAsia="tr-TR"/>
        </w:rPr>
        <w:t xml:space="preserve">he Turkish battery storage market </w:t>
      </w:r>
      <w:r w:rsidR="00964CE0" w:rsidRPr="0797A686">
        <w:rPr>
          <w:rFonts w:asciiTheme="minorHAnsi" w:eastAsia="Times New Roman" w:hAnsiTheme="minorHAnsi" w:cstheme="minorBidi"/>
          <w:b/>
          <w:color w:val="auto"/>
          <w:sz w:val="20"/>
          <w:szCs w:val="20"/>
          <w:lang w:val="en-US" w:eastAsia="tr-TR"/>
        </w:rPr>
        <w:t xml:space="preserve">on a path </w:t>
      </w:r>
      <w:r w:rsidR="00CE5B67" w:rsidRPr="0797A686">
        <w:rPr>
          <w:rFonts w:asciiTheme="minorHAnsi" w:eastAsia="Times New Roman" w:hAnsiTheme="minorHAnsi" w:cstheme="minorBidi"/>
          <w:b/>
          <w:color w:val="auto"/>
          <w:sz w:val="20"/>
          <w:szCs w:val="20"/>
          <w:lang w:val="en-US" w:eastAsia="tr-TR"/>
        </w:rPr>
        <w:t>for substantial growth</w:t>
      </w:r>
      <w:r w:rsidR="005C15CD" w:rsidRPr="0797A686">
        <w:rPr>
          <w:rFonts w:asciiTheme="minorHAnsi" w:eastAsia="Times New Roman" w:hAnsiTheme="minorHAnsi" w:cstheme="minorBidi"/>
          <w:b/>
          <w:color w:val="auto"/>
          <w:sz w:val="20"/>
          <w:szCs w:val="20"/>
          <w:lang w:val="en-US" w:eastAsia="tr-TR"/>
        </w:rPr>
        <w:t xml:space="preserve"> </w:t>
      </w:r>
      <w:r w:rsidR="006240C4" w:rsidRPr="0797A686">
        <w:rPr>
          <w:rFonts w:asciiTheme="minorHAnsi" w:eastAsia="Times New Roman" w:hAnsiTheme="minorHAnsi" w:cstheme="minorBidi"/>
          <w:b/>
          <w:color w:val="auto"/>
          <w:sz w:val="20"/>
          <w:szCs w:val="20"/>
          <w:lang w:val="en-US" w:eastAsia="tr-TR"/>
        </w:rPr>
        <w:t>with</w:t>
      </w:r>
      <w:r w:rsidR="005C15CD" w:rsidRPr="0797A686">
        <w:rPr>
          <w:rFonts w:asciiTheme="minorHAnsi" w:eastAsia="Times New Roman" w:hAnsiTheme="minorHAnsi" w:cstheme="minorBidi"/>
          <w:b/>
          <w:color w:val="auto"/>
          <w:sz w:val="20"/>
          <w:szCs w:val="20"/>
          <w:lang w:val="en-US" w:eastAsia="tr-TR"/>
        </w:rPr>
        <w:t xml:space="preserve"> m</w:t>
      </w:r>
      <w:r w:rsidR="00CE5B67" w:rsidRPr="0797A686">
        <w:rPr>
          <w:rFonts w:asciiTheme="minorHAnsi" w:eastAsia="Times New Roman" w:hAnsiTheme="minorHAnsi" w:cstheme="minorBidi"/>
          <w:b/>
          <w:color w:val="auto"/>
          <w:sz w:val="20"/>
          <w:szCs w:val="20"/>
          <w:lang w:val="en-US" w:eastAsia="tr-TR"/>
        </w:rPr>
        <w:t>ore than 25 GW of battery storage licenses awarded</w:t>
      </w:r>
      <w:r w:rsidR="005C15CD" w:rsidRPr="0797A686">
        <w:rPr>
          <w:rFonts w:asciiTheme="minorHAnsi" w:eastAsia="Times New Roman" w:hAnsiTheme="minorHAnsi" w:cstheme="minorBidi"/>
          <w:b/>
          <w:color w:val="auto"/>
          <w:sz w:val="20"/>
          <w:szCs w:val="20"/>
          <w:lang w:val="en-US" w:eastAsia="tr-TR"/>
        </w:rPr>
        <w:t xml:space="preserve">, </w:t>
      </w:r>
      <w:r w:rsidR="00CE5B67" w:rsidRPr="0797A686">
        <w:rPr>
          <w:rFonts w:asciiTheme="minorHAnsi" w:eastAsia="Times New Roman" w:hAnsiTheme="minorHAnsi" w:cstheme="minorBidi"/>
          <w:b/>
          <w:color w:val="auto"/>
          <w:sz w:val="20"/>
          <w:szCs w:val="20"/>
          <w:lang w:val="en-US" w:eastAsia="tr-TR"/>
        </w:rPr>
        <w:t xml:space="preserve">translating into more than </w:t>
      </w:r>
      <w:r w:rsidR="00636124" w:rsidRPr="0797A686">
        <w:rPr>
          <w:rFonts w:asciiTheme="minorHAnsi" w:eastAsia="Times New Roman" w:hAnsiTheme="minorHAnsi" w:cstheme="minorBidi"/>
          <w:b/>
          <w:color w:val="auto"/>
          <w:sz w:val="20"/>
          <w:szCs w:val="20"/>
          <w:lang w:val="en-US" w:eastAsia="tr-TR"/>
        </w:rPr>
        <w:t>US$</w:t>
      </w:r>
      <w:r w:rsidR="00CE5B67" w:rsidRPr="0797A686">
        <w:rPr>
          <w:rFonts w:asciiTheme="minorHAnsi" w:eastAsia="Times New Roman" w:hAnsiTheme="minorHAnsi" w:cstheme="minorBidi"/>
          <w:b/>
          <w:color w:val="auto"/>
          <w:sz w:val="20"/>
          <w:szCs w:val="20"/>
          <w:lang w:val="en-US" w:eastAsia="tr-TR"/>
        </w:rPr>
        <w:t xml:space="preserve"> 20 billion </w:t>
      </w:r>
      <w:r w:rsidR="00A9252A" w:rsidRPr="0797A686">
        <w:rPr>
          <w:rFonts w:asciiTheme="minorHAnsi" w:eastAsia="Times New Roman" w:hAnsiTheme="minorHAnsi" w:cstheme="minorBidi"/>
          <w:b/>
          <w:color w:val="auto"/>
          <w:sz w:val="20"/>
          <w:szCs w:val="20"/>
          <w:lang w:val="en-US" w:eastAsia="tr-TR"/>
        </w:rPr>
        <w:t>in medium</w:t>
      </w:r>
      <w:r w:rsidR="00F70A85" w:rsidRPr="0797A686">
        <w:rPr>
          <w:rFonts w:asciiTheme="minorHAnsi" w:eastAsia="Times New Roman" w:hAnsiTheme="minorHAnsi" w:cstheme="minorBidi"/>
          <w:b/>
          <w:color w:val="auto"/>
          <w:sz w:val="20"/>
          <w:szCs w:val="20"/>
          <w:lang w:val="en-US" w:eastAsia="tr-TR"/>
        </w:rPr>
        <w:t>-</w:t>
      </w:r>
      <w:r w:rsidR="00A9252A" w:rsidRPr="0797A686">
        <w:rPr>
          <w:rFonts w:asciiTheme="minorHAnsi" w:eastAsia="Times New Roman" w:hAnsiTheme="minorHAnsi" w:cstheme="minorBidi"/>
          <w:b/>
          <w:color w:val="auto"/>
          <w:sz w:val="20"/>
          <w:szCs w:val="20"/>
          <w:lang w:val="en-US" w:eastAsia="tr-TR"/>
        </w:rPr>
        <w:t>term</w:t>
      </w:r>
      <w:r w:rsidR="00A9252A" w:rsidRPr="0797A686" w:rsidDel="00A9252A">
        <w:rPr>
          <w:rFonts w:asciiTheme="minorHAnsi" w:eastAsia="Times New Roman" w:hAnsiTheme="minorHAnsi" w:cstheme="minorBidi"/>
          <w:b/>
          <w:color w:val="auto"/>
          <w:sz w:val="20"/>
          <w:szCs w:val="20"/>
          <w:lang w:val="en-US" w:eastAsia="tr-TR"/>
        </w:rPr>
        <w:t xml:space="preserve"> </w:t>
      </w:r>
      <w:r w:rsidR="00CE5B67" w:rsidRPr="0797A686">
        <w:rPr>
          <w:rFonts w:asciiTheme="minorHAnsi" w:eastAsia="Times New Roman" w:hAnsiTheme="minorHAnsi" w:cstheme="minorBidi"/>
          <w:b/>
          <w:color w:val="auto"/>
          <w:sz w:val="20"/>
          <w:szCs w:val="20"/>
          <w:lang w:val="en-US" w:eastAsia="tr-TR"/>
        </w:rPr>
        <w:t>investments.</w:t>
      </w:r>
      <w:r w:rsidR="00CE5B67" w:rsidRPr="0797A686">
        <w:rPr>
          <w:rFonts w:asciiTheme="minorHAnsi" w:eastAsia="Times New Roman" w:hAnsiTheme="minorHAnsi" w:cstheme="minorBidi"/>
          <w:color w:val="auto"/>
          <w:sz w:val="20"/>
          <w:szCs w:val="20"/>
          <w:lang w:val="en-US" w:eastAsia="tr-TR"/>
        </w:rPr>
        <w:t xml:space="preserve"> </w:t>
      </w:r>
      <w:r w:rsidR="00F70A85" w:rsidRPr="0797A686">
        <w:rPr>
          <w:rFonts w:asciiTheme="minorHAnsi" w:eastAsia="Times New Roman" w:hAnsiTheme="minorHAnsi" w:cstheme="minorBidi"/>
          <w:color w:val="auto"/>
          <w:sz w:val="20"/>
          <w:szCs w:val="20"/>
          <w:lang w:val="en-US" w:eastAsia="tr-TR"/>
        </w:rPr>
        <w:t xml:space="preserve">This </w:t>
      </w:r>
      <w:r w:rsidR="00CE5B67" w:rsidRPr="0797A686">
        <w:rPr>
          <w:rFonts w:asciiTheme="minorHAnsi" w:eastAsia="Times New Roman" w:hAnsiTheme="minorHAnsi" w:cstheme="minorBidi"/>
          <w:color w:val="auto"/>
          <w:sz w:val="20"/>
          <w:szCs w:val="20"/>
          <w:lang w:val="en-US" w:eastAsia="tr-TR"/>
        </w:rPr>
        <w:t>regulatory progress</w:t>
      </w:r>
      <w:r w:rsidR="00185DBF" w:rsidRPr="0797A686">
        <w:rPr>
          <w:rFonts w:asciiTheme="minorHAnsi" w:eastAsia="Times New Roman" w:hAnsiTheme="minorHAnsi" w:cstheme="minorBidi"/>
          <w:color w:val="auto"/>
          <w:sz w:val="20"/>
          <w:szCs w:val="20"/>
          <w:lang w:val="en-US" w:eastAsia="tr-TR"/>
        </w:rPr>
        <w:t xml:space="preserve"> is fostering an environment </w:t>
      </w:r>
      <w:r w:rsidR="00250783" w:rsidRPr="0797A686">
        <w:rPr>
          <w:rFonts w:asciiTheme="minorHAnsi" w:eastAsia="Times New Roman" w:hAnsiTheme="minorHAnsi" w:cstheme="minorBidi"/>
          <w:color w:val="auto"/>
          <w:sz w:val="20"/>
          <w:szCs w:val="20"/>
          <w:lang w:val="en-US" w:eastAsia="tr-TR"/>
        </w:rPr>
        <w:t>ripe for innovation and expansion. While</w:t>
      </w:r>
      <w:r w:rsidR="00CE5B67" w:rsidRPr="0797A686">
        <w:rPr>
          <w:rFonts w:asciiTheme="minorHAnsi" w:eastAsia="Times New Roman" w:hAnsiTheme="minorHAnsi" w:cstheme="minorBidi"/>
          <w:color w:val="auto"/>
          <w:sz w:val="20"/>
          <w:szCs w:val="20"/>
          <w:lang w:val="en-US" w:eastAsia="tr-TR"/>
        </w:rPr>
        <w:t xml:space="preserve"> private sector players are still in the early stages of understanding costs </w:t>
      </w:r>
      <w:r w:rsidR="004A1C50" w:rsidRPr="0797A686">
        <w:rPr>
          <w:rFonts w:asciiTheme="minorHAnsi" w:eastAsia="Times New Roman" w:hAnsiTheme="minorHAnsi" w:cstheme="minorBidi"/>
          <w:color w:val="auto"/>
          <w:sz w:val="20"/>
          <w:szCs w:val="20"/>
          <w:lang w:val="en-US" w:eastAsia="tr-TR"/>
        </w:rPr>
        <w:t xml:space="preserve">and revenue structures associated </w:t>
      </w:r>
      <w:r w:rsidR="00CE5B67" w:rsidRPr="0797A686">
        <w:rPr>
          <w:rFonts w:asciiTheme="minorHAnsi" w:eastAsia="Times New Roman" w:hAnsiTheme="minorHAnsi" w:cstheme="minorBidi"/>
          <w:color w:val="auto"/>
          <w:sz w:val="20"/>
          <w:szCs w:val="20"/>
          <w:lang w:val="en-US" w:eastAsia="tr-TR"/>
        </w:rPr>
        <w:t xml:space="preserve">with building </w:t>
      </w:r>
      <w:r w:rsidR="005F7390" w:rsidRPr="0797A686">
        <w:rPr>
          <w:rFonts w:asciiTheme="minorHAnsi" w:eastAsia="Times New Roman" w:hAnsiTheme="minorHAnsi" w:cstheme="minorBidi"/>
          <w:color w:val="auto"/>
          <w:sz w:val="20"/>
          <w:szCs w:val="20"/>
          <w:lang w:val="en-US" w:eastAsia="tr-TR"/>
        </w:rPr>
        <w:t xml:space="preserve">energy storage </w:t>
      </w:r>
      <w:r w:rsidR="00CE5B67" w:rsidRPr="0797A686">
        <w:rPr>
          <w:rFonts w:asciiTheme="minorHAnsi" w:eastAsia="Times New Roman" w:hAnsiTheme="minorHAnsi" w:cstheme="minorBidi"/>
          <w:color w:val="auto"/>
          <w:sz w:val="20"/>
          <w:szCs w:val="20"/>
          <w:lang w:val="en-US" w:eastAsia="tr-TR"/>
        </w:rPr>
        <w:t>systems</w:t>
      </w:r>
      <w:r w:rsidR="001E1646" w:rsidRPr="0797A686">
        <w:rPr>
          <w:rFonts w:asciiTheme="minorHAnsi" w:eastAsia="Times New Roman" w:hAnsiTheme="minorHAnsi" w:cstheme="minorBidi"/>
          <w:color w:val="auto"/>
          <w:sz w:val="20"/>
          <w:szCs w:val="20"/>
          <w:lang w:val="en-US" w:eastAsia="tr-TR"/>
        </w:rPr>
        <w:t xml:space="preserve">, their interest </w:t>
      </w:r>
      <w:r w:rsidR="00CE5B67" w:rsidRPr="0797A686">
        <w:rPr>
          <w:rFonts w:asciiTheme="minorHAnsi" w:eastAsia="Times New Roman" w:hAnsiTheme="minorHAnsi" w:cstheme="minorBidi"/>
          <w:color w:val="auto"/>
          <w:sz w:val="20"/>
          <w:szCs w:val="20"/>
          <w:lang w:val="en-US" w:eastAsia="tr-TR"/>
        </w:rPr>
        <w:t xml:space="preserve">in developing trial battery storage projects with smaller capacities </w:t>
      </w:r>
      <w:r w:rsidR="00B3602D" w:rsidRPr="0797A686">
        <w:rPr>
          <w:rFonts w:asciiTheme="minorHAnsi" w:eastAsia="Times New Roman" w:hAnsiTheme="minorHAnsi" w:cstheme="minorBidi"/>
          <w:color w:val="auto"/>
          <w:sz w:val="20"/>
          <w:szCs w:val="20"/>
          <w:lang w:val="en-US" w:eastAsia="tr-TR"/>
        </w:rPr>
        <w:t xml:space="preserve">is a positive </w:t>
      </w:r>
      <w:r w:rsidR="00D0331E" w:rsidRPr="0797A686">
        <w:rPr>
          <w:rFonts w:asciiTheme="minorHAnsi" w:eastAsia="Times New Roman" w:hAnsiTheme="minorHAnsi" w:cstheme="minorBidi"/>
          <w:color w:val="auto"/>
          <w:sz w:val="20"/>
          <w:szCs w:val="20"/>
          <w:lang w:val="en-US" w:eastAsia="tr-TR"/>
        </w:rPr>
        <w:t xml:space="preserve">step </w:t>
      </w:r>
      <w:r w:rsidR="00CE5B67" w:rsidRPr="0797A686">
        <w:rPr>
          <w:rFonts w:asciiTheme="minorHAnsi" w:eastAsia="Times New Roman" w:hAnsiTheme="minorHAnsi" w:cstheme="minorBidi"/>
          <w:color w:val="auto"/>
          <w:sz w:val="20"/>
          <w:szCs w:val="20"/>
          <w:lang w:val="en-US" w:eastAsia="tr-TR"/>
        </w:rPr>
        <w:t>to</w:t>
      </w:r>
      <w:r w:rsidR="00D0331E" w:rsidRPr="0797A686">
        <w:rPr>
          <w:rFonts w:asciiTheme="minorHAnsi" w:eastAsia="Times New Roman" w:hAnsiTheme="minorHAnsi" w:cstheme="minorBidi"/>
          <w:color w:val="auto"/>
          <w:sz w:val="20"/>
          <w:szCs w:val="20"/>
          <w:lang w:val="en-US" w:eastAsia="tr-TR"/>
        </w:rPr>
        <w:t>wards</w:t>
      </w:r>
      <w:r w:rsidR="00CE5B67" w:rsidRPr="0797A686">
        <w:rPr>
          <w:rFonts w:asciiTheme="minorHAnsi" w:eastAsia="Times New Roman" w:hAnsiTheme="minorHAnsi" w:cstheme="minorBidi"/>
          <w:color w:val="auto"/>
          <w:sz w:val="20"/>
          <w:szCs w:val="20"/>
          <w:lang w:val="en-US" w:eastAsia="tr-TR"/>
        </w:rPr>
        <w:t xml:space="preserve"> larger investments. </w:t>
      </w:r>
      <w:r w:rsidR="00CA5CF5" w:rsidRPr="0797A686">
        <w:rPr>
          <w:rFonts w:asciiTheme="minorHAnsi" w:eastAsia="Times New Roman" w:hAnsiTheme="minorHAnsi" w:cstheme="minorBidi"/>
          <w:color w:val="auto"/>
          <w:sz w:val="20"/>
          <w:szCs w:val="20"/>
          <w:lang w:val="en-US" w:eastAsia="tr-TR"/>
        </w:rPr>
        <w:t xml:space="preserve">To further support these early-stage projects, </w:t>
      </w:r>
      <w:r w:rsidR="00CE5B67" w:rsidRPr="0797A686">
        <w:rPr>
          <w:rFonts w:asciiTheme="minorHAnsi" w:eastAsia="Times New Roman" w:hAnsiTheme="minorHAnsi" w:cstheme="minorBidi"/>
          <w:color w:val="auto"/>
          <w:sz w:val="20"/>
          <w:szCs w:val="20"/>
          <w:lang w:val="en-US" w:eastAsia="tr-TR"/>
        </w:rPr>
        <w:t xml:space="preserve">concessional financing is </w:t>
      </w:r>
      <w:r w:rsidR="00F92905" w:rsidRPr="0797A686">
        <w:rPr>
          <w:rFonts w:asciiTheme="minorHAnsi" w:eastAsia="Times New Roman" w:hAnsiTheme="minorHAnsi" w:cstheme="minorBidi"/>
          <w:color w:val="auto"/>
          <w:sz w:val="20"/>
          <w:szCs w:val="20"/>
          <w:lang w:val="en-US" w:eastAsia="tr-TR"/>
        </w:rPr>
        <w:t>essential</w:t>
      </w:r>
      <w:r w:rsidR="00CE5B67" w:rsidRPr="0797A686">
        <w:rPr>
          <w:rFonts w:asciiTheme="minorHAnsi" w:eastAsia="Times New Roman" w:hAnsiTheme="minorHAnsi" w:cstheme="minorBidi"/>
          <w:color w:val="auto"/>
          <w:sz w:val="20"/>
          <w:szCs w:val="20"/>
          <w:lang w:val="en-US" w:eastAsia="tr-TR"/>
        </w:rPr>
        <w:t xml:space="preserve">. </w:t>
      </w:r>
      <w:r w:rsidR="001D2115" w:rsidRPr="0797A686">
        <w:rPr>
          <w:rFonts w:asciiTheme="minorHAnsi" w:eastAsia="Times New Roman" w:hAnsiTheme="minorHAnsi" w:cstheme="minorBidi"/>
          <w:color w:val="auto"/>
          <w:sz w:val="20"/>
          <w:szCs w:val="20"/>
          <w:lang w:val="en-US" w:eastAsia="tr-TR"/>
        </w:rPr>
        <w:t>C</w:t>
      </w:r>
      <w:r w:rsidR="00CE5B67" w:rsidRPr="0797A686">
        <w:rPr>
          <w:rFonts w:asciiTheme="minorHAnsi" w:eastAsia="Times New Roman" w:hAnsiTheme="minorHAnsi" w:cstheme="minorBidi"/>
          <w:color w:val="auto"/>
          <w:sz w:val="20"/>
          <w:szCs w:val="20"/>
          <w:lang w:val="en-US" w:eastAsia="tr-TR"/>
        </w:rPr>
        <w:t>oncessional finance</w:t>
      </w:r>
      <w:r w:rsidR="00DE28D8" w:rsidRPr="0797A686">
        <w:rPr>
          <w:rFonts w:asciiTheme="minorHAnsi" w:eastAsia="Times New Roman" w:hAnsiTheme="minorHAnsi" w:cstheme="minorBidi"/>
          <w:color w:val="auto"/>
          <w:sz w:val="20"/>
          <w:szCs w:val="20"/>
          <w:lang w:val="en-US" w:eastAsia="tr-TR"/>
        </w:rPr>
        <w:t xml:space="preserve"> support will help </w:t>
      </w:r>
      <w:r w:rsidR="004E0AB6" w:rsidRPr="0797A686">
        <w:rPr>
          <w:rFonts w:asciiTheme="minorHAnsi" w:eastAsia="Times New Roman" w:hAnsiTheme="minorHAnsi" w:cstheme="minorBidi"/>
          <w:color w:val="auto"/>
          <w:sz w:val="20"/>
          <w:szCs w:val="20"/>
          <w:lang w:val="en-US" w:eastAsia="tr-TR"/>
        </w:rPr>
        <w:t xml:space="preserve">overcome </w:t>
      </w:r>
      <w:r w:rsidR="00CE5B67" w:rsidRPr="0797A686">
        <w:rPr>
          <w:rFonts w:asciiTheme="minorHAnsi" w:eastAsia="Times New Roman" w:hAnsiTheme="minorHAnsi" w:cstheme="minorBidi"/>
          <w:color w:val="auto"/>
          <w:sz w:val="20"/>
          <w:szCs w:val="20"/>
          <w:lang w:val="en-US" w:eastAsia="tr-TR"/>
        </w:rPr>
        <w:t xml:space="preserve">the high capital and operating costs </w:t>
      </w:r>
      <w:r w:rsidR="00033F34" w:rsidRPr="0797A686">
        <w:rPr>
          <w:rFonts w:asciiTheme="minorHAnsi" w:eastAsia="Times New Roman" w:hAnsiTheme="minorHAnsi" w:cstheme="minorBidi"/>
          <w:color w:val="auto"/>
          <w:sz w:val="20"/>
          <w:szCs w:val="20"/>
          <w:lang w:val="en-US" w:eastAsia="tr-TR"/>
        </w:rPr>
        <w:t xml:space="preserve">and enhance the </w:t>
      </w:r>
      <w:r w:rsidR="00CE5B67" w:rsidRPr="0797A686">
        <w:rPr>
          <w:rFonts w:asciiTheme="minorHAnsi" w:eastAsia="Times New Roman" w:hAnsiTheme="minorHAnsi" w:cstheme="minorBidi"/>
          <w:color w:val="auto"/>
          <w:sz w:val="20"/>
          <w:szCs w:val="20"/>
          <w:lang w:val="en-US" w:eastAsia="tr-TR"/>
        </w:rPr>
        <w:t xml:space="preserve">capacity to design and install these </w:t>
      </w:r>
      <w:r w:rsidR="00A847F9" w:rsidRPr="0797A686">
        <w:rPr>
          <w:rFonts w:asciiTheme="minorHAnsi" w:eastAsia="Times New Roman" w:hAnsiTheme="minorHAnsi" w:cstheme="minorBidi"/>
          <w:color w:val="auto"/>
          <w:sz w:val="20"/>
          <w:szCs w:val="20"/>
          <w:lang w:val="en-US" w:eastAsia="tr-TR"/>
        </w:rPr>
        <w:t xml:space="preserve">innovative and clean </w:t>
      </w:r>
      <w:r w:rsidR="00CE5B67" w:rsidRPr="0797A686">
        <w:rPr>
          <w:rFonts w:asciiTheme="minorHAnsi" w:eastAsia="Times New Roman" w:hAnsiTheme="minorHAnsi" w:cstheme="minorBidi"/>
          <w:color w:val="auto"/>
          <w:sz w:val="20"/>
          <w:szCs w:val="20"/>
          <w:lang w:val="en-US" w:eastAsia="tr-TR"/>
        </w:rPr>
        <w:t>technologies</w:t>
      </w:r>
      <w:r w:rsidR="00AC2474" w:rsidRPr="0797A686">
        <w:rPr>
          <w:rFonts w:asciiTheme="minorHAnsi" w:eastAsia="Times New Roman" w:hAnsiTheme="minorHAnsi" w:cstheme="minorBidi"/>
          <w:color w:val="auto"/>
          <w:sz w:val="20"/>
          <w:szCs w:val="20"/>
          <w:lang w:val="en-US" w:eastAsia="tr-TR"/>
        </w:rPr>
        <w:t xml:space="preserve">, </w:t>
      </w:r>
      <w:r w:rsidR="00B43416" w:rsidRPr="0797A686">
        <w:rPr>
          <w:rFonts w:asciiTheme="minorHAnsi" w:eastAsia="Times New Roman" w:hAnsiTheme="minorHAnsi" w:cstheme="minorBidi"/>
          <w:color w:val="auto"/>
          <w:sz w:val="20"/>
          <w:szCs w:val="20"/>
          <w:lang w:val="en-US" w:eastAsia="tr-TR"/>
        </w:rPr>
        <w:t xml:space="preserve">leading to improved </w:t>
      </w:r>
      <w:r w:rsidR="00E712BC" w:rsidRPr="0797A686">
        <w:rPr>
          <w:rFonts w:asciiTheme="minorHAnsi" w:eastAsia="Times New Roman" w:hAnsiTheme="minorHAnsi" w:cstheme="minorBidi"/>
          <w:color w:val="auto"/>
          <w:sz w:val="20"/>
          <w:szCs w:val="20"/>
          <w:lang w:val="en-US" w:eastAsia="tr-TR"/>
        </w:rPr>
        <w:t>RE availability and reliability</w:t>
      </w:r>
      <w:r w:rsidR="00B43416" w:rsidRPr="0797A686">
        <w:rPr>
          <w:rFonts w:asciiTheme="minorHAnsi" w:eastAsia="Times New Roman" w:hAnsiTheme="minorHAnsi" w:cstheme="minorBidi"/>
          <w:color w:val="auto"/>
          <w:sz w:val="20"/>
          <w:szCs w:val="20"/>
          <w:lang w:val="en-US" w:eastAsia="tr-TR"/>
        </w:rPr>
        <w:t xml:space="preserve">, and </w:t>
      </w:r>
      <w:r w:rsidR="00AC2474" w:rsidRPr="0797A686">
        <w:rPr>
          <w:rFonts w:asciiTheme="minorHAnsi" w:eastAsia="Times New Roman" w:hAnsiTheme="minorHAnsi" w:cstheme="minorBidi"/>
          <w:color w:val="auto"/>
          <w:sz w:val="20"/>
          <w:szCs w:val="20"/>
          <w:lang w:val="en-US" w:eastAsia="tr-TR"/>
        </w:rPr>
        <w:t>paving the way for a more sustainable future</w:t>
      </w:r>
      <w:r w:rsidR="00CE5B67" w:rsidRPr="0797A686">
        <w:rPr>
          <w:rFonts w:asciiTheme="minorHAnsi" w:eastAsia="Times New Roman" w:hAnsiTheme="minorHAnsi" w:cstheme="minorBidi"/>
          <w:color w:val="auto"/>
          <w:sz w:val="20"/>
          <w:szCs w:val="20"/>
          <w:lang w:val="en-US" w:eastAsia="tr-TR"/>
        </w:rPr>
        <w:t>.</w:t>
      </w:r>
    </w:p>
    <w:p w14:paraId="286B3EBD" w14:textId="5F2FD9CB" w:rsidR="00A92615" w:rsidRDefault="00A92615" w:rsidP="00A92615">
      <w:bookmarkStart w:id="71" w:name="_Toc162964129"/>
    </w:p>
    <w:p w14:paraId="00CEFF84" w14:textId="2359003F" w:rsidR="000D51DA" w:rsidRPr="0043215C" w:rsidRDefault="005C15CD" w:rsidP="00A92615">
      <w:pPr>
        <w:rPr>
          <w:rFonts w:eastAsia="Times New Roman" w:cstheme="minorHAnsi"/>
          <w:sz w:val="20"/>
          <w:szCs w:val="20"/>
          <w:lang w:eastAsia="tr-TR"/>
        </w:rPr>
      </w:pPr>
      <w:r w:rsidRPr="00142C45">
        <w:t xml:space="preserve">With the increasing adoption of electric vehicles (EV), there is a growing need for infrastructure to support EV adoption in Türkiye. </w:t>
      </w:r>
      <w:r w:rsidRPr="0043215C">
        <w:rPr>
          <w:rFonts w:eastAsia="Times New Roman" w:cstheme="minorHAnsi"/>
          <w:sz w:val="20"/>
          <w:szCs w:val="20"/>
          <w:lang w:eastAsia="tr-TR"/>
        </w:rPr>
        <w:t>As of November 2023, the number of EVs amounts to 80,043, representing 0.53% of the total vehicle fleet in the country, meaning that there is significant growth potential. Furthermore, the increase of EVs on traffic was 5.5-fold in 2023 evidencing the need for accelerated investments in the EV infrastructure.</w:t>
      </w:r>
    </w:p>
    <w:p w14:paraId="23D9297C" w14:textId="0D67DBA2" w:rsidR="009B4DA7" w:rsidRPr="0043215C" w:rsidRDefault="00A80F6C" w:rsidP="009E3F7E">
      <w:pPr>
        <w:pStyle w:val="Heading2"/>
        <w:rPr>
          <w:rFonts w:cstheme="minorHAnsi"/>
          <w:color w:val="FF0000"/>
          <w:sz w:val="20"/>
          <w:szCs w:val="20"/>
        </w:rPr>
      </w:pPr>
      <w:bookmarkStart w:id="72" w:name="_Toc170319828"/>
      <w:r w:rsidRPr="059B78C6">
        <w:rPr>
          <w:sz w:val="20"/>
          <w:szCs w:val="20"/>
        </w:rPr>
        <w:t>Role of the private sector, innovation, and leverage of resources</w:t>
      </w:r>
      <w:bookmarkEnd w:id="71"/>
      <w:bookmarkEnd w:id="72"/>
      <w:r w:rsidRPr="059B78C6">
        <w:rPr>
          <w:sz w:val="20"/>
          <w:szCs w:val="20"/>
        </w:rPr>
        <w:t xml:space="preserve"> </w:t>
      </w:r>
    </w:p>
    <w:p w14:paraId="3CF26879" w14:textId="41AD11B7" w:rsidR="059B78C6" w:rsidRDefault="059B78C6" w:rsidP="059B78C6"/>
    <w:p w14:paraId="3453E463" w14:textId="714E2EF1" w:rsidR="299F49D6" w:rsidRPr="0043215C" w:rsidRDefault="00A80F6C" w:rsidP="000C296A">
      <w:pPr>
        <w:spacing w:after="0" w:line="240" w:lineRule="auto"/>
        <w:rPr>
          <w:sz w:val="20"/>
          <w:szCs w:val="20"/>
        </w:rPr>
      </w:pPr>
      <w:r w:rsidRPr="15929288">
        <w:rPr>
          <w:rFonts w:eastAsia="Calibri"/>
          <w:b/>
          <w:sz w:val="20"/>
          <w:szCs w:val="20"/>
        </w:rPr>
        <w:t xml:space="preserve">The </w:t>
      </w:r>
      <w:r w:rsidR="009B4DA7" w:rsidRPr="15929288">
        <w:rPr>
          <w:rFonts w:eastAsia="Calibri"/>
          <w:b/>
          <w:sz w:val="20"/>
          <w:szCs w:val="20"/>
        </w:rPr>
        <w:t xml:space="preserve">country’s </w:t>
      </w:r>
      <w:r w:rsidRPr="15929288">
        <w:rPr>
          <w:rFonts w:eastAsia="Calibri"/>
          <w:b/>
          <w:sz w:val="20"/>
          <w:szCs w:val="20"/>
        </w:rPr>
        <w:t xml:space="preserve">energy transition requires a more active role by the private sector, </w:t>
      </w:r>
      <w:r w:rsidR="005766E9" w:rsidRPr="15929288">
        <w:rPr>
          <w:rFonts w:eastAsia="Calibri"/>
          <w:b/>
          <w:sz w:val="20"/>
          <w:szCs w:val="20"/>
        </w:rPr>
        <w:t xml:space="preserve">as most of the </w:t>
      </w:r>
      <w:r w:rsidR="00307695" w:rsidRPr="15929288">
        <w:rPr>
          <w:rFonts w:eastAsia="Calibri"/>
          <w:b/>
          <w:sz w:val="20"/>
          <w:szCs w:val="20"/>
        </w:rPr>
        <w:t xml:space="preserve">ambitious RE </w:t>
      </w:r>
      <w:r w:rsidR="00674DBD" w:rsidRPr="15929288">
        <w:rPr>
          <w:rFonts w:eastAsia="Calibri"/>
          <w:b/>
          <w:sz w:val="20"/>
          <w:szCs w:val="20"/>
        </w:rPr>
        <w:t xml:space="preserve">generation </w:t>
      </w:r>
      <w:r w:rsidR="00307695" w:rsidRPr="15929288">
        <w:rPr>
          <w:rFonts w:eastAsia="Calibri"/>
          <w:b/>
          <w:sz w:val="20"/>
          <w:szCs w:val="20"/>
        </w:rPr>
        <w:t xml:space="preserve">scale up program will be </w:t>
      </w:r>
      <w:r w:rsidRPr="15929288">
        <w:rPr>
          <w:rFonts w:eastAsia="Calibri"/>
          <w:b/>
          <w:sz w:val="20"/>
          <w:szCs w:val="20"/>
        </w:rPr>
        <w:t xml:space="preserve">realized by the private sector in </w:t>
      </w:r>
      <w:r w:rsidR="00307695" w:rsidRPr="15929288">
        <w:rPr>
          <w:rFonts w:eastAsia="Calibri"/>
          <w:b/>
          <w:sz w:val="20"/>
          <w:szCs w:val="20"/>
        </w:rPr>
        <w:t>the medium to long term</w:t>
      </w:r>
      <w:r w:rsidRPr="15929288">
        <w:rPr>
          <w:rFonts w:eastAsia="Calibri"/>
          <w:b/>
          <w:sz w:val="20"/>
          <w:szCs w:val="20"/>
        </w:rPr>
        <w:t xml:space="preserve">.  </w:t>
      </w:r>
      <w:r w:rsidR="00674DBD" w:rsidRPr="15929288">
        <w:rPr>
          <w:sz w:val="20"/>
          <w:szCs w:val="20"/>
        </w:rPr>
        <w:t xml:space="preserve">According to the 2022 NEP, by 2035, the installed capacity of solar and wind is targeted as 52.9 GW and 29.6 GW (24.6 GW onshore, 5 GW offshore), respectively, thus an additional 41.5 GW of solar, 12.8 GW onshore wind and 5 GW offshore wind facilities are planned to be constructed in the coming 11 years. The investment </w:t>
      </w:r>
      <w:r w:rsidR="00822C04" w:rsidRPr="15929288">
        <w:rPr>
          <w:sz w:val="20"/>
          <w:szCs w:val="20"/>
        </w:rPr>
        <w:t>needs</w:t>
      </w:r>
      <w:r w:rsidR="00674DBD" w:rsidRPr="15929288">
        <w:rPr>
          <w:sz w:val="20"/>
          <w:szCs w:val="20"/>
        </w:rPr>
        <w:t xml:space="preserve"> to realize this additional capacity would be nearly </w:t>
      </w:r>
      <w:r w:rsidR="7CB90A35" w:rsidRPr="15929288">
        <w:rPr>
          <w:sz w:val="20"/>
          <w:szCs w:val="20"/>
        </w:rPr>
        <w:t xml:space="preserve">around </w:t>
      </w:r>
      <w:r w:rsidR="00636124" w:rsidRPr="15929288">
        <w:rPr>
          <w:sz w:val="20"/>
          <w:szCs w:val="20"/>
        </w:rPr>
        <w:t>US$</w:t>
      </w:r>
      <w:r w:rsidR="7CB90A35" w:rsidRPr="15929288">
        <w:rPr>
          <w:sz w:val="20"/>
          <w:szCs w:val="20"/>
        </w:rPr>
        <w:t xml:space="preserve">100 billion over 11 years, including </w:t>
      </w:r>
      <w:r w:rsidR="00636124" w:rsidRPr="15929288">
        <w:rPr>
          <w:sz w:val="20"/>
          <w:szCs w:val="20"/>
        </w:rPr>
        <w:t>US$</w:t>
      </w:r>
      <w:r w:rsidR="7CB90A35" w:rsidRPr="15929288">
        <w:rPr>
          <w:sz w:val="20"/>
          <w:szCs w:val="20"/>
        </w:rPr>
        <w:t xml:space="preserve">80 billion for generation, </w:t>
      </w:r>
      <w:r w:rsidR="00636124" w:rsidRPr="15929288">
        <w:rPr>
          <w:sz w:val="20"/>
          <w:szCs w:val="20"/>
        </w:rPr>
        <w:t>US$</w:t>
      </w:r>
      <w:r w:rsidR="7CB90A35" w:rsidRPr="15929288">
        <w:rPr>
          <w:sz w:val="20"/>
          <w:szCs w:val="20"/>
        </w:rPr>
        <w:t xml:space="preserve">10 billion for transmission, and </w:t>
      </w:r>
      <w:r w:rsidR="00636124" w:rsidRPr="15929288">
        <w:rPr>
          <w:sz w:val="20"/>
          <w:szCs w:val="20"/>
        </w:rPr>
        <w:t>US$</w:t>
      </w:r>
      <w:r w:rsidR="7CB90A35" w:rsidRPr="15929288">
        <w:rPr>
          <w:sz w:val="20"/>
          <w:szCs w:val="20"/>
        </w:rPr>
        <w:t xml:space="preserve">10 billion for distribution. Of the total investment needed, </w:t>
      </w:r>
      <w:r w:rsidR="00636124" w:rsidRPr="15929288">
        <w:rPr>
          <w:sz w:val="20"/>
          <w:szCs w:val="20"/>
        </w:rPr>
        <w:t>US$</w:t>
      </w:r>
      <w:r w:rsidR="7CB90A35" w:rsidRPr="15929288">
        <w:rPr>
          <w:sz w:val="20"/>
          <w:szCs w:val="20"/>
        </w:rPr>
        <w:t xml:space="preserve">90 billion will have to come from the private sector. Moving toward the net zero emissions target by 2053 and building resilience in the sector will need around </w:t>
      </w:r>
      <w:r w:rsidR="00636124" w:rsidRPr="15929288">
        <w:rPr>
          <w:sz w:val="20"/>
          <w:szCs w:val="20"/>
        </w:rPr>
        <w:t>US$</w:t>
      </w:r>
      <w:r w:rsidR="7CB90A35" w:rsidRPr="15929288">
        <w:rPr>
          <w:sz w:val="20"/>
          <w:szCs w:val="20"/>
        </w:rPr>
        <w:t>640 billion in net present value,</w:t>
      </w:r>
      <w:r w:rsidR="079B239C" w:rsidRPr="15929288">
        <w:rPr>
          <w:sz w:val="20"/>
          <w:szCs w:val="20"/>
        </w:rPr>
        <w:t xml:space="preserve"> </w:t>
      </w:r>
      <w:r w:rsidR="009B32EF" w:rsidRPr="15929288">
        <w:rPr>
          <w:sz w:val="20"/>
          <w:szCs w:val="20"/>
        </w:rPr>
        <w:t>this</w:t>
      </w:r>
      <w:r w:rsidR="7CB90A35" w:rsidRPr="15929288">
        <w:rPr>
          <w:sz w:val="20"/>
          <w:szCs w:val="20"/>
        </w:rPr>
        <w:t xml:space="preserve"> </w:t>
      </w:r>
      <w:r w:rsidR="079B239C" w:rsidRPr="15929288">
        <w:rPr>
          <w:sz w:val="20"/>
          <w:szCs w:val="20"/>
        </w:rPr>
        <w:t>would</w:t>
      </w:r>
      <w:r w:rsidR="7CB90A35" w:rsidRPr="15929288">
        <w:rPr>
          <w:sz w:val="20"/>
          <w:szCs w:val="20"/>
        </w:rPr>
        <w:t xml:space="preserve"> require both the private sector and the public sector and </w:t>
      </w:r>
      <w:r w:rsidR="1DDC8F15" w:rsidRPr="15929288">
        <w:rPr>
          <w:sz w:val="20"/>
          <w:szCs w:val="20"/>
        </w:rPr>
        <w:t xml:space="preserve">MDBs </w:t>
      </w:r>
      <w:r w:rsidR="7CB90A35" w:rsidRPr="15929288">
        <w:rPr>
          <w:sz w:val="20"/>
          <w:szCs w:val="20"/>
        </w:rPr>
        <w:t xml:space="preserve">to work together </w:t>
      </w:r>
      <w:proofErr w:type="gramStart"/>
      <w:r w:rsidR="7CB90A35" w:rsidRPr="15929288">
        <w:rPr>
          <w:sz w:val="20"/>
          <w:szCs w:val="20"/>
        </w:rPr>
        <w:t>in order to</w:t>
      </w:r>
      <w:proofErr w:type="gramEnd"/>
      <w:r w:rsidR="7CB90A35" w:rsidRPr="15929288">
        <w:rPr>
          <w:sz w:val="20"/>
          <w:szCs w:val="20"/>
        </w:rPr>
        <w:t xml:space="preserve"> mobilize this </w:t>
      </w:r>
      <w:r w:rsidR="52265563" w:rsidRPr="15929288">
        <w:rPr>
          <w:sz w:val="20"/>
          <w:szCs w:val="20"/>
        </w:rPr>
        <w:t>number</w:t>
      </w:r>
      <w:r w:rsidR="7CB90A35" w:rsidRPr="15929288">
        <w:rPr>
          <w:sz w:val="20"/>
          <w:szCs w:val="20"/>
        </w:rPr>
        <w:t xml:space="preserve"> of resources.</w:t>
      </w:r>
    </w:p>
    <w:p w14:paraId="190F2A01" w14:textId="77777777" w:rsidR="00852B86" w:rsidRPr="0043215C" w:rsidRDefault="00852B86" w:rsidP="00616869">
      <w:pPr>
        <w:spacing w:after="0" w:line="240" w:lineRule="auto"/>
        <w:ind w:left="-20" w:right="-20"/>
        <w:rPr>
          <w:rFonts w:eastAsia="Calibri" w:cstheme="minorHAnsi"/>
          <w:b/>
          <w:sz w:val="20"/>
          <w:szCs w:val="20"/>
        </w:rPr>
      </w:pPr>
    </w:p>
    <w:p w14:paraId="100139EB" w14:textId="79C693E5" w:rsidR="00A80F6C" w:rsidRPr="0043215C" w:rsidRDefault="00A80F6C" w:rsidP="000C296A">
      <w:pPr>
        <w:spacing w:after="0" w:line="240" w:lineRule="auto"/>
        <w:ind w:left="-20" w:right="-20"/>
        <w:rPr>
          <w:rFonts w:eastAsia="Calibri" w:cstheme="minorHAnsi"/>
          <w:sz w:val="20"/>
          <w:szCs w:val="20"/>
        </w:rPr>
      </w:pPr>
      <w:r w:rsidRPr="0043215C">
        <w:rPr>
          <w:rFonts w:eastAsia="Calibri" w:cstheme="minorHAnsi"/>
          <w:b/>
          <w:sz w:val="20"/>
          <w:szCs w:val="20"/>
        </w:rPr>
        <w:t xml:space="preserve">In addition, an RE generation developer could need financing for the connecting lines, as </w:t>
      </w:r>
      <w:r w:rsidR="00822C04" w:rsidRPr="0043215C">
        <w:rPr>
          <w:rFonts w:eastAsia="Calibri" w:cstheme="minorHAnsi"/>
          <w:b/>
          <w:bCs/>
          <w:sz w:val="20"/>
          <w:szCs w:val="20"/>
        </w:rPr>
        <w:t>it</w:t>
      </w:r>
      <w:r w:rsidRPr="0043215C">
        <w:rPr>
          <w:rFonts w:eastAsia="Calibri" w:cstheme="minorHAnsi"/>
          <w:b/>
          <w:sz w:val="20"/>
          <w:szCs w:val="20"/>
        </w:rPr>
        <w:t xml:space="preserve"> can finance or construct transmission lines connecting the generation facility to the transmission grid on behalf of </w:t>
      </w:r>
      <w:r w:rsidR="002B50C9" w:rsidRPr="0043215C">
        <w:rPr>
          <w:rFonts w:eastAsia="Calibri" w:cstheme="minorHAnsi"/>
          <w:b/>
          <w:bCs/>
          <w:sz w:val="20"/>
          <w:szCs w:val="20"/>
        </w:rPr>
        <w:t>TEİAŞ</w:t>
      </w:r>
      <w:r w:rsidRPr="0043215C">
        <w:rPr>
          <w:rFonts w:eastAsia="Calibri" w:cstheme="minorHAnsi"/>
          <w:b/>
          <w:sz w:val="20"/>
          <w:szCs w:val="20"/>
        </w:rPr>
        <w:t xml:space="preserve">, if </w:t>
      </w:r>
      <w:r w:rsidR="002B50C9" w:rsidRPr="0043215C">
        <w:rPr>
          <w:rFonts w:eastAsia="Calibri" w:cstheme="minorHAnsi"/>
          <w:b/>
          <w:bCs/>
          <w:sz w:val="20"/>
          <w:szCs w:val="20"/>
        </w:rPr>
        <w:t>TEİAŞ</w:t>
      </w:r>
      <w:r w:rsidRPr="0043215C">
        <w:rPr>
          <w:rFonts w:eastAsia="Calibri" w:cstheme="minorHAnsi"/>
          <w:b/>
          <w:sz w:val="20"/>
          <w:szCs w:val="20"/>
        </w:rPr>
        <w:t xml:space="preserve"> does not have sufficient financing or cannot make timely investment planning</w:t>
      </w:r>
      <w:r w:rsidRPr="0043215C">
        <w:rPr>
          <w:rStyle w:val="FootnoteReference"/>
          <w:rFonts w:eastAsia="Calibri" w:cstheme="minorHAnsi"/>
          <w:b/>
          <w:sz w:val="20"/>
          <w:szCs w:val="20"/>
        </w:rPr>
        <w:footnoteReference w:id="27"/>
      </w:r>
      <w:r w:rsidRPr="0043215C">
        <w:rPr>
          <w:rFonts w:eastAsia="Calibri" w:cstheme="minorHAnsi"/>
          <w:b/>
          <w:sz w:val="20"/>
          <w:szCs w:val="20"/>
        </w:rPr>
        <w:t>.</w:t>
      </w:r>
      <w:r w:rsidRPr="0043215C">
        <w:rPr>
          <w:rFonts w:eastAsia="Calibri" w:cstheme="minorHAnsi"/>
          <w:sz w:val="20"/>
          <w:szCs w:val="20"/>
        </w:rPr>
        <w:t xml:space="preserve"> The ownership and operation responsibility of the facilities and lines built within this scope belongs to </w:t>
      </w:r>
      <w:r w:rsidR="002B50C9" w:rsidRPr="0043215C">
        <w:rPr>
          <w:rFonts w:eastAsia="Calibri" w:cstheme="minorHAnsi"/>
          <w:sz w:val="20"/>
          <w:szCs w:val="20"/>
        </w:rPr>
        <w:t>TEİAŞ</w:t>
      </w:r>
      <w:r w:rsidRPr="0043215C">
        <w:rPr>
          <w:rFonts w:eastAsia="Calibri" w:cstheme="minorHAnsi"/>
          <w:sz w:val="20"/>
          <w:szCs w:val="20"/>
        </w:rPr>
        <w:t xml:space="preserve"> and the generation licensee reimburses the cost of the investment from </w:t>
      </w:r>
      <w:r w:rsidR="002B50C9" w:rsidRPr="0043215C">
        <w:rPr>
          <w:rFonts w:eastAsia="Calibri" w:cstheme="minorHAnsi"/>
          <w:sz w:val="20"/>
          <w:szCs w:val="20"/>
        </w:rPr>
        <w:t>TEİAŞ</w:t>
      </w:r>
      <w:r w:rsidRPr="0043215C">
        <w:rPr>
          <w:rFonts w:eastAsia="Calibri" w:cstheme="minorHAnsi"/>
          <w:sz w:val="20"/>
          <w:szCs w:val="20"/>
        </w:rPr>
        <w:t>.</w:t>
      </w:r>
    </w:p>
    <w:p w14:paraId="6BB8E474" w14:textId="77777777" w:rsidR="00852B86" w:rsidRPr="0043215C" w:rsidRDefault="00852B86" w:rsidP="00616869">
      <w:pPr>
        <w:spacing w:after="0" w:line="240" w:lineRule="auto"/>
        <w:ind w:left="-20" w:right="-20"/>
        <w:rPr>
          <w:rFonts w:eastAsia="Calibri" w:cstheme="minorHAnsi"/>
          <w:sz w:val="20"/>
          <w:szCs w:val="20"/>
        </w:rPr>
      </w:pPr>
    </w:p>
    <w:p w14:paraId="1A17B2BB" w14:textId="647DFB20" w:rsidR="00A80F6C" w:rsidRPr="0043215C" w:rsidRDefault="00A80F6C" w:rsidP="000C296A">
      <w:pPr>
        <w:spacing w:after="0" w:line="240" w:lineRule="auto"/>
        <w:ind w:left="-20" w:right="-20"/>
        <w:rPr>
          <w:rFonts w:eastAsia="Calibri" w:cstheme="minorHAnsi"/>
          <w:sz w:val="20"/>
          <w:szCs w:val="20"/>
        </w:rPr>
      </w:pPr>
      <w:r w:rsidRPr="0043215C">
        <w:rPr>
          <w:rFonts w:eastAsia="Calibri" w:cstheme="minorHAnsi"/>
          <w:b/>
          <w:sz w:val="20"/>
          <w:szCs w:val="20"/>
        </w:rPr>
        <w:t>Another way of constructing transmission lines by a private RE developer is through constructing a private direct line</w:t>
      </w:r>
      <w:r w:rsidRPr="0043215C">
        <w:rPr>
          <w:rFonts w:eastAsia="Calibri" w:cstheme="minorHAnsi"/>
          <w:sz w:val="20"/>
          <w:szCs w:val="20"/>
        </w:rPr>
        <w:t xml:space="preserve">. A generation licensee may request to establish a private direct line between the generation facility and its customers, affiliates, or eligible consumers. The establishment of a private direct line is possible with a system control agreement to be made between the generation licensee and </w:t>
      </w:r>
      <w:r w:rsidR="002B50C9" w:rsidRPr="0043215C">
        <w:rPr>
          <w:rFonts w:eastAsia="Calibri" w:cstheme="minorHAnsi"/>
          <w:sz w:val="20"/>
          <w:szCs w:val="20"/>
        </w:rPr>
        <w:t>TEİAŞ</w:t>
      </w:r>
      <w:r w:rsidRPr="0043215C">
        <w:rPr>
          <w:rFonts w:eastAsia="Calibri" w:cstheme="minorHAnsi"/>
          <w:sz w:val="20"/>
          <w:szCs w:val="20"/>
        </w:rPr>
        <w:t xml:space="preserve"> or the distribution company. The private direct </w:t>
      </w:r>
      <w:r w:rsidRPr="0043215C">
        <w:rPr>
          <w:rFonts w:eastAsia="Calibri" w:cstheme="minorHAnsi"/>
          <w:sz w:val="20"/>
          <w:szCs w:val="20"/>
        </w:rPr>
        <w:lastRenderedPageBreak/>
        <w:t>line must be installed outside the national transmission and distribution network and in accordance with the standards applicable to these networks. All kinds of facilities, equipment and immovable property required for the establishment and operation of the private direct line are acquired by the applicant.</w:t>
      </w:r>
    </w:p>
    <w:p w14:paraId="47DF69AB" w14:textId="77777777" w:rsidR="00F14ED9" w:rsidRPr="0043215C" w:rsidRDefault="00F14ED9" w:rsidP="00616869">
      <w:pPr>
        <w:spacing w:after="0" w:line="240" w:lineRule="auto"/>
        <w:ind w:left="-20" w:right="-20"/>
        <w:rPr>
          <w:rFonts w:eastAsia="Calibri" w:cstheme="minorHAnsi"/>
          <w:sz w:val="20"/>
          <w:szCs w:val="20"/>
        </w:rPr>
      </w:pPr>
    </w:p>
    <w:p w14:paraId="0F01BFB8" w14:textId="132D31E2" w:rsidR="007C69B8" w:rsidRPr="0043215C" w:rsidRDefault="00A80F6C" w:rsidP="00616869">
      <w:pPr>
        <w:spacing w:after="0" w:line="240" w:lineRule="auto"/>
        <w:ind w:left="-20" w:right="-20"/>
        <w:rPr>
          <w:rFonts w:eastAsia="Calibri" w:cstheme="minorHAnsi"/>
          <w:sz w:val="20"/>
          <w:szCs w:val="20"/>
        </w:rPr>
      </w:pPr>
      <w:r w:rsidRPr="0043215C">
        <w:rPr>
          <w:rFonts w:eastAsia="Calibri" w:cstheme="minorHAnsi"/>
          <w:sz w:val="20"/>
          <w:szCs w:val="20"/>
        </w:rPr>
        <w:t>Similarly, a generation licensee operating a generation facility located in the provinces on the border, with permission to be given by EMRA Board, can construct a private direct line without connecting it to the transmission or distribution system in accordance with the standards applicable to the national transmission or distribution system and export the electricity generated in the subject generation facility.</w:t>
      </w:r>
    </w:p>
    <w:p w14:paraId="03E8BDC6" w14:textId="77777777" w:rsidR="0062028B" w:rsidRPr="0043215C" w:rsidRDefault="0062028B" w:rsidP="00616869">
      <w:pPr>
        <w:pStyle w:val="paragraph"/>
        <w:spacing w:beforeAutospacing="0" w:after="0" w:afterAutospacing="0" w:line="240" w:lineRule="auto"/>
        <w:rPr>
          <w:rFonts w:asciiTheme="minorHAnsi" w:hAnsiTheme="minorHAnsi" w:cstheme="minorHAnsi"/>
          <w:b/>
          <w:bCs/>
          <w:color w:val="000000" w:themeColor="text1"/>
          <w:sz w:val="20"/>
          <w:szCs w:val="20"/>
        </w:rPr>
      </w:pPr>
    </w:p>
    <w:p w14:paraId="38A503D0" w14:textId="40A1286B" w:rsidR="0062028B" w:rsidRPr="0043215C" w:rsidRDefault="49716EBA" w:rsidP="003B30D6">
      <w:pPr>
        <w:pStyle w:val="Heading2"/>
        <w:rPr>
          <w:sz w:val="20"/>
          <w:szCs w:val="20"/>
        </w:rPr>
      </w:pPr>
      <w:bookmarkStart w:id="73" w:name="_Toc162964131"/>
      <w:bookmarkStart w:id="74" w:name="_Toc170319829"/>
      <w:r w:rsidRPr="059B78C6">
        <w:rPr>
          <w:sz w:val="20"/>
          <w:szCs w:val="20"/>
        </w:rPr>
        <w:t xml:space="preserve">Summary of </w:t>
      </w:r>
      <w:r w:rsidR="006156CF" w:rsidRPr="059B78C6">
        <w:rPr>
          <w:sz w:val="20"/>
          <w:szCs w:val="20"/>
        </w:rPr>
        <w:t>MDB</w:t>
      </w:r>
      <w:r w:rsidRPr="059B78C6">
        <w:rPr>
          <w:sz w:val="20"/>
          <w:szCs w:val="20"/>
        </w:rPr>
        <w:t xml:space="preserve"> Engagement </w:t>
      </w:r>
      <w:r w:rsidR="55ACE2C9" w:rsidRPr="059B78C6">
        <w:rPr>
          <w:sz w:val="20"/>
          <w:szCs w:val="20"/>
        </w:rPr>
        <w:t xml:space="preserve">in </w:t>
      </w:r>
      <w:r w:rsidR="5226C33E" w:rsidRPr="059B78C6">
        <w:rPr>
          <w:sz w:val="20"/>
          <w:szCs w:val="20"/>
        </w:rPr>
        <w:t>t</w:t>
      </w:r>
      <w:r w:rsidR="55ACE2C9" w:rsidRPr="059B78C6">
        <w:rPr>
          <w:sz w:val="20"/>
          <w:szCs w:val="20"/>
        </w:rPr>
        <w:t xml:space="preserve">he </w:t>
      </w:r>
      <w:r w:rsidR="009C3A57" w:rsidRPr="059B78C6">
        <w:rPr>
          <w:sz w:val="20"/>
          <w:szCs w:val="20"/>
        </w:rPr>
        <w:t>Türkiye</w:t>
      </w:r>
      <w:r w:rsidR="55ACE2C9" w:rsidRPr="059B78C6">
        <w:rPr>
          <w:sz w:val="20"/>
          <w:szCs w:val="20"/>
        </w:rPr>
        <w:t xml:space="preserve"> Energy Sector</w:t>
      </w:r>
      <w:bookmarkEnd w:id="73"/>
      <w:bookmarkEnd w:id="74"/>
    </w:p>
    <w:p w14:paraId="0C2B6E40" w14:textId="7351A056" w:rsidR="003B30D6" w:rsidRDefault="003B30D6" w:rsidP="059B78C6"/>
    <w:p w14:paraId="5A34E1FA" w14:textId="09B5D476" w:rsidR="003B30D6" w:rsidRPr="0043215C" w:rsidRDefault="003B30D6" w:rsidP="009E3F7E">
      <w:pPr>
        <w:spacing w:after="0" w:line="240" w:lineRule="auto"/>
        <w:ind w:right="-20"/>
        <w:rPr>
          <w:rFonts w:cstheme="minorHAnsi"/>
          <w:sz w:val="20"/>
          <w:szCs w:val="20"/>
        </w:rPr>
      </w:pPr>
      <w:r w:rsidRPr="0043215C">
        <w:rPr>
          <w:rFonts w:eastAsia="Calibri" w:cstheme="minorHAnsi"/>
          <w:sz w:val="20"/>
          <w:szCs w:val="20"/>
        </w:rPr>
        <w:t xml:space="preserve">Please see Annex 7 for the detailed MDB engagement in the Türkiye energy/RE sector, as well as brief activities by the private sector, </w:t>
      </w:r>
      <w:proofErr w:type="gramStart"/>
      <w:r w:rsidRPr="0043215C">
        <w:rPr>
          <w:rFonts w:eastAsia="Calibri" w:cstheme="minorHAnsi"/>
          <w:sz w:val="20"/>
          <w:szCs w:val="20"/>
        </w:rPr>
        <w:t>NGOs</w:t>
      </w:r>
      <w:proofErr w:type="gramEnd"/>
      <w:r w:rsidRPr="0043215C">
        <w:rPr>
          <w:rFonts w:eastAsia="Calibri" w:cstheme="minorHAnsi"/>
          <w:sz w:val="20"/>
          <w:szCs w:val="20"/>
        </w:rPr>
        <w:t xml:space="preserve"> and bilateral institutions. </w:t>
      </w:r>
    </w:p>
    <w:p w14:paraId="17601BB7" w14:textId="77777777" w:rsidR="00C100D2" w:rsidRPr="0043215C" w:rsidRDefault="00C100D2" w:rsidP="00AE1BBE">
      <w:pPr>
        <w:spacing w:after="0" w:line="240" w:lineRule="auto"/>
        <w:rPr>
          <w:rStyle w:val="normaltextrun"/>
          <w:rFonts w:eastAsia="Times New Roman" w:cstheme="minorHAnsi"/>
          <w:b/>
          <w:color w:val="000000" w:themeColor="text1"/>
          <w:sz w:val="20"/>
          <w:szCs w:val="20"/>
        </w:rPr>
      </w:pPr>
    </w:p>
    <w:p w14:paraId="47FBB711" w14:textId="5DA17DB3" w:rsidR="006156CF" w:rsidRPr="0043215C" w:rsidRDefault="00C100D2" w:rsidP="00AE1BBE">
      <w:pPr>
        <w:spacing w:after="0" w:line="240" w:lineRule="auto"/>
        <w:rPr>
          <w:rStyle w:val="normaltextrun"/>
          <w:rFonts w:eastAsia="Times New Roman" w:cstheme="minorHAnsi"/>
          <w:b/>
          <w:color w:val="000000" w:themeColor="text1"/>
          <w:sz w:val="20"/>
          <w:szCs w:val="20"/>
        </w:rPr>
      </w:pPr>
      <w:r w:rsidRPr="0043215C">
        <w:rPr>
          <w:rStyle w:val="normaltextrun"/>
          <w:rFonts w:eastAsia="Times New Roman" w:cstheme="minorHAnsi"/>
          <w:b/>
          <w:color w:val="000000" w:themeColor="text1"/>
          <w:sz w:val="20"/>
          <w:szCs w:val="20"/>
        </w:rPr>
        <w:t xml:space="preserve">The </w:t>
      </w:r>
      <w:r w:rsidR="006156CF" w:rsidRPr="0043215C">
        <w:rPr>
          <w:rStyle w:val="normaltextrun"/>
          <w:rFonts w:eastAsia="Times New Roman" w:cstheme="minorHAnsi"/>
          <w:b/>
          <w:color w:val="000000" w:themeColor="text1"/>
          <w:sz w:val="20"/>
          <w:szCs w:val="20"/>
        </w:rPr>
        <w:t>World Bank</w:t>
      </w:r>
    </w:p>
    <w:p w14:paraId="4D14CC43" w14:textId="77777777" w:rsidR="00C100D2" w:rsidRPr="0043215C" w:rsidRDefault="00C100D2" w:rsidP="00AE1BBE">
      <w:pPr>
        <w:spacing w:after="0" w:line="240" w:lineRule="auto"/>
        <w:rPr>
          <w:rStyle w:val="normaltextrun"/>
          <w:rFonts w:eastAsia="Times New Roman" w:cstheme="minorHAnsi"/>
          <w:b/>
          <w:color w:val="000000" w:themeColor="text1"/>
          <w:sz w:val="20"/>
          <w:szCs w:val="20"/>
        </w:rPr>
      </w:pPr>
    </w:p>
    <w:p w14:paraId="74B0C2F8" w14:textId="5C299793" w:rsidR="00A80F6C" w:rsidRPr="0043215C" w:rsidRDefault="3EEA4961" w:rsidP="00AE1BBE">
      <w:pPr>
        <w:spacing w:after="0" w:line="240" w:lineRule="auto"/>
        <w:rPr>
          <w:rStyle w:val="FootnoteReference"/>
          <w:rFonts w:eastAsia="Times New Roman"/>
          <w:color w:val="000000" w:themeColor="text1"/>
          <w:sz w:val="20"/>
          <w:szCs w:val="20"/>
        </w:rPr>
      </w:pPr>
      <w:r w:rsidRPr="1E9D41E1">
        <w:rPr>
          <w:rStyle w:val="normaltextrun"/>
          <w:rFonts w:eastAsia="Times New Roman"/>
          <w:b/>
          <w:color w:val="000000" w:themeColor="text1"/>
          <w:sz w:val="20"/>
          <w:szCs w:val="20"/>
        </w:rPr>
        <w:t xml:space="preserve">The </w:t>
      </w:r>
      <w:r w:rsidR="0633B43D" w:rsidRPr="1E9D41E1">
        <w:rPr>
          <w:rStyle w:val="normaltextrun"/>
          <w:rFonts w:eastAsia="Times New Roman"/>
          <w:b/>
          <w:color w:val="000000" w:themeColor="text1"/>
          <w:sz w:val="20"/>
          <w:szCs w:val="20"/>
        </w:rPr>
        <w:t xml:space="preserve">World Bank’s </w:t>
      </w:r>
      <w:r w:rsidR="09520634" w:rsidRPr="1E9D41E1">
        <w:rPr>
          <w:rStyle w:val="normaltextrun"/>
          <w:rFonts w:eastAsia="Times New Roman"/>
          <w:b/>
          <w:color w:val="000000" w:themeColor="text1"/>
          <w:sz w:val="20"/>
          <w:szCs w:val="20"/>
        </w:rPr>
        <w:t>e</w:t>
      </w:r>
      <w:r w:rsidRPr="1E9D41E1">
        <w:rPr>
          <w:rStyle w:val="normaltextrun"/>
          <w:rFonts w:eastAsia="Times New Roman"/>
          <w:b/>
          <w:color w:val="000000" w:themeColor="text1"/>
          <w:sz w:val="20"/>
          <w:szCs w:val="20"/>
        </w:rPr>
        <w:t xml:space="preserve">nergy </w:t>
      </w:r>
      <w:r w:rsidR="36B53811" w:rsidRPr="1E9D41E1">
        <w:rPr>
          <w:rStyle w:val="normaltextrun"/>
          <w:rFonts w:eastAsia="Times New Roman"/>
          <w:b/>
          <w:color w:val="000000" w:themeColor="text1"/>
          <w:sz w:val="20"/>
          <w:szCs w:val="20"/>
        </w:rPr>
        <w:t>p</w:t>
      </w:r>
      <w:r w:rsidRPr="1E9D41E1">
        <w:rPr>
          <w:rStyle w:val="normaltextrun"/>
          <w:rFonts w:eastAsia="Times New Roman"/>
          <w:b/>
          <w:color w:val="000000" w:themeColor="text1"/>
          <w:sz w:val="20"/>
          <w:szCs w:val="20"/>
        </w:rPr>
        <w:t xml:space="preserve">ortfolio in Türkiye currently includes </w:t>
      </w:r>
      <w:r w:rsidR="0071041C" w:rsidRPr="1E9D41E1">
        <w:rPr>
          <w:rStyle w:val="normaltextrun"/>
          <w:rFonts w:eastAsia="Times New Roman"/>
          <w:b/>
          <w:color w:val="000000" w:themeColor="text1"/>
          <w:sz w:val="20"/>
          <w:szCs w:val="20"/>
        </w:rPr>
        <w:t>eight</w:t>
      </w:r>
      <w:r w:rsidR="16E2D4B3" w:rsidRPr="1E9D41E1">
        <w:rPr>
          <w:rStyle w:val="normaltextrun"/>
          <w:rFonts w:eastAsia="Times New Roman"/>
          <w:b/>
          <w:color w:val="000000" w:themeColor="text1"/>
          <w:sz w:val="20"/>
          <w:szCs w:val="20"/>
        </w:rPr>
        <w:t xml:space="preserve"> </w:t>
      </w:r>
      <w:r w:rsidRPr="1E9D41E1">
        <w:rPr>
          <w:rStyle w:val="normaltextrun"/>
          <w:rFonts w:eastAsia="Times New Roman"/>
          <w:b/>
          <w:color w:val="000000" w:themeColor="text1"/>
          <w:sz w:val="20"/>
          <w:szCs w:val="20"/>
        </w:rPr>
        <w:t>operations</w:t>
      </w:r>
      <w:r w:rsidR="5F1E528F" w:rsidRPr="1E9D41E1">
        <w:rPr>
          <w:rStyle w:val="normaltextrun"/>
          <w:rFonts w:eastAsia="Times New Roman"/>
          <w:b/>
          <w:color w:val="000000" w:themeColor="text1"/>
          <w:sz w:val="20"/>
          <w:szCs w:val="20"/>
        </w:rPr>
        <w:t xml:space="preserve">, amounting </w:t>
      </w:r>
      <w:r w:rsidR="0C1CEBF3" w:rsidRPr="1E9D41E1">
        <w:rPr>
          <w:rStyle w:val="normaltextrun"/>
          <w:rFonts w:eastAsia="Times New Roman"/>
          <w:b/>
          <w:color w:val="000000" w:themeColor="text1"/>
          <w:sz w:val="20"/>
          <w:szCs w:val="20"/>
        </w:rPr>
        <w:t xml:space="preserve">to </w:t>
      </w:r>
      <w:r w:rsidR="5F1E528F" w:rsidRPr="1E9D41E1">
        <w:rPr>
          <w:rStyle w:val="normaltextrun"/>
          <w:rFonts w:eastAsia="Times New Roman"/>
          <w:b/>
          <w:color w:val="000000" w:themeColor="text1"/>
          <w:sz w:val="20"/>
          <w:szCs w:val="20"/>
        </w:rPr>
        <w:t xml:space="preserve">over </w:t>
      </w:r>
      <w:r w:rsidR="00636124" w:rsidRPr="1E9D41E1">
        <w:rPr>
          <w:rStyle w:val="normaltextrun"/>
          <w:rFonts w:eastAsia="Times New Roman"/>
          <w:b/>
          <w:color w:val="000000" w:themeColor="text1"/>
          <w:sz w:val="20"/>
          <w:szCs w:val="20"/>
        </w:rPr>
        <w:t>US$</w:t>
      </w:r>
      <w:r w:rsidR="5F1E528F" w:rsidRPr="1E9D41E1">
        <w:rPr>
          <w:rStyle w:val="normaltextrun"/>
          <w:rFonts w:eastAsia="Times New Roman"/>
          <w:b/>
          <w:color w:val="000000" w:themeColor="text1"/>
          <w:sz w:val="20"/>
          <w:szCs w:val="20"/>
        </w:rPr>
        <w:t>3</w:t>
      </w:r>
      <w:r w:rsidR="00E802D1" w:rsidRPr="1E9D41E1">
        <w:rPr>
          <w:rStyle w:val="normaltextrun"/>
          <w:rFonts w:eastAsia="Times New Roman"/>
          <w:b/>
          <w:color w:val="000000" w:themeColor="text1"/>
          <w:sz w:val="20"/>
          <w:szCs w:val="20"/>
        </w:rPr>
        <w:t>.</w:t>
      </w:r>
      <w:r w:rsidR="004B1FD1" w:rsidRPr="1E9D41E1">
        <w:rPr>
          <w:rStyle w:val="normaltextrun"/>
          <w:rFonts w:eastAsia="Times New Roman"/>
          <w:b/>
          <w:color w:val="000000" w:themeColor="text1"/>
          <w:sz w:val="20"/>
          <w:szCs w:val="20"/>
        </w:rPr>
        <w:t>5</w:t>
      </w:r>
      <w:r w:rsidR="003904CF" w:rsidRPr="1E9D41E1">
        <w:rPr>
          <w:rStyle w:val="normaltextrun"/>
          <w:rFonts w:eastAsia="Times New Roman"/>
          <w:b/>
          <w:color w:val="000000" w:themeColor="text1"/>
          <w:sz w:val="20"/>
          <w:szCs w:val="20"/>
        </w:rPr>
        <w:t> </w:t>
      </w:r>
      <w:r w:rsidR="5F1E528F" w:rsidRPr="1E9D41E1">
        <w:rPr>
          <w:rStyle w:val="normaltextrun"/>
          <w:rFonts w:eastAsia="Times New Roman"/>
          <w:b/>
          <w:color w:val="000000" w:themeColor="text1"/>
          <w:sz w:val="20"/>
          <w:szCs w:val="20"/>
        </w:rPr>
        <w:t>billion</w:t>
      </w:r>
      <w:r w:rsidR="3F920347" w:rsidRPr="1E9D41E1">
        <w:rPr>
          <w:rStyle w:val="normaltextrun"/>
          <w:rFonts w:eastAsia="Times New Roman"/>
          <w:b/>
          <w:color w:val="000000" w:themeColor="text1"/>
          <w:sz w:val="20"/>
          <w:szCs w:val="20"/>
        </w:rPr>
        <w:t xml:space="preserve">, </w:t>
      </w:r>
      <w:r w:rsidR="64DE5876" w:rsidRPr="1E9D41E1">
        <w:rPr>
          <w:rStyle w:val="normaltextrun"/>
          <w:rFonts w:eastAsia="Times New Roman"/>
          <w:b/>
          <w:color w:val="000000" w:themeColor="text1"/>
          <w:sz w:val="20"/>
          <w:szCs w:val="20"/>
        </w:rPr>
        <w:t xml:space="preserve">which will be expanded with </w:t>
      </w:r>
      <w:r w:rsidR="3F920347" w:rsidRPr="1E9D41E1">
        <w:rPr>
          <w:rStyle w:val="normaltextrun"/>
          <w:rFonts w:eastAsia="Times New Roman"/>
          <w:b/>
          <w:color w:val="000000" w:themeColor="text1"/>
          <w:sz w:val="20"/>
          <w:szCs w:val="20"/>
        </w:rPr>
        <w:t>a healthy pipeline of new operations amounting to nearly</w:t>
      </w:r>
      <w:r w:rsidR="4A90872C" w:rsidRPr="1E9D41E1">
        <w:rPr>
          <w:rStyle w:val="normaltextrun"/>
          <w:rFonts w:eastAsia="Times New Roman"/>
          <w:b/>
          <w:color w:val="000000" w:themeColor="text1"/>
          <w:sz w:val="20"/>
          <w:szCs w:val="20"/>
        </w:rPr>
        <w:t xml:space="preserve"> </w:t>
      </w:r>
      <w:r w:rsidR="07A427B3" w:rsidRPr="1E9D41E1">
        <w:rPr>
          <w:rStyle w:val="normaltextrun"/>
          <w:rFonts w:eastAsia="Times New Roman"/>
          <w:b/>
          <w:color w:val="000000" w:themeColor="text1"/>
          <w:sz w:val="20"/>
          <w:szCs w:val="20"/>
        </w:rPr>
        <w:t xml:space="preserve">again </w:t>
      </w:r>
      <w:r w:rsidR="00636124" w:rsidRPr="1E9D41E1">
        <w:rPr>
          <w:rStyle w:val="normaltextrun"/>
          <w:rFonts w:eastAsia="Times New Roman"/>
          <w:b/>
          <w:color w:val="000000" w:themeColor="text1"/>
          <w:sz w:val="20"/>
          <w:szCs w:val="20"/>
        </w:rPr>
        <w:t>US$</w:t>
      </w:r>
      <w:r w:rsidR="4A90872C" w:rsidRPr="1E9D41E1">
        <w:rPr>
          <w:rStyle w:val="normaltextrun"/>
          <w:rFonts w:eastAsia="Times New Roman"/>
          <w:b/>
          <w:color w:val="000000" w:themeColor="text1"/>
          <w:sz w:val="20"/>
          <w:szCs w:val="20"/>
        </w:rPr>
        <w:t>3 billion.</w:t>
      </w:r>
      <w:r w:rsidRPr="1E9D41E1">
        <w:rPr>
          <w:rStyle w:val="normaltextrun"/>
          <w:rFonts w:eastAsia="Times New Roman"/>
          <w:b/>
          <w:color w:val="000000" w:themeColor="text1"/>
          <w:sz w:val="20"/>
          <w:szCs w:val="20"/>
        </w:rPr>
        <w:t xml:space="preserve"> </w:t>
      </w:r>
      <w:r w:rsidR="1B62EA20" w:rsidRPr="1E9D41E1">
        <w:rPr>
          <w:rStyle w:val="normaltextrun"/>
          <w:rFonts w:eastAsia="Times New Roman"/>
          <w:color w:val="000000" w:themeColor="text1"/>
          <w:sz w:val="20"/>
          <w:szCs w:val="20"/>
        </w:rPr>
        <w:t>The World Bank’</w:t>
      </w:r>
      <w:r w:rsidR="4C5717E6" w:rsidRPr="1E9D41E1">
        <w:rPr>
          <w:rStyle w:val="normaltextrun"/>
          <w:rFonts w:eastAsia="Times New Roman"/>
          <w:color w:val="000000" w:themeColor="text1"/>
          <w:sz w:val="20"/>
          <w:szCs w:val="20"/>
        </w:rPr>
        <w:t>s</w:t>
      </w:r>
      <w:r w:rsidR="1B62EA20" w:rsidRPr="1E9D41E1">
        <w:rPr>
          <w:rStyle w:val="normaltextrun"/>
          <w:rFonts w:eastAsia="Times New Roman"/>
          <w:color w:val="000000" w:themeColor="text1"/>
          <w:sz w:val="20"/>
          <w:szCs w:val="20"/>
        </w:rPr>
        <w:t xml:space="preserve"> </w:t>
      </w:r>
      <w:r w:rsidR="009C3A57" w:rsidRPr="1E9D41E1">
        <w:rPr>
          <w:rStyle w:val="normaltextrun"/>
          <w:rFonts w:eastAsia="Times New Roman"/>
          <w:color w:val="000000" w:themeColor="text1"/>
          <w:sz w:val="20"/>
          <w:szCs w:val="20"/>
        </w:rPr>
        <w:t>Türkiye</w:t>
      </w:r>
      <w:r w:rsidR="1B62EA20" w:rsidRPr="1E9D41E1">
        <w:rPr>
          <w:rStyle w:val="normaltextrun"/>
          <w:rFonts w:eastAsia="Times New Roman"/>
          <w:color w:val="000000" w:themeColor="text1"/>
          <w:sz w:val="20"/>
          <w:szCs w:val="20"/>
        </w:rPr>
        <w:t xml:space="preserve"> energy sector p</w:t>
      </w:r>
      <w:r w:rsidR="003904CF" w:rsidRPr="1E9D41E1">
        <w:rPr>
          <w:rStyle w:val="normaltextrun"/>
          <w:rFonts w:eastAsia="Times New Roman"/>
          <w:color w:val="000000" w:themeColor="text1"/>
          <w:sz w:val="20"/>
          <w:szCs w:val="20"/>
        </w:rPr>
        <w:t>ortfolio</w:t>
      </w:r>
      <w:r w:rsidR="1B62EA20" w:rsidRPr="1E9D41E1">
        <w:rPr>
          <w:rStyle w:val="normaltextrun"/>
          <w:rFonts w:eastAsia="Times New Roman"/>
          <w:color w:val="000000" w:themeColor="text1"/>
          <w:sz w:val="20"/>
          <w:szCs w:val="20"/>
        </w:rPr>
        <w:t xml:space="preserve"> consists of </w:t>
      </w:r>
      <w:r w:rsidR="0066259F" w:rsidRPr="1E9D41E1">
        <w:rPr>
          <w:rStyle w:val="normaltextrun"/>
          <w:rFonts w:eastAsia="Times New Roman"/>
          <w:color w:val="000000" w:themeColor="text1"/>
          <w:sz w:val="20"/>
          <w:szCs w:val="20"/>
        </w:rPr>
        <w:t>four</w:t>
      </w:r>
      <w:r w:rsidR="639ECBB9" w:rsidRPr="1E9D41E1">
        <w:rPr>
          <w:rStyle w:val="normaltextrun"/>
          <w:rFonts w:eastAsia="Times New Roman"/>
          <w:color w:val="000000" w:themeColor="text1"/>
          <w:sz w:val="20"/>
          <w:szCs w:val="20"/>
        </w:rPr>
        <w:t xml:space="preserve"> </w:t>
      </w:r>
      <w:r w:rsidR="7CE4EB42" w:rsidRPr="1E9D41E1">
        <w:rPr>
          <w:rStyle w:val="normaltextrun"/>
          <w:rFonts w:eastAsia="Times New Roman"/>
          <w:color w:val="000000" w:themeColor="text1"/>
          <w:sz w:val="20"/>
          <w:szCs w:val="20"/>
        </w:rPr>
        <w:t xml:space="preserve">projects </w:t>
      </w:r>
      <w:r w:rsidR="00DF1745" w:rsidRPr="1E9D41E1">
        <w:rPr>
          <w:rStyle w:val="normaltextrun"/>
          <w:rFonts w:eastAsia="Times New Roman"/>
          <w:color w:val="000000" w:themeColor="text1"/>
          <w:sz w:val="20"/>
          <w:szCs w:val="20"/>
        </w:rPr>
        <w:t xml:space="preserve">(including some </w:t>
      </w:r>
      <w:r w:rsidR="006C695E" w:rsidRPr="1E9D41E1">
        <w:rPr>
          <w:rStyle w:val="normaltextrun"/>
          <w:rFonts w:eastAsia="Times New Roman"/>
          <w:color w:val="000000" w:themeColor="text1"/>
          <w:sz w:val="20"/>
          <w:szCs w:val="20"/>
        </w:rPr>
        <w:t xml:space="preserve">with </w:t>
      </w:r>
      <w:r w:rsidR="00DF1745" w:rsidRPr="1E9D41E1">
        <w:rPr>
          <w:rStyle w:val="normaltextrun"/>
          <w:rFonts w:eastAsia="Times New Roman"/>
          <w:color w:val="000000" w:themeColor="text1"/>
          <w:sz w:val="20"/>
          <w:szCs w:val="20"/>
        </w:rPr>
        <w:t xml:space="preserve">additional financing) </w:t>
      </w:r>
      <w:r w:rsidR="006C695E" w:rsidRPr="1E9D41E1">
        <w:rPr>
          <w:rStyle w:val="normaltextrun"/>
          <w:rFonts w:eastAsia="Times New Roman"/>
          <w:color w:val="000000" w:themeColor="text1"/>
          <w:sz w:val="20"/>
          <w:szCs w:val="20"/>
        </w:rPr>
        <w:t xml:space="preserve">that </w:t>
      </w:r>
      <w:r w:rsidR="008C357D" w:rsidRPr="1E9D41E1">
        <w:rPr>
          <w:rStyle w:val="normaltextrun"/>
          <w:rFonts w:eastAsia="Times New Roman"/>
          <w:color w:val="000000" w:themeColor="text1"/>
          <w:sz w:val="20"/>
          <w:szCs w:val="20"/>
        </w:rPr>
        <w:t>contribute to enabling</w:t>
      </w:r>
      <w:r w:rsidRPr="1E9D41E1">
        <w:rPr>
          <w:rStyle w:val="normaltextrun"/>
          <w:rFonts w:eastAsia="Times New Roman"/>
          <w:color w:val="000000" w:themeColor="text1"/>
          <w:sz w:val="20"/>
          <w:szCs w:val="20"/>
        </w:rPr>
        <w:t xml:space="preserve"> renewable energy </w:t>
      </w:r>
      <w:r w:rsidR="008C357D" w:rsidRPr="1E9D41E1">
        <w:rPr>
          <w:rStyle w:val="normaltextrun"/>
          <w:rFonts w:eastAsia="Times New Roman"/>
          <w:color w:val="000000" w:themeColor="text1"/>
          <w:sz w:val="20"/>
          <w:szCs w:val="20"/>
        </w:rPr>
        <w:t xml:space="preserve">capacity </w:t>
      </w:r>
      <w:r w:rsidRPr="1E9D41E1">
        <w:rPr>
          <w:rStyle w:val="normaltextrun"/>
          <w:rFonts w:eastAsia="Times New Roman"/>
          <w:color w:val="000000" w:themeColor="text1"/>
          <w:sz w:val="20"/>
          <w:szCs w:val="20"/>
        </w:rPr>
        <w:t>(Renewable Energy Integration, Geothermal Development</w:t>
      </w:r>
      <w:r w:rsidR="7EB8219B" w:rsidRPr="1E9D41E1">
        <w:rPr>
          <w:rStyle w:val="normaltextrun"/>
          <w:rFonts w:eastAsia="Times New Roman"/>
          <w:color w:val="000000" w:themeColor="text1"/>
          <w:sz w:val="20"/>
          <w:szCs w:val="20"/>
        </w:rPr>
        <w:t>,</w:t>
      </w:r>
      <w:r w:rsidRPr="1E9D41E1">
        <w:rPr>
          <w:rStyle w:val="normaltextrun"/>
          <w:rFonts w:eastAsia="Times New Roman"/>
          <w:color w:val="000000" w:themeColor="text1"/>
          <w:sz w:val="20"/>
          <w:szCs w:val="20"/>
        </w:rPr>
        <w:t xml:space="preserve"> Public and Municipal RE Project</w:t>
      </w:r>
      <w:r w:rsidR="006C695E" w:rsidRPr="1E9D41E1">
        <w:rPr>
          <w:rStyle w:val="normaltextrun"/>
          <w:rFonts w:eastAsia="Times New Roman"/>
          <w:color w:val="000000" w:themeColor="text1"/>
          <w:sz w:val="20"/>
          <w:szCs w:val="20"/>
        </w:rPr>
        <w:t>;</w:t>
      </w:r>
      <w:r w:rsidR="7E5CA38F" w:rsidRPr="1E9D41E1">
        <w:rPr>
          <w:rStyle w:val="normaltextrun"/>
          <w:rFonts w:eastAsia="Times New Roman"/>
          <w:color w:val="000000" w:themeColor="text1"/>
          <w:sz w:val="20"/>
          <w:szCs w:val="20"/>
        </w:rPr>
        <w:t xml:space="preserve"> </w:t>
      </w:r>
      <w:r w:rsidR="0FBE0B06" w:rsidRPr="1E9D41E1">
        <w:rPr>
          <w:rStyle w:val="eop"/>
          <w:rFonts w:eastAsia="Times New Roman"/>
          <w:color w:val="000000" w:themeColor="text1"/>
          <w:sz w:val="20"/>
          <w:szCs w:val="20"/>
        </w:rPr>
        <w:t>Accelerating the Market Transition for Distributed Energy</w:t>
      </w:r>
      <w:r w:rsidRPr="1E9D41E1">
        <w:rPr>
          <w:rStyle w:val="normaltextrun"/>
          <w:rFonts w:eastAsia="Times New Roman"/>
          <w:color w:val="000000" w:themeColor="text1"/>
          <w:sz w:val="20"/>
          <w:szCs w:val="20"/>
        </w:rPr>
        <w:t>)</w:t>
      </w:r>
      <w:r w:rsidR="4E9D1F55" w:rsidRPr="1E9D41E1">
        <w:rPr>
          <w:rStyle w:val="normaltextrun"/>
          <w:rFonts w:eastAsia="Times New Roman"/>
          <w:color w:val="000000" w:themeColor="text1"/>
          <w:sz w:val="20"/>
          <w:szCs w:val="20"/>
        </w:rPr>
        <w:t>,</w:t>
      </w:r>
      <w:r w:rsidRPr="1E9D41E1">
        <w:rPr>
          <w:rStyle w:val="normaltextrun"/>
          <w:rFonts w:eastAsia="Times New Roman"/>
          <w:color w:val="000000" w:themeColor="text1"/>
          <w:sz w:val="20"/>
          <w:szCs w:val="20"/>
        </w:rPr>
        <w:t xml:space="preserve"> </w:t>
      </w:r>
      <w:r w:rsidR="00300D5D" w:rsidRPr="1E9D41E1">
        <w:rPr>
          <w:rStyle w:val="normaltextrun"/>
          <w:rFonts w:eastAsia="Times New Roman"/>
          <w:color w:val="000000" w:themeColor="text1"/>
          <w:sz w:val="20"/>
          <w:szCs w:val="20"/>
        </w:rPr>
        <w:t>four</w:t>
      </w:r>
      <w:r w:rsidRPr="1E9D41E1">
        <w:rPr>
          <w:rStyle w:val="normaltextrun"/>
          <w:rFonts w:eastAsia="Times New Roman"/>
          <w:color w:val="000000" w:themeColor="text1"/>
          <w:sz w:val="20"/>
          <w:szCs w:val="20"/>
        </w:rPr>
        <w:t xml:space="preserve"> in energy efficiency (</w:t>
      </w:r>
      <w:r w:rsidR="00300D5D" w:rsidRPr="1E9D41E1">
        <w:rPr>
          <w:rStyle w:val="normaltextrun"/>
          <w:rFonts w:eastAsia="Times New Roman"/>
          <w:color w:val="000000" w:themeColor="text1"/>
          <w:sz w:val="20"/>
          <w:szCs w:val="20"/>
        </w:rPr>
        <w:t xml:space="preserve">First and Second </w:t>
      </w:r>
      <w:r w:rsidRPr="1E9D41E1">
        <w:rPr>
          <w:rStyle w:val="normaltextrun"/>
          <w:rFonts w:eastAsia="Times New Roman"/>
          <w:color w:val="000000" w:themeColor="text1"/>
          <w:sz w:val="20"/>
          <w:szCs w:val="20"/>
        </w:rPr>
        <w:t>Energy Efficiency in Public Buildings</w:t>
      </w:r>
      <w:r w:rsidR="00F67F7C" w:rsidRPr="1E9D41E1">
        <w:rPr>
          <w:rStyle w:val="normaltextrun"/>
          <w:rFonts w:eastAsia="Times New Roman"/>
          <w:color w:val="000000" w:themeColor="text1"/>
          <w:sz w:val="20"/>
          <w:szCs w:val="20"/>
        </w:rPr>
        <w:t xml:space="preserve"> </w:t>
      </w:r>
      <w:r w:rsidR="00126449" w:rsidRPr="1E9D41E1">
        <w:rPr>
          <w:rStyle w:val="normaltextrun"/>
          <w:rFonts w:eastAsia="Times New Roman"/>
          <w:color w:val="000000" w:themeColor="text1"/>
          <w:sz w:val="20"/>
          <w:szCs w:val="20"/>
        </w:rPr>
        <w:t>Project</w:t>
      </w:r>
      <w:r w:rsidR="00300D5D" w:rsidRPr="1E9D41E1">
        <w:rPr>
          <w:rStyle w:val="normaltextrun"/>
          <w:rFonts w:eastAsia="Times New Roman"/>
          <w:color w:val="000000" w:themeColor="text1"/>
          <w:sz w:val="20"/>
          <w:szCs w:val="20"/>
        </w:rPr>
        <w:t>s</w:t>
      </w:r>
      <w:r w:rsidR="007A5B03" w:rsidRPr="1E9D41E1">
        <w:rPr>
          <w:rStyle w:val="normaltextrun"/>
          <w:rFonts w:eastAsia="DengXian"/>
          <w:color w:val="000000" w:themeColor="text1"/>
          <w:sz w:val="20"/>
          <w:szCs w:val="20"/>
        </w:rPr>
        <w:t xml:space="preserve">, </w:t>
      </w:r>
      <w:r w:rsidR="00BF0F5E" w:rsidRPr="1E9D41E1">
        <w:rPr>
          <w:rStyle w:val="normaltextrun"/>
          <w:rFonts w:eastAsia="DengXian"/>
          <w:color w:val="000000" w:themeColor="text1"/>
          <w:sz w:val="20"/>
          <w:szCs w:val="20"/>
        </w:rPr>
        <w:t xml:space="preserve">Seismic Resilience and Energy Efficiency </w:t>
      </w:r>
      <w:r w:rsidR="0030157F" w:rsidRPr="1E9D41E1">
        <w:rPr>
          <w:rStyle w:val="normaltextrun"/>
          <w:rFonts w:eastAsia="DengXian"/>
          <w:color w:val="000000" w:themeColor="text1"/>
          <w:sz w:val="20"/>
          <w:szCs w:val="20"/>
        </w:rPr>
        <w:t>in Public Buildings</w:t>
      </w:r>
      <w:r w:rsidR="004C1241" w:rsidRPr="1E9D41E1">
        <w:rPr>
          <w:rStyle w:val="normaltextrun"/>
          <w:rFonts w:eastAsia="DengXian"/>
          <w:color w:val="000000" w:themeColor="text1"/>
          <w:sz w:val="20"/>
          <w:szCs w:val="20"/>
        </w:rPr>
        <w:t xml:space="preserve"> and</w:t>
      </w:r>
      <w:r w:rsidR="0030157F" w:rsidRPr="1E9D41E1">
        <w:rPr>
          <w:rStyle w:val="normaltextrun"/>
          <w:rFonts w:eastAsia="DengXian"/>
          <w:color w:val="000000" w:themeColor="text1"/>
          <w:sz w:val="20"/>
          <w:szCs w:val="20"/>
        </w:rPr>
        <w:t xml:space="preserve"> </w:t>
      </w:r>
      <w:r w:rsidR="00B41BBF" w:rsidRPr="1E9D41E1">
        <w:rPr>
          <w:rStyle w:val="normaltextrun"/>
          <w:rFonts w:eastAsia="DengXian"/>
          <w:color w:val="000000" w:themeColor="text1"/>
          <w:sz w:val="20"/>
          <w:szCs w:val="20"/>
        </w:rPr>
        <w:t>Türkiye</w:t>
      </w:r>
      <w:r w:rsidR="0030157F" w:rsidRPr="1E9D41E1">
        <w:rPr>
          <w:rStyle w:val="normaltextrun"/>
          <w:rFonts w:eastAsia="DengXian"/>
          <w:color w:val="000000" w:themeColor="text1"/>
          <w:sz w:val="20"/>
          <w:szCs w:val="20"/>
        </w:rPr>
        <w:t xml:space="preserve"> </w:t>
      </w:r>
      <w:r w:rsidR="00DA05C8" w:rsidRPr="1E9D41E1">
        <w:rPr>
          <w:rStyle w:val="normaltextrun"/>
          <w:rFonts w:eastAsia="DengXian"/>
          <w:color w:val="000000" w:themeColor="text1"/>
          <w:sz w:val="20"/>
          <w:szCs w:val="20"/>
        </w:rPr>
        <w:t xml:space="preserve">Organized </w:t>
      </w:r>
      <w:r w:rsidR="00744580" w:rsidRPr="1E9D41E1">
        <w:rPr>
          <w:rStyle w:val="normaltextrun"/>
          <w:rFonts w:eastAsia="DengXian"/>
          <w:color w:val="000000" w:themeColor="text1"/>
          <w:sz w:val="20"/>
          <w:szCs w:val="20"/>
        </w:rPr>
        <w:t>Industrial Zones</w:t>
      </w:r>
      <w:r w:rsidRPr="1E9D41E1">
        <w:rPr>
          <w:rStyle w:val="normaltextrun"/>
          <w:rFonts w:eastAsia="Times New Roman"/>
          <w:color w:val="000000" w:themeColor="text1"/>
          <w:sz w:val="20"/>
          <w:szCs w:val="20"/>
        </w:rPr>
        <w:t>)</w:t>
      </w:r>
      <w:r w:rsidR="47BBDB4F" w:rsidRPr="1E9D41E1">
        <w:rPr>
          <w:rStyle w:val="normaltextrun"/>
          <w:rFonts w:eastAsia="Times New Roman"/>
          <w:color w:val="000000" w:themeColor="text1"/>
          <w:sz w:val="20"/>
          <w:szCs w:val="20"/>
        </w:rPr>
        <w:t xml:space="preserve"> </w:t>
      </w:r>
      <w:r w:rsidR="09D310E2" w:rsidRPr="1E9D41E1">
        <w:rPr>
          <w:rStyle w:val="normaltextrun"/>
          <w:rFonts w:eastAsia="Times New Roman"/>
          <w:color w:val="000000" w:themeColor="text1"/>
          <w:sz w:val="20"/>
          <w:szCs w:val="20"/>
        </w:rPr>
        <w:t xml:space="preserve">and </w:t>
      </w:r>
      <w:r w:rsidR="47BBDB4F" w:rsidRPr="1E9D41E1">
        <w:rPr>
          <w:rStyle w:val="normaltextrun"/>
          <w:rFonts w:eastAsia="Times New Roman"/>
          <w:color w:val="000000" w:themeColor="text1"/>
          <w:sz w:val="20"/>
          <w:szCs w:val="20"/>
        </w:rPr>
        <w:t>one in the gas sector (Gas Storage Expansion Project - GSEP)</w:t>
      </w:r>
      <w:r w:rsidRPr="1E9D41E1">
        <w:rPr>
          <w:rStyle w:val="normaltextrun"/>
          <w:rFonts w:eastAsia="Times New Roman"/>
          <w:color w:val="000000" w:themeColor="text1"/>
          <w:sz w:val="20"/>
          <w:szCs w:val="20"/>
        </w:rPr>
        <w:t xml:space="preserve">. </w:t>
      </w:r>
      <w:r w:rsidR="000C02FD" w:rsidRPr="1E9D41E1">
        <w:rPr>
          <w:rStyle w:val="normaltextrun"/>
          <w:rFonts w:eastAsia="Times New Roman"/>
          <w:color w:val="000000" w:themeColor="text1"/>
          <w:sz w:val="20"/>
          <w:szCs w:val="20"/>
        </w:rPr>
        <w:t xml:space="preserve">In 2023, </w:t>
      </w:r>
      <w:r w:rsidR="00DE5BDB" w:rsidRPr="1E9D41E1">
        <w:rPr>
          <w:rStyle w:val="normaltextrun"/>
          <w:rFonts w:eastAsia="Times New Roman"/>
          <w:color w:val="000000" w:themeColor="text1"/>
          <w:sz w:val="20"/>
          <w:szCs w:val="20"/>
        </w:rPr>
        <w:t>this portfolio enabled</w:t>
      </w:r>
      <w:r w:rsidR="000C02FD" w:rsidRPr="1E9D41E1">
        <w:rPr>
          <w:rStyle w:val="normaltextrun"/>
          <w:rFonts w:eastAsia="Times New Roman"/>
          <w:color w:val="000000" w:themeColor="text1"/>
          <w:sz w:val="20"/>
          <w:szCs w:val="20"/>
        </w:rPr>
        <w:t xml:space="preserve"> 956 MW </w:t>
      </w:r>
      <w:r w:rsidR="00DE5BDB" w:rsidRPr="1E9D41E1">
        <w:rPr>
          <w:rStyle w:val="normaltextrun"/>
          <w:rFonts w:eastAsia="Times New Roman"/>
          <w:color w:val="000000" w:themeColor="text1"/>
          <w:sz w:val="20"/>
          <w:szCs w:val="20"/>
        </w:rPr>
        <w:t xml:space="preserve">of renewable energy and the portfolio is expected to enable </w:t>
      </w:r>
      <w:r w:rsidR="000C02FD" w:rsidRPr="1E9D41E1">
        <w:rPr>
          <w:rStyle w:val="normaltextrun"/>
          <w:rFonts w:eastAsia="Times New Roman"/>
          <w:color w:val="000000" w:themeColor="text1"/>
          <w:sz w:val="20"/>
          <w:szCs w:val="20"/>
        </w:rPr>
        <w:t>2,273 MW</w:t>
      </w:r>
      <w:r w:rsidR="00DE5BDB" w:rsidRPr="1E9D41E1">
        <w:rPr>
          <w:rStyle w:val="normaltextrun"/>
          <w:rFonts w:eastAsia="Times New Roman"/>
          <w:color w:val="000000" w:themeColor="text1"/>
          <w:sz w:val="20"/>
          <w:szCs w:val="20"/>
        </w:rPr>
        <w:t xml:space="preserve"> by 2028</w:t>
      </w:r>
      <w:r w:rsidR="000C02FD" w:rsidRPr="1E9D41E1">
        <w:rPr>
          <w:rStyle w:val="normaltextrun"/>
          <w:rFonts w:eastAsia="Times New Roman"/>
          <w:color w:val="000000" w:themeColor="text1"/>
          <w:sz w:val="20"/>
          <w:szCs w:val="20"/>
        </w:rPr>
        <w:t xml:space="preserve">. </w:t>
      </w:r>
      <w:r w:rsidRPr="1E9D41E1">
        <w:rPr>
          <w:rStyle w:val="normaltextrun"/>
          <w:rFonts w:eastAsia="Times New Roman"/>
          <w:color w:val="000000" w:themeColor="text1"/>
          <w:sz w:val="20"/>
          <w:szCs w:val="20"/>
        </w:rPr>
        <w:t xml:space="preserve">Three </w:t>
      </w:r>
      <w:r w:rsidR="002B9BB7" w:rsidRPr="1E9D41E1">
        <w:rPr>
          <w:rStyle w:val="normaltextrun"/>
          <w:rFonts w:eastAsia="Times New Roman"/>
          <w:color w:val="000000" w:themeColor="text1"/>
          <w:sz w:val="20"/>
          <w:szCs w:val="20"/>
        </w:rPr>
        <w:t>technical assistance p</w:t>
      </w:r>
      <w:r w:rsidRPr="1E9D41E1">
        <w:rPr>
          <w:rStyle w:val="normaltextrun"/>
          <w:rFonts w:eastAsia="Times New Roman"/>
          <w:color w:val="000000" w:themeColor="text1"/>
          <w:sz w:val="20"/>
          <w:szCs w:val="20"/>
        </w:rPr>
        <w:t>roject</w:t>
      </w:r>
      <w:r w:rsidR="54455479" w:rsidRPr="1E9D41E1">
        <w:rPr>
          <w:rStyle w:val="normaltextrun"/>
          <w:rFonts w:eastAsia="Times New Roman"/>
          <w:color w:val="000000" w:themeColor="text1"/>
          <w:sz w:val="20"/>
          <w:szCs w:val="20"/>
        </w:rPr>
        <w:t>s</w:t>
      </w:r>
      <w:r w:rsidRPr="1E9D41E1">
        <w:rPr>
          <w:rStyle w:val="normaltextrun"/>
          <w:rFonts w:eastAsia="Times New Roman"/>
          <w:color w:val="000000" w:themeColor="text1"/>
          <w:sz w:val="20"/>
          <w:szCs w:val="20"/>
        </w:rPr>
        <w:t xml:space="preserve"> have also recently been approved</w:t>
      </w:r>
      <w:r w:rsidR="00F00DF4" w:rsidRPr="1E9D41E1">
        <w:rPr>
          <w:rStyle w:val="normaltextrun"/>
          <w:rFonts w:eastAsia="Times New Roman"/>
          <w:color w:val="000000" w:themeColor="text1"/>
          <w:sz w:val="20"/>
          <w:szCs w:val="20"/>
        </w:rPr>
        <w:t>:</w:t>
      </w:r>
      <w:r w:rsidRPr="1E9D41E1">
        <w:rPr>
          <w:rStyle w:val="normaltextrun"/>
          <w:rFonts w:eastAsia="Times New Roman"/>
          <w:color w:val="000000" w:themeColor="text1"/>
          <w:sz w:val="20"/>
          <w:szCs w:val="20"/>
        </w:rPr>
        <w:t xml:space="preserve"> two under the IPA 2 (Phase</w:t>
      </w:r>
      <w:r w:rsidR="5BA8DA3C" w:rsidRPr="1E9D41E1">
        <w:rPr>
          <w:rStyle w:val="normaltextrun"/>
          <w:rFonts w:eastAsia="Times New Roman"/>
          <w:color w:val="000000" w:themeColor="text1"/>
          <w:sz w:val="20"/>
          <w:szCs w:val="20"/>
        </w:rPr>
        <w:t>s</w:t>
      </w:r>
      <w:r w:rsidRPr="1E9D41E1">
        <w:rPr>
          <w:rStyle w:val="normaltextrun"/>
          <w:rFonts w:eastAsia="Times New Roman"/>
          <w:color w:val="000000" w:themeColor="text1"/>
          <w:sz w:val="20"/>
          <w:szCs w:val="20"/>
        </w:rPr>
        <w:t xml:space="preserve"> 3 and 4) </w:t>
      </w:r>
      <w:r w:rsidR="0009729B" w:rsidRPr="1E9D41E1">
        <w:rPr>
          <w:rStyle w:val="normaltextrun"/>
          <w:rFonts w:eastAsia="Times New Roman"/>
          <w:color w:val="000000" w:themeColor="text1"/>
          <w:sz w:val="20"/>
          <w:szCs w:val="20"/>
        </w:rPr>
        <w:t xml:space="preserve">to support analytical work </w:t>
      </w:r>
      <w:r w:rsidR="00296C91" w:rsidRPr="1E9D41E1">
        <w:rPr>
          <w:rStyle w:val="normaltextrun"/>
          <w:rFonts w:eastAsia="Times New Roman"/>
          <w:color w:val="000000" w:themeColor="text1"/>
          <w:sz w:val="20"/>
          <w:szCs w:val="20"/>
        </w:rPr>
        <w:t xml:space="preserve">and de-risk offshore wind </w:t>
      </w:r>
      <w:r w:rsidRPr="1E9D41E1">
        <w:rPr>
          <w:rStyle w:val="normaltextrun"/>
          <w:rFonts w:eastAsia="Times New Roman"/>
          <w:color w:val="000000" w:themeColor="text1"/>
          <w:sz w:val="20"/>
          <w:szCs w:val="20"/>
        </w:rPr>
        <w:t xml:space="preserve">and one to support </w:t>
      </w:r>
      <w:r w:rsidR="00825B87" w:rsidRPr="1E9D41E1">
        <w:rPr>
          <w:rStyle w:val="normaltextrun"/>
          <w:rFonts w:eastAsia="Times New Roman"/>
          <w:color w:val="000000" w:themeColor="text1"/>
          <w:sz w:val="20"/>
          <w:szCs w:val="20"/>
        </w:rPr>
        <w:t>Partnership for Market Implementation (</w:t>
      </w:r>
      <w:r w:rsidRPr="1E9D41E1">
        <w:rPr>
          <w:rStyle w:val="normaltextrun"/>
          <w:rFonts w:eastAsia="Times New Roman"/>
          <w:color w:val="000000" w:themeColor="text1"/>
          <w:sz w:val="20"/>
          <w:szCs w:val="20"/>
        </w:rPr>
        <w:t>PMI</w:t>
      </w:r>
      <w:r w:rsidR="00825B87" w:rsidRPr="1E9D41E1">
        <w:rPr>
          <w:rStyle w:val="normaltextrun"/>
          <w:rFonts w:eastAsia="Times New Roman"/>
          <w:color w:val="000000" w:themeColor="text1"/>
          <w:sz w:val="20"/>
          <w:szCs w:val="20"/>
        </w:rPr>
        <w:t>) Program</w:t>
      </w:r>
      <w:r w:rsidR="6B4D84BC" w:rsidRPr="1E9D41E1">
        <w:rPr>
          <w:rStyle w:val="normaltextrun"/>
          <w:rFonts w:eastAsia="Times New Roman"/>
          <w:color w:val="000000" w:themeColor="text1"/>
          <w:sz w:val="20"/>
          <w:szCs w:val="20"/>
        </w:rPr>
        <w:t>.</w:t>
      </w:r>
      <w:r w:rsidR="2A390003" w:rsidRPr="1E9D41E1">
        <w:rPr>
          <w:rStyle w:val="normaltextrun"/>
          <w:rFonts w:eastAsia="Times New Roman"/>
          <w:color w:val="000000" w:themeColor="text1"/>
          <w:sz w:val="20"/>
          <w:szCs w:val="20"/>
        </w:rPr>
        <w:t xml:space="preserve"> ￼</w:t>
      </w:r>
    </w:p>
    <w:p w14:paraId="0435E148" w14:textId="77777777" w:rsidR="00C77ABE" w:rsidRPr="0043215C" w:rsidRDefault="00C77ABE" w:rsidP="4D1EC881">
      <w:pPr>
        <w:rPr>
          <w:rFonts w:cstheme="minorHAnsi"/>
          <w:sz w:val="20"/>
          <w:szCs w:val="20"/>
        </w:rPr>
      </w:pPr>
    </w:p>
    <w:p w14:paraId="2329B360" w14:textId="5C619F1C" w:rsidR="006156CF" w:rsidRPr="0043215C" w:rsidRDefault="00680F01" w:rsidP="4D1EC881">
      <w:pPr>
        <w:rPr>
          <w:rFonts w:cstheme="minorHAnsi"/>
          <w:b/>
          <w:bCs/>
          <w:sz w:val="20"/>
          <w:szCs w:val="20"/>
        </w:rPr>
      </w:pPr>
      <w:r w:rsidRPr="0043215C">
        <w:rPr>
          <w:rFonts w:cstheme="minorHAnsi"/>
          <w:b/>
          <w:bCs/>
          <w:sz w:val="20"/>
          <w:szCs w:val="20"/>
        </w:rPr>
        <w:t>IFC</w:t>
      </w:r>
    </w:p>
    <w:p w14:paraId="6721C356" w14:textId="77E6514A" w:rsidR="00AF10FE" w:rsidRPr="0043215C" w:rsidRDefault="00C15C2B" w:rsidP="4D1EC881">
      <w:pPr>
        <w:rPr>
          <w:sz w:val="20"/>
          <w:szCs w:val="20"/>
        </w:rPr>
      </w:pPr>
      <w:r w:rsidRPr="1E9D41E1">
        <w:rPr>
          <w:sz w:val="20"/>
          <w:szCs w:val="20"/>
        </w:rPr>
        <w:t xml:space="preserve">In Türkiye, IFC has leveraged more than $3 billion to support private-sector efforts designed to increase energy generation, improve energy efficiency, and mitigate the impacts of climate change. IFC investments include 10 power generation projects with an installed capacity of 4,300 megawatts (MW), as well as power distribution projects that have </w:t>
      </w:r>
      <w:r w:rsidR="55AF1C9C" w:rsidRPr="1E9D41E1">
        <w:rPr>
          <w:sz w:val="20"/>
          <w:szCs w:val="20"/>
        </w:rPr>
        <w:t>achieved</w:t>
      </w:r>
      <w:r w:rsidRPr="1E9D41E1">
        <w:rPr>
          <w:sz w:val="20"/>
          <w:szCs w:val="20"/>
        </w:rPr>
        <w:t xml:space="preserve"> improving services for 3.9 million customers. Building on </w:t>
      </w:r>
      <w:r w:rsidR="0061775C" w:rsidRPr="1E9D41E1">
        <w:rPr>
          <w:sz w:val="20"/>
          <w:szCs w:val="20"/>
        </w:rPr>
        <w:t xml:space="preserve">the </w:t>
      </w:r>
      <w:r w:rsidRPr="1E9D41E1">
        <w:rPr>
          <w:sz w:val="20"/>
          <w:szCs w:val="20"/>
        </w:rPr>
        <w:t xml:space="preserve">World Bank reforms in the country, IFC has been a long-term investor, supporting the comprehensive reform of the sector. These efforts have successfully spurred innovation and created new markets, resulting in greater access to reliable electricity, accelerated economic growth, and an increase in labor force participation. IFC continues to finance power generation to meet </w:t>
      </w:r>
      <w:r w:rsidR="00B56874" w:rsidRPr="1E9D41E1">
        <w:rPr>
          <w:sz w:val="20"/>
          <w:szCs w:val="20"/>
        </w:rPr>
        <w:t>Türkiye</w:t>
      </w:r>
      <w:r w:rsidRPr="1E9D41E1">
        <w:rPr>
          <w:sz w:val="20"/>
          <w:szCs w:val="20"/>
        </w:rPr>
        <w:t>’s growing medium to long-term needs. Strengthening the distribution network is also a key priority for increasing renewable energy integration and resilience</w:t>
      </w:r>
      <w:r w:rsidR="00AF10FE" w:rsidRPr="1E9D41E1">
        <w:rPr>
          <w:sz w:val="20"/>
          <w:szCs w:val="20"/>
        </w:rPr>
        <w:t xml:space="preserve">. </w:t>
      </w:r>
      <w:r w:rsidR="00977EB1" w:rsidRPr="1E9D41E1">
        <w:rPr>
          <w:sz w:val="20"/>
          <w:szCs w:val="20"/>
        </w:rPr>
        <w:t xml:space="preserve"> In April </w:t>
      </w:r>
      <w:r w:rsidR="006158AE" w:rsidRPr="1E9D41E1">
        <w:rPr>
          <w:sz w:val="20"/>
          <w:szCs w:val="20"/>
        </w:rPr>
        <w:t xml:space="preserve">2024, the </w:t>
      </w:r>
      <w:r w:rsidR="00977EB1" w:rsidRPr="1E9D41E1">
        <w:rPr>
          <w:sz w:val="20"/>
          <w:szCs w:val="20"/>
        </w:rPr>
        <w:t>W</w:t>
      </w:r>
      <w:r w:rsidR="00EA1266" w:rsidRPr="1E9D41E1">
        <w:rPr>
          <w:sz w:val="20"/>
          <w:szCs w:val="20"/>
        </w:rPr>
        <w:t xml:space="preserve">orld </w:t>
      </w:r>
      <w:proofErr w:type="gramStart"/>
      <w:r w:rsidR="00EA1266" w:rsidRPr="1E9D41E1">
        <w:rPr>
          <w:sz w:val="20"/>
          <w:szCs w:val="20"/>
        </w:rPr>
        <w:t xml:space="preserve">Bank </w:t>
      </w:r>
      <w:r w:rsidR="00977EB1" w:rsidRPr="1E9D41E1">
        <w:rPr>
          <w:sz w:val="20"/>
          <w:szCs w:val="20"/>
        </w:rPr>
        <w:t xml:space="preserve"> Country</w:t>
      </w:r>
      <w:proofErr w:type="gramEnd"/>
      <w:r w:rsidR="00977EB1" w:rsidRPr="1E9D41E1">
        <w:rPr>
          <w:sz w:val="20"/>
          <w:szCs w:val="20"/>
        </w:rPr>
        <w:t xml:space="preserve"> Partnership Framework FY24-FY28 </w:t>
      </w:r>
      <w:r w:rsidR="006158AE" w:rsidRPr="1E9D41E1">
        <w:rPr>
          <w:sz w:val="20"/>
          <w:szCs w:val="20"/>
        </w:rPr>
        <w:t>wa</w:t>
      </w:r>
      <w:r w:rsidR="00977EB1" w:rsidRPr="1E9D41E1">
        <w:rPr>
          <w:sz w:val="20"/>
          <w:szCs w:val="20"/>
        </w:rPr>
        <w:t xml:space="preserve">s approved. </w:t>
      </w:r>
      <w:r w:rsidR="006158AE" w:rsidRPr="1E9D41E1">
        <w:rPr>
          <w:sz w:val="20"/>
          <w:szCs w:val="20"/>
        </w:rPr>
        <w:t xml:space="preserve">IFC, together with </w:t>
      </w:r>
      <w:r w:rsidR="00977EB1" w:rsidRPr="1E9D41E1">
        <w:rPr>
          <w:sz w:val="20"/>
          <w:szCs w:val="20"/>
        </w:rPr>
        <w:t xml:space="preserve">IBRD and </w:t>
      </w:r>
      <w:r w:rsidR="00A06469" w:rsidRPr="1E9D41E1">
        <w:rPr>
          <w:sz w:val="20"/>
          <w:szCs w:val="20"/>
        </w:rPr>
        <w:t>Multilateral Investment Guarantee Agency (</w:t>
      </w:r>
      <w:r w:rsidR="00977EB1" w:rsidRPr="1E9D41E1">
        <w:rPr>
          <w:sz w:val="20"/>
          <w:szCs w:val="20"/>
        </w:rPr>
        <w:t>MIGA</w:t>
      </w:r>
      <w:r w:rsidR="00A06469" w:rsidRPr="1E9D41E1">
        <w:rPr>
          <w:sz w:val="20"/>
          <w:szCs w:val="20"/>
        </w:rPr>
        <w:t>)</w:t>
      </w:r>
      <w:r w:rsidR="006158AE" w:rsidRPr="1E9D41E1">
        <w:rPr>
          <w:sz w:val="20"/>
          <w:szCs w:val="20"/>
        </w:rPr>
        <w:t>,</w:t>
      </w:r>
      <w:r w:rsidR="00977EB1" w:rsidRPr="1E9D41E1">
        <w:rPr>
          <w:sz w:val="20"/>
          <w:szCs w:val="20"/>
        </w:rPr>
        <w:t xml:space="preserve"> will continue to support projects aimed at increasing renewable energy production</w:t>
      </w:r>
      <w:r w:rsidR="006158AE" w:rsidRPr="1E9D41E1">
        <w:rPr>
          <w:sz w:val="20"/>
          <w:szCs w:val="20"/>
        </w:rPr>
        <w:t>, as well as</w:t>
      </w:r>
      <w:r w:rsidR="00977EB1" w:rsidRPr="1E9D41E1">
        <w:rPr>
          <w:sz w:val="20"/>
          <w:szCs w:val="20"/>
        </w:rPr>
        <w:t xml:space="preserve"> modernizing transmission and distribution networks.</w:t>
      </w:r>
      <w:r w:rsidR="00F41DA2" w:rsidRPr="1E9D41E1">
        <w:rPr>
          <w:sz w:val="20"/>
          <w:szCs w:val="20"/>
        </w:rPr>
        <w:t xml:space="preserve"> </w:t>
      </w:r>
      <w:r w:rsidR="00895A57" w:rsidRPr="1E9D41E1">
        <w:rPr>
          <w:sz w:val="20"/>
          <w:szCs w:val="20"/>
        </w:rPr>
        <w:t xml:space="preserve">IFC remains keen to support </w:t>
      </w:r>
      <w:r w:rsidR="001D560C" w:rsidRPr="1E9D41E1">
        <w:rPr>
          <w:sz w:val="20"/>
          <w:szCs w:val="20"/>
        </w:rPr>
        <w:t xml:space="preserve">the adoption of new clean technologies such as battery storage </w:t>
      </w:r>
      <w:r w:rsidR="005825C0" w:rsidRPr="1E9D41E1">
        <w:rPr>
          <w:sz w:val="20"/>
          <w:szCs w:val="20"/>
        </w:rPr>
        <w:t xml:space="preserve">energy systems </w:t>
      </w:r>
      <w:r w:rsidR="00BE4710" w:rsidRPr="1E9D41E1">
        <w:rPr>
          <w:sz w:val="20"/>
          <w:szCs w:val="20"/>
        </w:rPr>
        <w:t xml:space="preserve">(both stand-alone and </w:t>
      </w:r>
      <w:r w:rsidR="00482E90" w:rsidRPr="1E9D41E1">
        <w:rPr>
          <w:sz w:val="20"/>
          <w:szCs w:val="20"/>
        </w:rPr>
        <w:t>consolidated into renewable generation facilities)</w:t>
      </w:r>
      <w:r w:rsidR="00DE663E" w:rsidRPr="1E9D41E1">
        <w:rPr>
          <w:sz w:val="20"/>
          <w:szCs w:val="20"/>
        </w:rPr>
        <w:t>,</w:t>
      </w:r>
      <w:r w:rsidR="00E66195" w:rsidRPr="1E9D41E1">
        <w:rPr>
          <w:sz w:val="20"/>
          <w:szCs w:val="20"/>
        </w:rPr>
        <w:t xml:space="preserve"> which will</w:t>
      </w:r>
      <w:r w:rsidR="005524CF" w:rsidRPr="1E9D41E1">
        <w:rPr>
          <w:sz w:val="20"/>
          <w:szCs w:val="20"/>
        </w:rPr>
        <w:t xml:space="preserve"> scale up the renewable generation and</w:t>
      </w:r>
      <w:r w:rsidR="00E66195" w:rsidRPr="1E9D41E1">
        <w:rPr>
          <w:sz w:val="20"/>
          <w:szCs w:val="20"/>
        </w:rPr>
        <w:t xml:space="preserve"> </w:t>
      </w:r>
      <w:r w:rsidR="003D4E38" w:rsidRPr="1E9D41E1">
        <w:rPr>
          <w:sz w:val="20"/>
          <w:szCs w:val="20"/>
        </w:rPr>
        <w:t>diversify the country’s generation mix</w:t>
      </w:r>
      <w:r w:rsidR="005524CF" w:rsidRPr="1E9D41E1">
        <w:rPr>
          <w:sz w:val="20"/>
          <w:szCs w:val="20"/>
        </w:rPr>
        <w:t xml:space="preserve"> as well as</w:t>
      </w:r>
      <w:r w:rsidR="003D4E38" w:rsidRPr="1E9D41E1">
        <w:rPr>
          <w:sz w:val="20"/>
          <w:szCs w:val="20"/>
        </w:rPr>
        <w:t xml:space="preserve"> </w:t>
      </w:r>
      <w:r w:rsidR="00905637" w:rsidRPr="1E9D41E1">
        <w:rPr>
          <w:sz w:val="20"/>
          <w:szCs w:val="20"/>
        </w:rPr>
        <w:t>build up the resilience of power system</w:t>
      </w:r>
      <w:r w:rsidR="005524CF" w:rsidRPr="1E9D41E1">
        <w:rPr>
          <w:sz w:val="20"/>
          <w:szCs w:val="20"/>
        </w:rPr>
        <w:t>.</w:t>
      </w:r>
    </w:p>
    <w:p w14:paraId="2089E50E" w14:textId="0CD3EF15" w:rsidR="003452F9" w:rsidRPr="0043215C" w:rsidRDefault="003452F9" w:rsidP="003452F9">
      <w:pPr>
        <w:pStyle w:val="Heading3"/>
        <w:rPr>
          <w:rStyle w:val="normaltextrun"/>
          <w:rFonts w:cstheme="minorHAnsi"/>
          <w:sz w:val="20"/>
          <w:szCs w:val="20"/>
        </w:rPr>
      </w:pPr>
      <w:bookmarkStart w:id="75" w:name="_Toc170319830"/>
      <w:r w:rsidRPr="0043215C">
        <w:rPr>
          <w:rFonts w:cstheme="minorHAnsi"/>
          <w:sz w:val="20"/>
          <w:szCs w:val="20"/>
        </w:rPr>
        <w:t>EBRD</w:t>
      </w:r>
      <w:bookmarkEnd w:id="75"/>
    </w:p>
    <w:p w14:paraId="65252040" w14:textId="5334C56F" w:rsidR="003452F9" w:rsidRPr="0043215C" w:rsidRDefault="003452F9" w:rsidP="003452F9">
      <w:pPr>
        <w:rPr>
          <w:rFonts w:eastAsia="Calibri" w:cstheme="minorHAnsi"/>
          <w:bCs/>
          <w:sz w:val="20"/>
          <w:szCs w:val="20"/>
        </w:rPr>
      </w:pPr>
      <w:r w:rsidRPr="0043215C">
        <w:rPr>
          <w:rFonts w:cstheme="minorHAnsi"/>
          <w:sz w:val="20"/>
          <w:szCs w:val="20"/>
        </w:rPr>
        <w:t xml:space="preserve">In the past 10 years, the EBRD has invested EUR2 billion across 30 projects in Türkiye's energy sector (incl. renewables, energy efficiency, power distribution, </w:t>
      </w:r>
      <w:proofErr w:type="spellStart"/>
      <w:r w:rsidRPr="0043215C">
        <w:rPr>
          <w:rFonts w:cstheme="minorHAnsi"/>
          <w:sz w:val="20"/>
          <w:szCs w:val="20"/>
        </w:rPr>
        <w:t>etc</w:t>
      </w:r>
      <w:proofErr w:type="spellEnd"/>
      <w:r w:rsidRPr="0043215C">
        <w:rPr>
          <w:rFonts w:cstheme="minorHAnsi"/>
          <w:sz w:val="20"/>
          <w:szCs w:val="20"/>
        </w:rPr>
        <w:t xml:space="preserve">). </w:t>
      </w:r>
      <w:r w:rsidRPr="0043215C">
        <w:rPr>
          <w:rFonts w:cstheme="minorHAnsi"/>
          <w:bCs/>
          <w:sz w:val="20"/>
          <w:szCs w:val="20"/>
        </w:rPr>
        <w:t xml:space="preserve">To date, the </w:t>
      </w:r>
      <w:r w:rsidR="00C811B4" w:rsidRPr="0043215C">
        <w:rPr>
          <w:rFonts w:cstheme="minorHAnsi"/>
          <w:bCs/>
          <w:sz w:val="20"/>
          <w:szCs w:val="20"/>
        </w:rPr>
        <w:t>EBRD</w:t>
      </w:r>
      <w:r w:rsidRPr="0043215C">
        <w:rPr>
          <w:rFonts w:cstheme="minorHAnsi"/>
          <w:bCs/>
          <w:sz w:val="20"/>
          <w:szCs w:val="20"/>
        </w:rPr>
        <w:t xml:space="preserve"> has invested EUR9 billion in supporting </w:t>
      </w:r>
      <w:r w:rsidRPr="0043215C">
        <w:rPr>
          <w:rFonts w:cstheme="minorHAnsi"/>
          <w:bCs/>
          <w:sz w:val="20"/>
          <w:szCs w:val="20"/>
        </w:rPr>
        <w:lastRenderedPageBreak/>
        <w:t>renewables, including large solar and wind projects. The EBRD has also invested</w:t>
      </w:r>
      <w:r w:rsidRPr="0043215C">
        <w:rPr>
          <w:rFonts w:eastAsia="Calibri" w:cstheme="minorHAnsi"/>
          <w:bCs/>
          <w:sz w:val="20"/>
          <w:szCs w:val="20"/>
        </w:rPr>
        <w:t xml:space="preserve"> in one of the largest geothermal power plants in the world, which alone increased Türkiye’s geothermal capacity by 30 percent. Those investments also contributed the strengthening of human capital in the sector by promoting the green and digital skills development of prospective workforce (</w:t>
      </w:r>
      <w:r w:rsidR="00966945" w:rsidRPr="0043215C">
        <w:rPr>
          <w:rFonts w:eastAsia="Calibri" w:cstheme="minorHAnsi"/>
          <w:bCs/>
          <w:sz w:val="20"/>
          <w:szCs w:val="20"/>
        </w:rPr>
        <w:t>i.e.,</w:t>
      </w:r>
      <w:r w:rsidRPr="0043215C">
        <w:rPr>
          <w:rFonts w:eastAsia="Calibri" w:cstheme="minorHAnsi"/>
          <w:bCs/>
          <w:sz w:val="20"/>
          <w:szCs w:val="20"/>
        </w:rPr>
        <w:t xml:space="preserve"> design, maintenance, remote management of WPPs) via nationally accredited certifications granted by local education institutions. They also supported workforce diversity of the companies through the development and implementation of Equal Opportunity Action Plans.</w:t>
      </w:r>
    </w:p>
    <w:p w14:paraId="7EDC764F" w14:textId="3DA41A98" w:rsidR="003452F9" w:rsidRPr="0043215C" w:rsidRDefault="003452F9" w:rsidP="00E448D5">
      <w:pPr>
        <w:spacing w:after="0"/>
        <w:rPr>
          <w:rFonts w:eastAsia="Calibri" w:cstheme="minorHAnsi"/>
          <w:sz w:val="20"/>
          <w:szCs w:val="20"/>
        </w:rPr>
      </w:pPr>
      <w:r w:rsidRPr="0043215C">
        <w:rPr>
          <w:rFonts w:eastAsia="Calibri" w:cstheme="minorHAnsi"/>
          <w:sz w:val="20"/>
          <w:szCs w:val="20"/>
        </w:rPr>
        <w:t xml:space="preserve">The </w:t>
      </w:r>
      <w:r w:rsidR="00EC2570" w:rsidRPr="0043215C">
        <w:rPr>
          <w:rFonts w:eastAsia="Calibri" w:cstheme="minorHAnsi"/>
          <w:sz w:val="20"/>
          <w:szCs w:val="20"/>
        </w:rPr>
        <w:t>EBRD</w:t>
      </w:r>
      <w:r w:rsidRPr="0043215C">
        <w:rPr>
          <w:rFonts w:eastAsia="Calibri" w:cstheme="minorHAnsi"/>
          <w:sz w:val="20"/>
          <w:szCs w:val="20"/>
        </w:rPr>
        <w:t xml:space="preserve"> is also closely cooperating with national authorities to create an enabling environment for economy-wide decarbonization. For example, the EBRD has assisted the local government in developing the Renewable Energy Action Plan (in line with the EU’s Renewable Energy Directive) and in designing post-2020 renewable energy support schemes based on competitive tendering and the National Energy Efficiency Action Plan (NEEAP).</w:t>
      </w:r>
      <w:r w:rsidR="00691FE2" w:rsidRPr="0043215C">
        <w:rPr>
          <w:rFonts w:eastAsia="Calibri" w:cstheme="minorHAnsi"/>
          <w:sz w:val="20"/>
          <w:szCs w:val="20"/>
        </w:rPr>
        <w:t xml:space="preserve"> </w:t>
      </w:r>
    </w:p>
    <w:p w14:paraId="0AF51294" w14:textId="77777777" w:rsidR="003452F9" w:rsidRPr="0043215C" w:rsidRDefault="003452F9" w:rsidP="4D1EC881">
      <w:pPr>
        <w:rPr>
          <w:rFonts w:cstheme="minorHAnsi"/>
          <w:sz w:val="20"/>
          <w:szCs w:val="20"/>
        </w:rPr>
      </w:pPr>
    </w:p>
    <w:p w14:paraId="6822EB48" w14:textId="493986AB" w:rsidR="4D1EC881" w:rsidRPr="0043215C" w:rsidRDefault="00A80F6C" w:rsidP="005F209E">
      <w:pPr>
        <w:pStyle w:val="Heading1"/>
        <w:rPr>
          <w:rFonts w:asciiTheme="minorHAnsi" w:hAnsiTheme="minorHAnsi" w:cstheme="minorHAnsi"/>
          <w:sz w:val="20"/>
          <w:szCs w:val="20"/>
        </w:rPr>
      </w:pPr>
      <w:bookmarkStart w:id="76" w:name="_Toc162962950"/>
      <w:bookmarkStart w:id="77" w:name="_Toc162964132"/>
      <w:bookmarkStart w:id="78" w:name="_Toc170319831"/>
      <w:r w:rsidRPr="0043215C">
        <w:rPr>
          <w:rFonts w:asciiTheme="minorHAnsi" w:hAnsiTheme="minorHAnsi" w:cstheme="minorHAnsi"/>
          <w:sz w:val="20"/>
          <w:szCs w:val="20"/>
        </w:rPr>
        <w:t xml:space="preserve">IV. </w:t>
      </w:r>
      <w:bookmarkEnd w:id="76"/>
      <w:r w:rsidR="00A664A7" w:rsidRPr="0043215C">
        <w:rPr>
          <w:rFonts w:asciiTheme="minorHAnsi" w:hAnsiTheme="minorHAnsi" w:cstheme="minorHAnsi"/>
          <w:sz w:val="20"/>
          <w:szCs w:val="20"/>
        </w:rPr>
        <w:t>PROGRAM DESCRIPTION</w:t>
      </w:r>
      <w:bookmarkEnd w:id="77"/>
      <w:bookmarkEnd w:id="78"/>
    </w:p>
    <w:p w14:paraId="00AB6B03" w14:textId="77777777" w:rsidR="002F7889" w:rsidRPr="0043215C" w:rsidRDefault="002F7889" w:rsidP="004B5059">
      <w:pPr>
        <w:spacing w:after="0" w:line="257" w:lineRule="auto"/>
        <w:ind w:left="-14" w:right="-14"/>
        <w:rPr>
          <w:rFonts w:eastAsia="Calibri" w:cstheme="minorHAnsi"/>
          <w:sz w:val="20"/>
          <w:szCs w:val="20"/>
        </w:rPr>
      </w:pPr>
    </w:p>
    <w:p w14:paraId="52EBA665" w14:textId="2505C60D" w:rsidR="00A80F6C" w:rsidRPr="0043215C" w:rsidRDefault="147D687F" w:rsidP="00974656">
      <w:pPr>
        <w:spacing w:after="0" w:line="257" w:lineRule="auto"/>
        <w:ind w:right="-14"/>
        <w:rPr>
          <w:rFonts w:eastAsia="Calibri" w:cstheme="minorHAnsi"/>
          <w:sz w:val="20"/>
          <w:szCs w:val="20"/>
        </w:rPr>
      </w:pPr>
      <w:r w:rsidRPr="0043215C">
        <w:rPr>
          <w:rFonts w:eastAsia="Calibri" w:cstheme="minorHAnsi"/>
          <w:sz w:val="20"/>
          <w:szCs w:val="20"/>
        </w:rPr>
        <w:t xml:space="preserve">The objective of </w:t>
      </w:r>
      <w:r w:rsidR="56AF4C1D" w:rsidRPr="0043215C">
        <w:rPr>
          <w:rFonts w:eastAsia="Calibri" w:cstheme="minorHAnsi"/>
          <w:sz w:val="20"/>
          <w:szCs w:val="20"/>
        </w:rPr>
        <w:t>Türkiye’s</w:t>
      </w:r>
      <w:r w:rsidRPr="0043215C">
        <w:rPr>
          <w:rFonts w:eastAsia="Calibri" w:cstheme="minorHAnsi"/>
          <w:sz w:val="20"/>
          <w:szCs w:val="20"/>
        </w:rPr>
        <w:t xml:space="preserve"> </w:t>
      </w:r>
      <w:r w:rsidR="009144E1" w:rsidRPr="0043215C">
        <w:rPr>
          <w:rFonts w:eastAsia="Calibri" w:cstheme="minorHAnsi"/>
          <w:sz w:val="20"/>
          <w:szCs w:val="20"/>
        </w:rPr>
        <w:t>Clean Tec</w:t>
      </w:r>
      <w:r w:rsidR="001E694F" w:rsidRPr="0043215C">
        <w:rPr>
          <w:rFonts w:eastAsia="Calibri" w:cstheme="minorHAnsi"/>
          <w:sz w:val="20"/>
          <w:szCs w:val="20"/>
        </w:rPr>
        <w:t xml:space="preserve">hnology Fund (CTF) </w:t>
      </w:r>
      <w:r w:rsidR="00280B2C" w:rsidRPr="0043215C">
        <w:rPr>
          <w:rFonts w:eastAsia="Calibri" w:cstheme="minorHAnsi"/>
          <w:sz w:val="20"/>
          <w:szCs w:val="20"/>
        </w:rPr>
        <w:t>Renewable Energy Integration (REI) Program</w:t>
      </w:r>
      <w:r w:rsidR="67F82B03" w:rsidRPr="0043215C">
        <w:rPr>
          <w:rFonts w:eastAsia="Calibri" w:cstheme="minorHAnsi"/>
          <w:sz w:val="20"/>
          <w:szCs w:val="20"/>
        </w:rPr>
        <w:t xml:space="preserve"> </w:t>
      </w:r>
      <w:r w:rsidR="2417F3C5" w:rsidRPr="0043215C">
        <w:rPr>
          <w:rFonts w:eastAsia="Calibri" w:cstheme="minorHAnsi"/>
          <w:sz w:val="20"/>
          <w:szCs w:val="20"/>
        </w:rPr>
        <w:t>Investment Plan</w:t>
      </w:r>
      <w:r w:rsidRPr="0043215C">
        <w:rPr>
          <w:rFonts w:eastAsia="Calibri" w:cstheme="minorHAnsi"/>
          <w:sz w:val="20"/>
          <w:szCs w:val="20"/>
        </w:rPr>
        <w:t xml:space="preserve"> </w:t>
      </w:r>
      <w:r w:rsidR="2417F3C5" w:rsidRPr="0043215C">
        <w:rPr>
          <w:rFonts w:eastAsia="Calibri" w:cstheme="minorHAnsi"/>
          <w:sz w:val="20"/>
          <w:szCs w:val="20"/>
        </w:rPr>
        <w:t>(</w:t>
      </w:r>
      <w:r w:rsidRPr="0043215C">
        <w:rPr>
          <w:rFonts w:eastAsia="Calibri" w:cstheme="minorHAnsi"/>
          <w:sz w:val="20"/>
          <w:szCs w:val="20"/>
        </w:rPr>
        <w:t>IP</w:t>
      </w:r>
      <w:r w:rsidR="2417F3C5" w:rsidRPr="0043215C">
        <w:rPr>
          <w:rFonts w:eastAsia="Calibri" w:cstheme="minorHAnsi"/>
          <w:sz w:val="20"/>
          <w:szCs w:val="20"/>
        </w:rPr>
        <w:t>)</w:t>
      </w:r>
      <w:r w:rsidRPr="0043215C">
        <w:rPr>
          <w:rFonts w:eastAsia="Calibri" w:cstheme="minorHAnsi"/>
          <w:sz w:val="20"/>
          <w:szCs w:val="20"/>
        </w:rPr>
        <w:t xml:space="preserve"> </w:t>
      </w:r>
      <w:r w:rsidR="6A251CC1" w:rsidRPr="0043215C">
        <w:rPr>
          <w:rFonts w:eastAsia="Calibri" w:cstheme="minorHAnsi"/>
          <w:sz w:val="20"/>
          <w:szCs w:val="20"/>
        </w:rPr>
        <w:t xml:space="preserve">is to support </w:t>
      </w:r>
      <w:r w:rsidR="59AC48AB" w:rsidRPr="0043215C">
        <w:rPr>
          <w:rFonts w:eastAsia="Calibri" w:cstheme="minorHAnsi"/>
          <w:sz w:val="20"/>
          <w:szCs w:val="20"/>
        </w:rPr>
        <w:t>Türkiye’s</w:t>
      </w:r>
      <w:r w:rsidR="6A251CC1" w:rsidRPr="0043215C">
        <w:rPr>
          <w:rFonts w:eastAsia="Calibri" w:cstheme="minorHAnsi"/>
          <w:sz w:val="20"/>
          <w:szCs w:val="20"/>
        </w:rPr>
        <w:t xml:space="preserve"> ambitious plan to scale-up renewable energy by 2035 including by</w:t>
      </w:r>
      <w:r w:rsidR="67F82B03" w:rsidRPr="0043215C">
        <w:rPr>
          <w:rStyle w:val="cf01"/>
          <w:rFonts w:asciiTheme="minorHAnsi" w:hAnsiTheme="minorHAnsi" w:cstheme="minorHAnsi"/>
          <w:sz w:val="20"/>
          <w:szCs w:val="20"/>
        </w:rPr>
        <w:t xml:space="preserve"> enabl</w:t>
      </w:r>
      <w:r w:rsidR="6A251CC1" w:rsidRPr="0043215C">
        <w:rPr>
          <w:rStyle w:val="cf01"/>
          <w:rFonts w:asciiTheme="minorHAnsi" w:hAnsiTheme="minorHAnsi" w:cstheme="minorHAnsi"/>
          <w:sz w:val="20"/>
          <w:szCs w:val="20"/>
        </w:rPr>
        <w:t>ing</w:t>
      </w:r>
      <w:r w:rsidR="67F82B03" w:rsidRPr="0043215C">
        <w:rPr>
          <w:rStyle w:val="cf01"/>
          <w:rFonts w:asciiTheme="minorHAnsi" w:hAnsiTheme="minorHAnsi" w:cstheme="minorHAnsi"/>
          <w:sz w:val="20"/>
          <w:szCs w:val="20"/>
        </w:rPr>
        <w:t xml:space="preserve"> flexibility of energy systems for smooth integration of higher shares of variable renewable energy generation in Türkiye's grid. </w:t>
      </w:r>
      <w:r w:rsidR="0083249A" w:rsidRPr="0043215C">
        <w:rPr>
          <w:rStyle w:val="cf01"/>
          <w:rFonts w:asciiTheme="minorHAnsi" w:hAnsiTheme="minorHAnsi" w:cstheme="minorHAnsi"/>
          <w:sz w:val="20"/>
          <w:szCs w:val="20"/>
        </w:rPr>
        <w:t>This objective aligns with the REI Program Impact objective excluding focus on increasing off-grid access to renewable energy, since the latter aspect is not relevant for Türkiye.</w:t>
      </w:r>
    </w:p>
    <w:p w14:paraId="5806F58D" w14:textId="77777777" w:rsidR="0041220E" w:rsidRPr="0043215C" w:rsidRDefault="0041220E" w:rsidP="004B5059">
      <w:pPr>
        <w:spacing w:after="0" w:line="257" w:lineRule="auto"/>
        <w:ind w:left="-14" w:right="-14"/>
        <w:rPr>
          <w:rFonts w:eastAsia="Calibri" w:cstheme="minorHAnsi"/>
          <w:sz w:val="20"/>
          <w:szCs w:val="20"/>
        </w:rPr>
      </w:pPr>
    </w:p>
    <w:p w14:paraId="355B5BD7" w14:textId="28C9A44D" w:rsidR="00A80F6C" w:rsidRPr="0043215C" w:rsidRDefault="00A80F6C" w:rsidP="004B5059">
      <w:pPr>
        <w:spacing w:after="0" w:line="257" w:lineRule="auto"/>
        <w:ind w:left="-14" w:right="-14"/>
        <w:rPr>
          <w:rFonts w:eastAsia="Calibri" w:cstheme="minorHAnsi"/>
          <w:sz w:val="20"/>
          <w:szCs w:val="20"/>
        </w:rPr>
      </w:pPr>
      <w:r w:rsidRPr="0043215C">
        <w:rPr>
          <w:rFonts w:eastAsia="Calibri" w:cstheme="minorHAnsi"/>
          <w:sz w:val="20"/>
          <w:szCs w:val="20"/>
        </w:rPr>
        <w:t>CTF</w:t>
      </w:r>
      <w:r w:rsidR="008D7F7C" w:rsidRPr="0043215C">
        <w:rPr>
          <w:rFonts w:eastAsia="Calibri" w:cstheme="minorHAnsi"/>
          <w:sz w:val="20"/>
          <w:szCs w:val="20"/>
        </w:rPr>
        <w:t>-REI</w:t>
      </w:r>
      <w:r w:rsidRPr="0043215C">
        <w:rPr>
          <w:rFonts w:eastAsia="Calibri" w:cstheme="minorHAnsi"/>
          <w:sz w:val="20"/>
          <w:szCs w:val="20"/>
        </w:rPr>
        <w:t xml:space="preserve"> concessional resources will catalyze </w:t>
      </w:r>
      <w:r w:rsidR="0001227A" w:rsidRPr="0043215C">
        <w:rPr>
          <w:rFonts w:eastAsia="Calibri" w:cstheme="minorHAnsi"/>
          <w:sz w:val="20"/>
          <w:szCs w:val="20"/>
        </w:rPr>
        <w:t>m</w:t>
      </w:r>
      <w:r w:rsidR="2C6767B1" w:rsidRPr="0043215C">
        <w:rPr>
          <w:rFonts w:eastAsia="Calibri" w:cstheme="minorHAnsi"/>
          <w:sz w:val="20"/>
          <w:szCs w:val="20"/>
        </w:rPr>
        <w:t xml:space="preserve">ultilateral </w:t>
      </w:r>
      <w:r w:rsidR="0001227A" w:rsidRPr="0043215C">
        <w:rPr>
          <w:rFonts w:eastAsia="Calibri" w:cstheme="minorHAnsi"/>
          <w:sz w:val="20"/>
          <w:szCs w:val="20"/>
        </w:rPr>
        <w:t>development banks</w:t>
      </w:r>
      <w:r w:rsidRPr="0043215C">
        <w:rPr>
          <w:rFonts w:eastAsia="Calibri" w:cstheme="minorHAnsi"/>
          <w:sz w:val="20"/>
          <w:szCs w:val="20"/>
        </w:rPr>
        <w:t xml:space="preserve"> </w:t>
      </w:r>
      <w:r w:rsidR="0001227A" w:rsidRPr="0043215C">
        <w:rPr>
          <w:rFonts w:eastAsia="Calibri" w:cstheme="minorHAnsi"/>
          <w:sz w:val="20"/>
          <w:szCs w:val="20"/>
        </w:rPr>
        <w:t>(</w:t>
      </w:r>
      <w:r w:rsidRPr="0043215C">
        <w:rPr>
          <w:rFonts w:eastAsia="Calibri" w:cstheme="minorHAnsi"/>
          <w:sz w:val="20"/>
          <w:szCs w:val="20"/>
        </w:rPr>
        <w:t>MDBs</w:t>
      </w:r>
      <w:r w:rsidR="0001227A" w:rsidRPr="0043215C">
        <w:rPr>
          <w:rFonts w:eastAsia="Calibri" w:cstheme="minorHAnsi"/>
          <w:sz w:val="20"/>
          <w:szCs w:val="20"/>
        </w:rPr>
        <w:t>)</w:t>
      </w:r>
      <w:r w:rsidRPr="0043215C">
        <w:rPr>
          <w:rFonts w:eastAsia="Calibri" w:cstheme="minorHAnsi"/>
          <w:sz w:val="20"/>
          <w:szCs w:val="20"/>
        </w:rPr>
        <w:t xml:space="preserve"> financing, private investment and other co-financing in technologies/projects required to meet the country’s NDC and decarbonization commitments. The types of technologies, infrastructure, innovative models, and enhancement activities prioritized by the program which will be eligible for receiving funding correspond to those described below in the Supported Activities section.</w:t>
      </w:r>
    </w:p>
    <w:p w14:paraId="117D5464" w14:textId="77777777" w:rsidR="004B5059" w:rsidRPr="0043215C" w:rsidRDefault="004B5059" w:rsidP="00E96AFA">
      <w:pPr>
        <w:spacing w:after="0" w:line="257" w:lineRule="auto"/>
        <w:ind w:left="-20" w:right="-20"/>
        <w:rPr>
          <w:rFonts w:eastAsia="Calibri" w:cstheme="minorHAnsi"/>
          <w:sz w:val="20"/>
          <w:szCs w:val="20"/>
        </w:rPr>
      </w:pPr>
    </w:p>
    <w:p w14:paraId="0CDF1735" w14:textId="1C7B725B" w:rsidR="00A80F6C" w:rsidRPr="0043215C" w:rsidRDefault="0023236C" w:rsidP="00E96AFA">
      <w:pPr>
        <w:spacing w:after="0" w:line="257" w:lineRule="auto"/>
        <w:ind w:left="-20" w:right="-20"/>
        <w:rPr>
          <w:rFonts w:eastAsia="Calibri" w:cstheme="minorHAnsi"/>
          <w:sz w:val="20"/>
          <w:szCs w:val="20"/>
        </w:rPr>
      </w:pPr>
      <w:r w:rsidRPr="0043215C">
        <w:rPr>
          <w:rFonts w:eastAsia="Calibri" w:cstheme="minorHAnsi"/>
          <w:sz w:val="20"/>
          <w:szCs w:val="20"/>
        </w:rPr>
        <w:t>CTF-REI</w:t>
      </w:r>
      <w:r w:rsidR="00A80F6C" w:rsidRPr="0043215C">
        <w:rPr>
          <w:rFonts w:eastAsia="Calibri" w:cstheme="minorHAnsi"/>
          <w:sz w:val="20"/>
          <w:szCs w:val="20"/>
        </w:rPr>
        <w:t xml:space="preserve"> resources will be implemented through </w:t>
      </w:r>
      <w:r w:rsidR="00F31C0C" w:rsidRPr="0043215C">
        <w:rPr>
          <w:rFonts w:eastAsia="Calibri" w:cstheme="minorHAnsi"/>
          <w:sz w:val="20"/>
          <w:szCs w:val="20"/>
        </w:rPr>
        <w:t>two</w:t>
      </w:r>
      <w:r w:rsidR="00AF10FE" w:rsidRPr="0043215C">
        <w:rPr>
          <w:rFonts w:eastAsia="Calibri" w:cstheme="minorHAnsi"/>
          <w:sz w:val="20"/>
          <w:szCs w:val="20"/>
        </w:rPr>
        <w:t xml:space="preserve"> </w:t>
      </w:r>
      <w:r w:rsidR="00A80F6C" w:rsidRPr="0043215C">
        <w:rPr>
          <w:rFonts w:eastAsia="Calibri" w:cstheme="minorHAnsi"/>
          <w:sz w:val="20"/>
          <w:szCs w:val="20"/>
        </w:rPr>
        <w:t>components as follows:</w:t>
      </w:r>
    </w:p>
    <w:p w14:paraId="7F1ABFC7" w14:textId="38E1640E" w:rsidR="00437939" w:rsidRPr="0043215C" w:rsidRDefault="73DA4BC3" w:rsidP="003A31F3">
      <w:pPr>
        <w:pStyle w:val="BodyText"/>
        <w:rPr>
          <w:rFonts w:asciiTheme="minorHAnsi" w:hAnsiTheme="minorHAnsi" w:cstheme="minorHAnsi"/>
          <w:sz w:val="20"/>
          <w:szCs w:val="20"/>
          <w:lang w:val="tr"/>
        </w:rPr>
      </w:pPr>
      <w:r w:rsidRPr="0043215C">
        <w:rPr>
          <w:rFonts w:asciiTheme="minorHAnsi" w:hAnsiTheme="minorHAnsi" w:cstheme="minorHAnsi"/>
          <w:sz w:val="20"/>
          <w:szCs w:val="20"/>
        </w:rPr>
        <w:t xml:space="preserve"> </w:t>
      </w:r>
    </w:p>
    <w:p w14:paraId="32881264" w14:textId="573E8152" w:rsidR="0030720F" w:rsidRPr="0043215C" w:rsidRDefault="00A80F6C" w:rsidP="003639C2">
      <w:pPr>
        <w:rPr>
          <w:rFonts w:cstheme="minorHAnsi"/>
          <w:sz w:val="20"/>
          <w:szCs w:val="20"/>
        </w:rPr>
      </w:pPr>
      <w:r w:rsidRPr="0043215C">
        <w:rPr>
          <w:rFonts w:cstheme="minorHAnsi"/>
          <w:sz w:val="20"/>
          <w:szCs w:val="20"/>
        </w:rPr>
        <w:t>Component 1</w:t>
      </w:r>
      <w:r w:rsidR="00AE15F5" w:rsidRPr="0043215C">
        <w:rPr>
          <w:rFonts w:cstheme="minorHAnsi"/>
          <w:sz w:val="20"/>
          <w:szCs w:val="20"/>
        </w:rPr>
        <w:t xml:space="preserve"> (</w:t>
      </w:r>
      <w:r w:rsidR="6DB5469A" w:rsidRPr="0043215C">
        <w:rPr>
          <w:rFonts w:cstheme="minorHAnsi"/>
          <w:sz w:val="20"/>
          <w:szCs w:val="20"/>
        </w:rPr>
        <w:t>B</w:t>
      </w:r>
      <w:r w:rsidR="00AE15F5" w:rsidRPr="0043215C">
        <w:rPr>
          <w:rFonts w:cstheme="minorHAnsi"/>
          <w:sz w:val="20"/>
          <w:szCs w:val="20"/>
        </w:rPr>
        <w:t>eneficiary</w:t>
      </w:r>
      <w:r w:rsidR="23A286F4" w:rsidRPr="0043215C">
        <w:rPr>
          <w:rFonts w:cstheme="minorHAnsi"/>
          <w:sz w:val="20"/>
          <w:szCs w:val="20"/>
        </w:rPr>
        <w:t>:</w:t>
      </w:r>
      <w:r w:rsidR="00A57BE4" w:rsidRPr="0043215C">
        <w:rPr>
          <w:rFonts w:cstheme="minorHAnsi"/>
          <w:sz w:val="20"/>
          <w:szCs w:val="20"/>
        </w:rPr>
        <w:t xml:space="preserve"> </w:t>
      </w:r>
      <w:r w:rsidR="00A67553" w:rsidRPr="0043215C">
        <w:rPr>
          <w:rFonts w:eastAsia="Times New Roman" w:cstheme="minorHAnsi"/>
          <w:sz w:val="20"/>
          <w:szCs w:val="20"/>
        </w:rPr>
        <w:t>TEİAŞ</w:t>
      </w:r>
      <w:r w:rsidR="00AE15F5" w:rsidRPr="0043215C">
        <w:rPr>
          <w:rFonts w:cstheme="minorHAnsi"/>
          <w:sz w:val="20"/>
          <w:szCs w:val="20"/>
        </w:rPr>
        <w:t>)</w:t>
      </w:r>
      <w:r w:rsidR="00A57BE4" w:rsidRPr="0043215C">
        <w:rPr>
          <w:rFonts w:cstheme="minorHAnsi"/>
          <w:sz w:val="20"/>
          <w:szCs w:val="20"/>
        </w:rPr>
        <w:t xml:space="preserve"> </w:t>
      </w:r>
      <w:r w:rsidR="005C5051" w:rsidRPr="0043215C">
        <w:rPr>
          <w:rFonts w:cstheme="minorHAnsi"/>
          <w:sz w:val="20"/>
          <w:szCs w:val="20"/>
        </w:rPr>
        <w:t xml:space="preserve">Transforming Power </w:t>
      </w:r>
      <w:r w:rsidR="001D2CF1" w:rsidRPr="0043215C">
        <w:rPr>
          <w:rFonts w:cstheme="minorHAnsi"/>
          <w:sz w:val="20"/>
          <w:szCs w:val="20"/>
        </w:rPr>
        <w:t>Transmission</w:t>
      </w:r>
      <w:r w:rsidR="005C5051" w:rsidRPr="0043215C">
        <w:rPr>
          <w:rFonts w:cstheme="minorHAnsi"/>
          <w:sz w:val="20"/>
          <w:szCs w:val="20"/>
        </w:rPr>
        <w:t xml:space="preserve"> System for REI</w:t>
      </w:r>
    </w:p>
    <w:p w14:paraId="43E9B95E" w14:textId="734AE015" w:rsidR="00460235" w:rsidRPr="00A743BA" w:rsidRDefault="00296CB8" w:rsidP="00A743BA">
      <w:pPr>
        <w:pStyle w:val="BodyText"/>
        <w:rPr>
          <w:rFonts w:asciiTheme="minorHAnsi" w:hAnsiTheme="minorHAnsi" w:cstheme="minorHAnsi"/>
          <w:sz w:val="20"/>
          <w:szCs w:val="20"/>
          <w:lang w:val="tr"/>
        </w:rPr>
      </w:pPr>
      <w:r w:rsidRPr="0043215C">
        <w:rPr>
          <w:rFonts w:asciiTheme="minorHAnsi" w:hAnsiTheme="minorHAnsi" w:cstheme="minorHAnsi"/>
          <w:sz w:val="20"/>
          <w:szCs w:val="20"/>
        </w:rPr>
        <w:t xml:space="preserve">We consider </w:t>
      </w:r>
      <w:r w:rsidR="00636124" w:rsidRPr="0043215C">
        <w:rPr>
          <w:rFonts w:asciiTheme="minorHAnsi" w:hAnsiTheme="minorHAnsi" w:cstheme="minorHAnsi"/>
          <w:sz w:val="20"/>
          <w:szCs w:val="20"/>
        </w:rPr>
        <w:t>US$</w:t>
      </w:r>
      <w:r w:rsidRPr="0043215C">
        <w:rPr>
          <w:rFonts w:asciiTheme="minorHAnsi" w:hAnsiTheme="minorHAnsi" w:cstheme="minorHAnsi"/>
          <w:sz w:val="20"/>
          <w:szCs w:val="20"/>
        </w:rPr>
        <w:t xml:space="preserve"> </w:t>
      </w:r>
      <w:r w:rsidR="00E50D50" w:rsidRPr="00A743BA">
        <w:rPr>
          <w:rFonts w:asciiTheme="minorHAnsi" w:hAnsiTheme="minorHAnsi" w:cstheme="minorHAnsi"/>
          <w:sz w:val="20"/>
          <w:szCs w:val="20"/>
        </w:rPr>
        <w:t>38</w:t>
      </w:r>
      <w:r w:rsidRPr="007D0E9C">
        <w:rPr>
          <w:rFonts w:asciiTheme="minorHAnsi" w:hAnsiTheme="minorHAnsi" w:cstheme="minorHAnsi"/>
          <w:sz w:val="20"/>
          <w:szCs w:val="20"/>
        </w:rPr>
        <w:t xml:space="preserve"> million CTF lending, </w:t>
      </w:r>
      <w:r w:rsidR="00636124" w:rsidRPr="007D0E9C">
        <w:rPr>
          <w:rFonts w:asciiTheme="minorHAnsi" w:hAnsiTheme="minorHAnsi" w:cstheme="minorHAnsi"/>
          <w:sz w:val="20"/>
          <w:szCs w:val="20"/>
        </w:rPr>
        <w:t>US$</w:t>
      </w:r>
      <w:r w:rsidRPr="007D0E9C">
        <w:rPr>
          <w:rFonts w:asciiTheme="minorHAnsi" w:hAnsiTheme="minorHAnsi" w:cstheme="minorHAnsi"/>
          <w:sz w:val="20"/>
          <w:szCs w:val="20"/>
        </w:rPr>
        <w:t xml:space="preserve"> </w:t>
      </w:r>
      <w:r w:rsidRPr="00A743BA">
        <w:rPr>
          <w:rFonts w:asciiTheme="minorHAnsi" w:hAnsiTheme="minorHAnsi" w:cstheme="minorHAnsi"/>
          <w:sz w:val="20"/>
          <w:szCs w:val="20"/>
        </w:rPr>
        <w:t>2</w:t>
      </w:r>
      <w:r w:rsidRPr="007D0E9C">
        <w:rPr>
          <w:rFonts w:asciiTheme="minorHAnsi" w:hAnsiTheme="minorHAnsi" w:cstheme="minorHAnsi"/>
          <w:sz w:val="20"/>
          <w:szCs w:val="20"/>
        </w:rPr>
        <w:t xml:space="preserve"> million CTF grant financing) to support </w:t>
      </w:r>
      <w:r w:rsidR="007D0E9C">
        <w:rPr>
          <w:rFonts w:asciiTheme="minorHAnsi" w:hAnsiTheme="minorHAnsi" w:cstheme="minorHAnsi"/>
          <w:sz w:val="20"/>
          <w:szCs w:val="20"/>
        </w:rPr>
        <w:t xml:space="preserve">the </w:t>
      </w:r>
      <w:r w:rsidR="00A80F6C" w:rsidRPr="00A743BA">
        <w:rPr>
          <w:rFonts w:asciiTheme="minorHAnsi" w:hAnsiTheme="minorHAnsi" w:cstheme="minorHAnsi"/>
          <w:sz w:val="20"/>
          <w:szCs w:val="20"/>
        </w:rPr>
        <w:t xml:space="preserve">Transformation of the Power Transmission System </w:t>
      </w:r>
      <w:r w:rsidR="009D0DFC" w:rsidRPr="00A743BA">
        <w:rPr>
          <w:rFonts w:asciiTheme="minorHAnsi" w:hAnsiTheme="minorHAnsi" w:cstheme="minorHAnsi"/>
          <w:sz w:val="20"/>
          <w:szCs w:val="20"/>
        </w:rPr>
        <w:t>Project</w:t>
      </w:r>
      <w:r w:rsidR="00437939" w:rsidRPr="00A743BA">
        <w:rPr>
          <w:rFonts w:asciiTheme="minorHAnsi" w:hAnsiTheme="minorHAnsi" w:cstheme="minorHAnsi"/>
          <w:sz w:val="20"/>
          <w:szCs w:val="20"/>
        </w:rPr>
        <w:t xml:space="preserve"> </w:t>
      </w:r>
      <w:r w:rsidR="00415010" w:rsidRPr="00A743BA">
        <w:rPr>
          <w:rFonts w:asciiTheme="minorHAnsi" w:hAnsiTheme="minorHAnsi" w:cstheme="minorHAnsi"/>
          <w:sz w:val="20"/>
          <w:szCs w:val="20"/>
        </w:rPr>
        <w:t xml:space="preserve">- </w:t>
      </w:r>
      <w:r w:rsidR="00437939" w:rsidRPr="00A743BA">
        <w:rPr>
          <w:rFonts w:asciiTheme="minorHAnsi" w:hAnsiTheme="minorHAnsi" w:cstheme="minorHAnsi"/>
          <w:sz w:val="20"/>
          <w:szCs w:val="20"/>
        </w:rPr>
        <w:t>Phase</w:t>
      </w:r>
      <w:r w:rsidR="0017030D">
        <w:rPr>
          <w:rFonts w:asciiTheme="minorHAnsi" w:hAnsiTheme="minorHAnsi" w:cstheme="minorHAnsi"/>
          <w:sz w:val="20"/>
          <w:szCs w:val="20"/>
        </w:rPr>
        <w:t>s</w:t>
      </w:r>
      <w:r w:rsidR="00437939" w:rsidRPr="00A743BA">
        <w:rPr>
          <w:rFonts w:asciiTheme="minorHAnsi" w:hAnsiTheme="minorHAnsi" w:cstheme="minorHAnsi"/>
          <w:sz w:val="20"/>
          <w:szCs w:val="20"/>
        </w:rPr>
        <w:t xml:space="preserve"> 1</w:t>
      </w:r>
      <w:r w:rsidR="0017030D">
        <w:rPr>
          <w:rFonts w:asciiTheme="minorHAnsi" w:hAnsiTheme="minorHAnsi" w:cstheme="minorHAnsi"/>
          <w:sz w:val="20"/>
          <w:szCs w:val="20"/>
        </w:rPr>
        <w:t>-2</w:t>
      </w:r>
      <w:r w:rsidR="00437939" w:rsidRPr="00A743BA">
        <w:rPr>
          <w:rFonts w:asciiTheme="minorHAnsi" w:hAnsiTheme="minorHAnsi" w:cstheme="minorHAnsi"/>
          <w:sz w:val="20"/>
          <w:szCs w:val="20"/>
        </w:rPr>
        <w:t xml:space="preserve"> (2025</w:t>
      </w:r>
      <w:r w:rsidR="006A6BF3" w:rsidRPr="00A743BA">
        <w:rPr>
          <w:rFonts w:asciiTheme="minorHAnsi" w:hAnsiTheme="minorHAnsi" w:cstheme="minorHAnsi"/>
          <w:sz w:val="20"/>
          <w:szCs w:val="20"/>
        </w:rPr>
        <w:t>,</w:t>
      </w:r>
      <w:r w:rsidR="00E50D50" w:rsidRPr="00A743BA">
        <w:rPr>
          <w:rFonts w:asciiTheme="minorHAnsi" w:hAnsiTheme="minorHAnsi" w:cstheme="minorHAnsi"/>
          <w:sz w:val="20"/>
          <w:szCs w:val="20"/>
        </w:rPr>
        <w:t xml:space="preserve"> </w:t>
      </w:r>
      <w:r w:rsidR="00437939" w:rsidRPr="00A743BA">
        <w:rPr>
          <w:rFonts w:asciiTheme="minorHAnsi" w:hAnsiTheme="minorHAnsi" w:cstheme="minorHAnsi"/>
          <w:sz w:val="20"/>
          <w:szCs w:val="20"/>
        </w:rPr>
        <w:t xml:space="preserve">WB: </w:t>
      </w:r>
      <w:r w:rsidR="00AD5FBC" w:rsidRPr="00A743BA">
        <w:rPr>
          <w:rFonts w:asciiTheme="minorHAnsi" w:hAnsiTheme="minorHAnsi" w:cstheme="minorHAnsi"/>
          <w:sz w:val="20"/>
          <w:szCs w:val="20"/>
        </w:rPr>
        <w:t>nearly</w:t>
      </w:r>
      <w:r w:rsidR="00E50D50" w:rsidRPr="00A743BA">
        <w:rPr>
          <w:rFonts w:asciiTheme="minorHAnsi" w:hAnsiTheme="minorHAnsi" w:cstheme="minorHAnsi"/>
          <w:sz w:val="20"/>
          <w:szCs w:val="20"/>
        </w:rPr>
        <w:t xml:space="preserve"> </w:t>
      </w:r>
      <w:r w:rsidR="00636124" w:rsidRPr="00A743BA">
        <w:rPr>
          <w:rFonts w:asciiTheme="minorHAnsi" w:hAnsiTheme="minorHAnsi" w:cstheme="minorHAnsi"/>
          <w:sz w:val="20"/>
          <w:szCs w:val="20"/>
        </w:rPr>
        <w:t>US$</w:t>
      </w:r>
      <w:r w:rsidR="0017030D">
        <w:rPr>
          <w:rFonts w:asciiTheme="minorHAnsi" w:hAnsiTheme="minorHAnsi" w:cstheme="minorHAnsi"/>
          <w:sz w:val="20"/>
          <w:szCs w:val="20"/>
        </w:rPr>
        <w:t>1.5 b</w:t>
      </w:r>
      <w:r w:rsidR="00DE7EA1" w:rsidRPr="00A743BA">
        <w:rPr>
          <w:rFonts w:asciiTheme="minorHAnsi" w:hAnsiTheme="minorHAnsi" w:cstheme="minorHAnsi"/>
          <w:sz w:val="20"/>
          <w:szCs w:val="20"/>
        </w:rPr>
        <w:t>.</w:t>
      </w:r>
      <w:r w:rsidR="00065EAD" w:rsidRPr="0043215C">
        <w:rPr>
          <w:rFonts w:asciiTheme="minorHAnsi" w:hAnsiTheme="minorHAnsi" w:cstheme="minorHAnsi"/>
          <w:sz w:val="20"/>
          <w:szCs w:val="20"/>
        </w:rPr>
        <w:t>, CTF: US$</w:t>
      </w:r>
      <w:r w:rsidR="00065EAD">
        <w:rPr>
          <w:rFonts w:asciiTheme="minorHAnsi" w:hAnsiTheme="minorHAnsi" w:cstheme="minorHAnsi"/>
          <w:sz w:val="20"/>
          <w:szCs w:val="20"/>
        </w:rPr>
        <w:t>4</w:t>
      </w:r>
      <w:r w:rsidR="00065EAD" w:rsidRPr="0043215C">
        <w:rPr>
          <w:rFonts w:asciiTheme="minorHAnsi" w:hAnsiTheme="minorHAnsi" w:cstheme="minorHAnsi"/>
          <w:sz w:val="20"/>
          <w:szCs w:val="20"/>
        </w:rPr>
        <w:t>0m.)</w:t>
      </w:r>
      <w:r w:rsidR="00C550DD">
        <w:rPr>
          <w:rFonts w:asciiTheme="minorHAnsi" w:hAnsiTheme="minorHAnsi" w:cstheme="minorHAnsi"/>
          <w:sz w:val="20"/>
          <w:szCs w:val="20"/>
        </w:rPr>
        <w:t>.</w:t>
      </w:r>
    </w:p>
    <w:p w14:paraId="599DC02B" w14:textId="3A810790" w:rsidR="008D7306" w:rsidRPr="0043215C" w:rsidRDefault="008D7306" w:rsidP="003A31F3">
      <w:pPr>
        <w:pStyle w:val="BodyText"/>
        <w:rPr>
          <w:rFonts w:asciiTheme="minorHAnsi" w:hAnsiTheme="minorHAnsi" w:cstheme="minorHAnsi"/>
          <w:sz w:val="20"/>
          <w:szCs w:val="20"/>
          <w:lang w:val="tr"/>
        </w:rPr>
      </w:pPr>
    </w:p>
    <w:p w14:paraId="66FCA51A" w14:textId="3A9F8A7C" w:rsidR="00BB28EA" w:rsidRPr="0043215C" w:rsidRDefault="00A80F6C" w:rsidP="003A31F3">
      <w:pPr>
        <w:pStyle w:val="BodyText"/>
        <w:rPr>
          <w:rFonts w:asciiTheme="minorHAnsi" w:hAnsiTheme="minorHAnsi" w:cstheme="minorHAnsi"/>
          <w:color w:val="FF0000"/>
          <w:sz w:val="20"/>
          <w:szCs w:val="20"/>
          <w:lang w:val="tr"/>
        </w:rPr>
      </w:pPr>
      <w:r w:rsidRPr="0043215C">
        <w:rPr>
          <w:rFonts w:asciiTheme="minorHAnsi" w:hAnsiTheme="minorHAnsi" w:cstheme="minorHAnsi"/>
          <w:sz w:val="20"/>
          <w:szCs w:val="20"/>
        </w:rPr>
        <w:t>Component 2</w:t>
      </w:r>
      <w:r w:rsidR="00AE15F5" w:rsidRPr="0043215C">
        <w:rPr>
          <w:rFonts w:asciiTheme="minorHAnsi" w:hAnsiTheme="minorHAnsi" w:cstheme="minorHAnsi"/>
          <w:sz w:val="20"/>
          <w:szCs w:val="20"/>
        </w:rPr>
        <w:t xml:space="preserve"> (</w:t>
      </w:r>
      <w:r w:rsidR="65081D92" w:rsidRPr="0043215C">
        <w:rPr>
          <w:rFonts w:asciiTheme="minorHAnsi" w:hAnsiTheme="minorHAnsi" w:cstheme="minorHAnsi"/>
          <w:sz w:val="20"/>
          <w:szCs w:val="20"/>
        </w:rPr>
        <w:t>B</w:t>
      </w:r>
      <w:r w:rsidR="00AE15F5" w:rsidRPr="0043215C">
        <w:rPr>
          <w:rFonts w:asciiTheme="minorHAnsi" w:hAnsiTheme="minorHAnsi" w:cstheme="minorHAnsi"/>
          <w:sz w:val="20"/>
          <w:szCs w:val="20"/>
        </w:rPr>
        <w:t>eneficiary</w:t>
      </w:r>
      <w:r w:rsidR="7232778E" w:rsidRPr="0043215C">
        <w:rPr>
          <w:rFonts w:asciiTheme="minorHAnsi" w:hAnsiTheme="minorHAnsi" w:cstheme="minorHAnsi"/>
          <w:sz w:val="20"/>
          <w:szCs w:val="20"/>
        </w:rPr>
        <w:t>:</w:t>
      </w:r>
      <w:r w:rsidR="00AE15F5" w:rsidRPr="0043215C">
        <w:rPr>
          <w:rFonts w:asciiTheme="minorHAnsi" w:hAnsiTheme="minorHAnsi" w:cstheme="minorHAnsi"/>
          <w:sz w:val="20"/>
          <w:szCs w:val="20"/>
        </w:rPr>
        <w:t xml:space="preserve"> private sector)</w:t>
      </w:r>
      <w:r w:rsidRPr="0043215C">
        <w:rPr>
          <w:rFonts w:asciiTheme="minorHAnsi" w:hAnsiTheme="minorHAnsi" w:cstheme="minorHAnsi"/>
          <w:sz w:val="20"/>
          <w:szCs w:val="20"/>
        </w:rPr>
        <w:t xml:space="preserve">: </w:t>
      </w:r>
      <w:r w:rsidR="00B82013" w:rsidRPr="0043215C">
        <w:rPr>
          <w:rFonts w:asciiTheme="minorHAnsi" w:hAnsiTheme="minorHAnsi" w:cstheme="minorHAnsi"/>
          <w:sz w:val="20"/>
          <w:szCs w:val="20"/>
        </w:rPr>
        <w:t>System Flexibility</w:t>
      </w:r>
      <w:r w:rsidR="00B82013" w:rsidRPr="0043215C">
        <w:rPr>
          <w:rFonts w:asciiTheme="minorHAnsi" w:hAnsiTheme="minorHAnsi" w:cstheme="minorHAnsi"/>
          <w:color w:val="000000" w:themeColor="text1"/>
          <w:sz w:val="20"/>
          <w:szCs w:val="20"/>
        </w:rPr>
        <w:t>, Balancing</w:t>
      </w:r>
      <w:r w:rsidR="007D6E12" w:rsidRPr="0043215C">
        <w:rPr>
          <w:rFonts w:asciiTheme="minorHAnsi" w:hAnsiTheme="minorHAnsi" w:cstheme="minorHAnsi"/>
          <w:color w:val="000000" w:themeColor="text1"/>
          <w:sz w:val="20"/>
          <w:szCs w:val="20"/>
        </w:rPr>
        <w:t>,</w:t>
      </w:r>
      <w:r w:rsidR="00B82013" w:rsidRPr="0043215C">
        <w:rPr>
          <w:rFonts w:asciiTheme="minorHAnsi" w:hAnsiTheme="minorHAnsi" w:cstheme="minorHAnsi"/>
          <w:color w:val="000000" w:themeColor="text1"/>
          <w:sz w:val="20"/>
          <w:szCs w:val="20"/>
        </w:rPr>
        <w:t xml:space="preserve"> Stabilization </w:t>
      </w:r>
      <w:r w:rsidR="00FC1935" w:rsidRPr="0043215C">
        <w:rPr>
          <w:rFonts w:asciiTheme="minorHAnsi" w:hAnsiTheme="minorHAnsi" w:cstheme="minorHAnsi"/>
          <w:color w:val="000000" w:themeColor="text1"/>
          <w:sz w:val="20"/>
          <w:szCs w:val="20"/>
        </w:rPr>
        <w:t xml:space="preserve">and </w:t>
      </w:r>
      <w:r w:rsidR="00FC1935" w:rsidRPr="0043215C">
        <w:rPr>
          <w:rFonts w:asciiTheme="minorHAnsi" w:hAnsiTheme="minorHAnsi" w:cstheme="minorHAnsi"/>
          <w:sz w:val="20"/>
          <w:szCs w:val="20"/>
        </w:rPr>
        <w:t>Strengthening Power Infrastructure</w:t>
      </w:r>
      <w:r w:rsidR="00A37528" w:rsidRPr="0043215C">
        <w:rPr>
          <w:rFonts w:asciiTheme="minorHAnsi" w:hAnsiTheme="minorHAnsi" w:cstheme="minorHAnsi"/>
          <w:sz w:val="20"/>
          <w:szCs w:val="20"/>
        </w:rPr>
        <w:t xml:space="preserve"> (EBRD</w:t>
      </w:r>
      <w:r w:rsidR="0034662E" w:rsidRPr="0043215C">
        <w:rPr>
          <w:rFonts w:asciiTheme="minorHAnsi" w:hAnsiTheme="minorHAnsi" w:cstheme="minorHAnsi"/>
          <w:sz w:val="20"/>
          <w:szCs w:val="20"/>
        </w:rPr>
        <w:t xml:space="preserve">: </w:t>
      </w:r>
      <w:r w:rsidR="00636124" w:rsidRPr="0043215C">
        <w:rPr>
          <w:rFonts w:asciiTheme="minorHAnsi" w:hAnsiTheme="minorHAnsi" w:cstheme="minorHAnsi"/>
          <w:sz w:val="20"/>
          <w:szCs w:val="20"/>
        </w:rPr>
        <w:t>US$</w:t>
      </w:r>
      <w:r w:rsidR="007D7E23" w:rsidRPr="0043215C">
        <w:rPr>
          <w:rFonts w:asciiTheme="minorHAnsi" w:hAnsiTheme="minorHAnsi" w:cstheme="minorHAnsi"/>
          <w:sz w:val="20"/>
          <w:szCs w:val="20"/>
        </w:rPr>
        <w:t>150</w:t>
      </w:r>
      <w:r w:rsidR="0034662E" w:rsidRPr="0043215C">
        <w:rPr>
          <w:rFonts w:asciiTheme="minorHAnsi" w:hAnsiTheme="minorHAnsi" w:cstheme="minorHAnsi"/>
          <w:sz w:val="20"/>
          <w:szCs w:val="20"/>
        </w:rPr>
        <w:t>m., IFC</w:t>
      </w:r>
      <w:r w:rsidR="00C665B2" w:rsidRPr="0043215C">
        <w:rPr>
          <w:rFonts w:asciiTheme="minorHAnsi" w:hAnsiTheme="minorHAnsi" w:cstheme="minorHAnsi"/>
          <w:sz w:val="20"/>
          <w:szCs w:val="20"/>
        </w:rPr>
        <w:t xml:space="preserve"> </w:t>
      </w:r>
      <w:r w:rsidR="00636124" w:rsidRPr="0043215C">
        <w:rPr>
          <w:rFonts w:asciiTheme="minorHAnsi" w:hAnsiTheme="minorHAnsi" w:cstheme="minorHAnsi"/>
          <w:sz w:val="20"/>
          <w:szCs w:val="20"/>
        </w:rPr>
        <w:t>US$</w:t>
      </w:r>
      <w:r w:rsidR="007D7E23" w:rsidRPr="0043215C">
        <w:rPr>
          <w:rFonts w:asciiTheme="minorHAnsi" w:hAnsiTheme="minorHAnsi" w:cstheme="minorHAnsi"/>
          <w:sz w:val="20"/>
          <w:szCs w:val="20"/>
        </w:rPr>
        <w:t>150</w:t>
      </w:r>
      <w:r w:rsidR="00C665B2" w:rsidRPr="0043215C">
        <w:rPr>
          <w:rFonts w:asciiTheme="minorHAnsi" w:hAnsiTheme="minorHAnsi" w:cstheme="minorHAnsi"/>
          <w:sz w:val="20"/>
          <w:szCs w:val="20"/>
        </w:rPr>
        <w:t xml:space="preserve">m., </w:t>
      </w:r>
      <w:r w:rsidR="00F60E27" w:rsidRPr="0043215C">
        <w:rPr>
          <w:rFonts w:asciiTheme="minorHAnsi" w:hAnsiTheme="minorHAnsi" w:cstheme="minorHAnsi"/>
          <w:sz w:val="20"/>
          <w:szCs w:val="20"/>
        </w:rPr>
        <w:t xml:space="preserve">CTF: </w:t>
      </w:r>
      <w:r w:rsidR="00636124" w:rsidRPr="0043215C">
        <w:rPr>
          <w:rFonts w:asciiTheme="minorHAnsi" w:hAnsiTheme="minorHAnsi" w:cstheme="minorHAnsi"/>
          <w:sz w:val="20"/>
          <w:szCs w:val="20"/>
        </w:rPr>
        <w:t>US$</w:t>
      </w:r>
      <w:r w:rsidR="007D7E23" w:rsidRPr="0043215C">
        <w:rPr>
          <w:rFonts w:asciiTheme="minorHAnsi" w:hAnsiTheme="minorHAnsi" w:cstheme="minorHAnsi"/>
          <w:sz w:val="20"/>
          <w:szCs w:val="20"/>
        </w:rPr>
        <w:t>30</w:t>
      </w:r>
      <w:r w:rsidR="00F60E27" w:rsidRPr="0043215C">
        <w:rPr>
          <w:rFonts w:asciiTheme="minorHAnsi" w:hAnsiTheme="minorHAnsi" w:cstheme="minorHAnsi"/>
          <w:sz w:val="20"/>
          <w:szCs w:val="20"/>
        </w:rPr>
        <w:t>m.)</w:t>
      </w:r>
    </w:p>
    <w:p w14:paraId="3AFB35F8" w14:textId="1B8D6D9B" w:rsidR="00A80F6C" w:rsidRPr="0043215C" w:rsidRDefault="00A80F6C" w:rsidP="00996556">
      <w:pPr>
        <w:pStyle w:val="BodyText"/>
        <w:numPr>
          <w:ilvl w:val="0"/>
          <w:numId w:val="8"/>
        </w:numPr>
        <w:rPr>
          <w:rFonts w:asciiTheme="minorHAnsi" w:hAnsiTheme="minorHAnsi" w:cstheme="minorHAnsi"/>
          <w:sz w:val="20"/>
          <w:szCs w:val="20"/>
          <w:lang w:val="tr"/>
        </w:rPr>
      </w:pPr>
      <w:r w:rsidRPr="0043215C">
        <w:rPr>
          <w:rFonts w:asciiTheme="minorHAnsi" w:hAnsiTheme="minorHAnsi" w:cstheme="minorHAnsi"/>
          <w:sz w:val="20"/>
          <w:szCs w:val="20"/>
        </w:rPr>
        <w:t>E-mobility infrastructure (EBRD</w:t>
      </w:r>
      <w:r w:rsidR="00873731" w:rsidRPr="0043215C">
        <w:rPr>
          <w:rFonts w:asciiTheme="minorHAnsi" w:hAnsiTheme="minorHAnsi" w:cstheme="minorHAnsi"/>
          <w:sz w:val="20"/>
          <w:szCs w:val="20"/>
        </w:rPr>
        <w:t xml:space="preserve"> </w:t>
      </w:r>
      <w:r w:rsidRPr="0043215C">
        <w:rPr>
          <w:rFonts w:asciiTheme="minorHAnsi" w:hAnsiTheme="minorHAnsi" w:cstheme="minorHAnsi"/>
          <w:sz w:val="20"/>
          <w:szCs w:val="20"/>
        </w:rPr>
        <w:t>and IFC)</w:t>
      </w:r>
    </w:p>
    <w:p w14:paraId="52523473" w14:textId="1BB2866A" w:rsidR="00A80F6C" w:rsidRPr="0043215C" w:rsidRDefault="00A80F6C" w:rsidP="00996556">
      <w:pPr>
        <w:pStyle w:val="BodyText"/>
        <w:numPr>
          <w:ilvl w:val="0"/>
          <w:numId w:val="8"/>
        </w:numPr>
        <w:rPr>
          <w:rFonts w:asciiTheme="minorHAnsi" w:hAnsiTheme="minorHAnsi" w:cstheme="minorHAnsi"/>
          <w:sz w:val="20"/>
          <w:szCs w:val="20"/>
          <w:lang w:val="tr"/>
        </w:rPr>
      </w:pPr>
      <w:r w:rsidRPr="0043215C">
        <w:rPr>
          <w:rFonts w:asciiTheme="minorHAnsi" w:hAnsiTheme="minorHAnsi" w:cstheme="minorHAnsi"/>
          <w:sz w:val="20"/>
          <w:szCs w:val="20"/>
        </w:rPr>
        <w:t xml:space="preserve">Battery </w:t>
      </w:r>
      <w:r w:rsidR="0074056C" w:rsidRPr="0043215C">
        <w:rPr>
          <w:rFonts w:asciiTheme="minorHAnsi" w:hAnsiTheme="minorHAnsi" w:cstheme="minorHAnsi"/>
          <w:sz w:val="20"/>
          <w:szCs w:val="20"/>
        </w:rPr>
        <w:t>Storage (</w:t>
      </w:r>
      <w:r w:rsidRPr="0043215C">
        <w:rPr>
          <w:rFonts w:asciiTheme="minorHAnsi" w:hAnsiTheme="minorHAnsi" w:cstheme="minorHAnsi"/>
          <w:sz w:val="20"/>
          <w:szCs w:val="20"/>
        </w:rPr>
        <w:t>EBRD and IFC)</w:t>
      </w:r>
    </w:p>
    <w:p w14:paraId="23ADF847" w14:textId="2ADB3F57" w:rsidR="009B1011" w:rsidRPr="0043215C" w:rsidRDefault="009B1011" w:rsidP="00996556">
      <w:pPr>
        <w:pStyle w:val="BodyText"/>
        <w:numPr>
          <w:ilvl w:val="0"/>
          <w:numId w:val="8"/>
        </w:numPr>
        <w:rPr>
          <w:rFonts w:asciiTheme="minorHAnsi" w:hAnsiTheme="minorHAnsi" w:cstheme="minorHAnsi"/>
          <w:sz w:val="20"/>
          <w:szCs w:val="20"/>
          <w:lang w:val="tr"/>
        </w:rPr>
      </w:pPr>
      <w:r w:rsidRPr="0043215C">
        <w:rPr>
          <w:rFonts w:asciiTheme="minorHAnsi" w:hAnsiTheme="minorHAnsi" w:cstheme="minorHAnsi"/>
          <w:sz w:val="20"/>
          <w:szCs w:val="20"/>
        </w:rPr>
        <w:t>Digitalization of the power distribution grid (EBRD)</w:t>
      </w:r>
    </w:p>
    <w:p w14:paraId="01304041" w14:textId="5609060B" w:rsidR="112E8E65" w:rsidRPr="0043215C" w:rsidRDefault="112E8E65" w:rsidP="112E8E65">
      <w:pPr>
        <w:pStyle w:val="BodyText"/>
        <w:rPr>
          <w:rFonts w:asciiTheme="minorHAnsi" w:hAnsiTheme="minorHAnsi" w:cstheme="minorHAnsi"/>
          <w:sz w:val="20"/>
          <w:szCs w:val="20"/>
          <w:lang w:val="tr"/>
        </w:rPr>
      </w:pPr>
    </w:p>
    <w:p w14:paraId="3E224B10" w14:textId="4B935175" w:rsidR="003A240F" w:rsidRPr="0043215C" w:rsidRDefault="00A80F6C" w:rsidP="00A7689E">
      <w:pPr>
        <w:spacing w:after="0" w:line="257" w:lineRule="auto"/>
        <w:ind w:right="-20"/>
        <w:rPr>
          <w:rFonts w:eastAsia="Calibri" w:cstheme="minorHAnsi"/>
          <w:sz w:val="20"/>
          <w:szCs w:val="20"/>
        </w:rPr>
      </w:pPr>
      <w:r w:rsidRPr="0043215C">
        <w:rPr>
          <w:rFonts w:eastAsia="Calibri" w:cstheme="minorHAnsi"/>
          <w:sz w:val="20"/>
          <w:szCs w:val="20"/>
        </w:rPr>
        <w:t xml:space="preserve">The CTF will support enabling clean energy transformation in </w:t>
      </w:r>
      <w:r w:rsidR="005B383A" w:rsidRPr="0043215C">
        <w:rPr>
          <w:rFonts w:eastAsia="Calibri" w:cstheme="minorHAnsi"/>
          <w:sz w:val="20"/>
          <w:szCs w:val="20"/>
        </w:rPr>
        <w:t>Türkiye</w:t>
      </w:r>
      <w:r w:rsidRPr="0043215C">
        <w:rPr>
          <w:rFonts w:eastAsia="Calibri" w:cstheme="minorHAnsi"/>
          <w:sz w:val="20"/>
          <w:szCs w:val="20"/>
        </w:rPr>
        <w:t xml:space="preserve"> by scaling up low-carbon </w:t>
      </w:r>
      <w:r w:rsidR="00BB6A21" w:rsidRPr="0043215C">
        <w:rPr>
          <w:rFonts w:eastAsia="Calibri" w:cstheme="minorHAnsi"/>
          <w:sz w:val="20"/>
          <w:szCs w:val="20"/>
        </w:rPr>
        <w:t xml:space="preserve">investments and </w:t>
      </w:r>
      <w:r w:rsidRPr="0043215C">
        <w:rPr>
          <w:rFonts w:eastAsia="Calibri" w:cstheme="minorHAnsi"/>
          <w:sz w:val="20"/>
          <w:szCs w:val="20"/>
        </w:rPr>
        <w:t xml:space="preserve">technologies with significant potential for long-term greenhouse gas emissions savings. </w:t>
      </w:r>
      <w:r w:rsidR="00A04459" w:rsidRPr="0043215C">
        <w:rPr>
          <w:rFonts w:eastAsia="Calibri" w:cstheme="minorHAnsi"/>
          <w:sz w:val="20"/>
          <w:szCs w:val="20"/>
        </w:rPr>
        <w:t>It</w:t>
      </w:r>
      <w:r w:rsidRPr="0043215C">
        <w:rPr>
          <w:rFonts w:eastAsia="Calibri" w:cstheme="minorHAnsi"/>
          <w:sz w:val="20"/>
          <w:szCs w:val="20"/>
        </w:rPr>
        <w:t xml:space="preserve"> will support a wide array of clean technologies across different areas, including REI, energy efficiency (hydropower) and clean transport. Moreover, the outcome of the components will amplify the results obtained by the previous CTF Program in </w:t>
      </w:r>
      <w:r w:rsidR="005B383A" w:rsidRPr="0043215C">
        <w:rPr>
          <w:rFonts w:eastAsia="Calibri" w:cstheme="minorHAnsi"/>
          <w:sz w:val="20"/>
          <w:szCs w:val="20"/>
        </w:rPr>
        <w:t>Türkiye</w:t>
      </w:r>
      <w:r w:rsidRPr="0043215C">
        <w:rPr>
          <w:rFonts w:eastAsia="Calibri" w:cstheme="minorHAnsi"/>
          <w:sz w:val="20"/>
          <w:szCs w:val="20"/>
        </w:rPr>
        <w:t xml:space="preserve">. </w:t>
      </w:r>
    </w:p>
    <w:p w14:paraId="3F1123F9" w14:textId="77777777" w:rsidR="003A240F" w:rsidRPr="0043215C" w:rsidRDefault="003A240F" w:rsidP="00A7689E">
      <w:pPr>
        <w:spacing w:after="0" w:line="257" w:lineRule="auto"/>
        <w:ind w:right="-20"/>
        <w:rPr>
          <w:rFonts w:eastAsia="Calibri" w:cstheme="minorHAnsi"/>
          <w:sz w:val="20"/>
          <w:szCs w:val="20"/>
        </w:rPr>
      </w:pPr>
    </w:p>
    <w:p w14:paraId="3B1A3BF3" w14:textId="44A668D9" w:rsidR="00A80F6C" w:rsidRPr="0043215C" w:rsidRDefault="00A80F6C" w:rsidP="00A7689E">
      <w:pPr>
        <w:spacing w:after="0" w:line="257" w:lineRule="auto"/>
        <w:ind w:right="-20"/>
        <w:rPr>
          <w:rFonts w:cstheme="minorHAnsi"/>
          <w:sz w:val="20"/>
          <w:szCs w:val="20"/>
        </w:rPr>
      </w:pPr>
      <w:r w:rsidRPr="0043215C">
        <w:rPr>
          <w:rFonts w:eastAsia="Calibri" w:cstheme="minorHAnsi"/>
          <w:sz w:val="20"/>
          <w:szCs w:val="20"/>
        </w:rPr>
        <w:t xml:space="preserve">Please see Annex </w:t>
      </w:r>
      <w:r w:rsidR="00534856" w:rsidRPr="0043215C">
        <w:rPr>
          <w:rFonts w:eastAsia="Calibri" w:cstheme="minorHAnsi"/>
          <w:sz w:val="20"/>
          <w:szCs w:val="20"/>
        </w:rPr>
        <w:t>4</w:t>
      </w:r>
      <w:r w:rsidR="008A652B" w:rsidRPr="0043215C">
        <w:rPr>
          <w:rFonts w:eastAsia="Calibri" w:cstheme="minorHAnsi"/>
          <w:sz w:val="20"/>
          <w:szCs w:val="20"/>
        </w:rPr>
        <w:t xml:space="preserve"> </w:t>
      </w:r>
      <w:r w:rsidRPr="0043215C">
        <w:rPr>
          <w:rFonts w:eastAsia="Calibri" w:cstheme="minorHAnsi"/>
          <w:sz w:val="20"/>
          <w:szCs w:val="20"/>
        </w:rPr>
        <w:t xml:space="preserve">for the </w:t>
      </w:r>
      <w:r w:rsidRPr="0043215C">
        <w:rPr>
          <w:rFonts w:cstheme="minorHAnsi"/>
          <w:sz w:val="20"/>
          <w:szCs w:val="20"/>
        </w:rPr>
        <w:t>CIF co-financed investments in Türkiye through CTF from 2012.</w:t>
      </w:r>
    </w:p>
    <w:p w14:paraId="2CE25366" w14:textId="77777777" w:rsidR="00922494" w:rsidRPr="0043215C" w:rsidRDefault="00922494" w:rsidP="00934B9C">
      <w:pPr>
        <w:spacing w:after="0" w:line="240" w:lineRule="auto"/>
        <w:ind w:left="-20" w:right="-20"/>
        <w:jc w:val="left"/>
        <w:rPr>
          <w:rFonts w:eastAsia="Calibri" w:cstheme="minorHAnsi"/>
          <w:b/>
          <w:sz w:val="20"/>
          <w:szCs w:val="20"/>
        </w:rPr>
      </w:pPr>
    </w:p>
    <w:p w14:paraId="59148E29" w14:textId="21114E6F" w:rsidR="00A80F6C" w:rsidRPr="0043215C" w:rsidRDefault="00A80F6C" w:rsidP="00934B9C">
      <w:pPr>
        <w:spacing w:after="0" w:line="240" w:lineRule="auto"/>
        <w:ind w:left="-20" w:right="-20"/>
        <w:jc w:val="left"/>
        <w:rPr>
          <w:rFonts w:eastAsia="Calibri" w:cstheme="minorHAnsi"/>
          <w:b/>
          <w:sz w:val="20"/>
          <w:szCs w:val="20"/>
        </w:rPr>
      </w:pPr>
      <w:r w:rsidRPr="1E9D41E1">
        <w:rPr>
          <w:rFonts w:eastAsia="Calibri"/>
          <w:b/>
          <w:sz w:val="20"/>
          <w:szCs w:val="20"/>
        </w:rPr>
        <w:lastRenderedPageBreak/>
        <w:t>Supported Activities</w:t>
      </w:r>
      <w:r w:rsidR="0078076A" w:rsidRPr="1E9D41E1">
        <w:rPr>
          <w:rStyle w:val="FootnoteReference"/>
          <w:sz w:val="20"/>
          <w:szCs w:val="20"/>
        </w:rPr>
        <w:footnoteReference w:id="28"/>
      </w:r>
    </w:p>
    <w:p w14:paraId="437BE329" w14:textId="77777777" w:rsidR="00B77AD8" w:rsidRPr="0043215C" w:rsidRDefault="00B77AD8" w:rsidP="00934B9C">
      <w:pPr>
        <w:spacing w:after="0" w:line="240" w:lineRule="auto"/>
        <w:ind w:left="-20" w:right="-20"/>
        <w:jc w:val="left"/>
        <w:rPr>
          <w:rFonts w:eastAsia="Calibri" w:cstheme="minorHAnsi"/>
          <w:b/>
          <w:sz w:val="20"/>
          <w:szCs w:val="20"/>
        </w:rPr>
      </w:pPr>
    </w:p>
    <w:p w14:paraId="53FBD39D" w14:textId="4E2865E6" w:rsidR="00A80F6C" w:rsidRPr="0043215C" w:rsidRDefault="00A80F6C" w:rsidP="00934B9C">
      <w:pPr>
        <w:spacing w:after="0" w:line="240" w:lineRule="auto"/>
        <w:ind w:left="-20" w:right="-20"/>
        <w:rPr>
          <w:rFonts w:eastAsia="Calibri" w:cstheme="minorHAnsi"/>
          <w:sz w:val="20"/>
          <w:szCs w:val="20"/>
        </w:rPr>
      </w:pPr>
      <w:r w:rsidRPr="0043215C">
        <w:rPr>
          <w:rFonts w:cstheme="minorHAnsi"/>
          <w:sz w:val="20"/>
          <w:szCs w:val="20"/>
        </w:rPr>
        <w:t xml:space="preserve">The types of eligible infrastructure, technologies, and transformational activities prioritized by the program are described in the next sections. They will contribute to decarbonize Türkiye's economy by significantly contributing </w:t>
      </w:r>
      <w:r w:rsidR="4CD010C0" w:rsidRPr="0043215C">
        <w:rPr>
          <w:rFonts w:cstheme="minorHAnsi"/>
          <w:sz w:val="20"/>
          <w:szCs w:val="20"/>
        </w:rPr>
        <w:t xml:space="preserve">to </w:t>
      </w:r>
      <w:r w:rsidRPr="0043215C">
        <w:rPr>
          <w:rFonts w:cstheme="minorHAnsi"/>
          <w:sz w:val="20"/>
          <w:szCs w:val="20"/>
        </w:rPr>
        <w:t>the continuity and flexibility of the transmission infrastructure of the country. The</w:t>
      </w:r>
      <w:r w:rsidRPr="0043215C">
        <w:rPr>
          <w:rFonts w:eastAsia="Calibri" w:cstheme="minorHAnsi"/>
          <w:sz w:val="20"/>
          <w:szCs w:val="20"/>
        </w:rPr>
        <w:t xml:space="preserve"> strategic areas of intervention prioritized in the </w:t>
      </w:r>
      <w:r w:rsidR="0023236C" w:rsidRPr="0043215C">
        <w:rPr>
          <w:rFonts w:eastAsia="Calibri" w:cstheme="minorHAnsi"/>
          <w:sz w:val="20"/>
          <w:szCs w:val="20"/>
        </w:rPr>
        <w:t>CTF-REI</w:t>
      </w:r>
      <w:r w:rsidRPr="0043215C">
        <w:rPr>
          <w:rFonts w:eastAsia="Calibri" w:cstheme="minorHAnsi"/>
          <w:sz w:val="20"/>
          <w:szCs w:val="20"/>
        </w:rPr>
        <w:t xml:space="preserve"> IP are:</w:t>
      </w:r>
    </w:p>
    <w:p w14:paraId="26F72737" w14:textId="7EDA157F" w:rsidR="001706C0" w:rsidRPr="0043215C" w:rsidRDefault="001706C0" w:rsidP="0006008D">
      <w:pPr>
        <w:spacing w:after="0" w:line="240" w:lineRule="auto"/>
        <w:ind w:right="-20"/>
        <w:rPr>
          <w:rFonts w:eastAsia="Times New Roman" w:cstheme="minorHAnsi"/>
          <w:b/>
          <w:sz w:val="20"/>
          <w:szCs w:val="20"/>
        </w:rPr>
      </w:pPr>
    </w:p>
    <w:p w14:paraId="12280B6E" w14:textId="77D315AC" w:rsidR="00EE47D5" w:rsidRPr="0043215C" w:rsidRDefault="007F1F2B" w:rsidP="0006008D">
      <w:pPr>
        <w:pStyle w:val="BodyText"/>
        <w:jc w:val="both"/>
        <w:rPr>
          <w:rFonts w:asciiTheme="minorHAnsi" w:hAnsiTheme="minorHAnsi" w:cstheme="minorHAnsi"/>
          <w:sz w:val="20"/>
          <w:szCs w:val="20"/>
        </w:rPr>
      </w:pPr>
      <w:r w:rsidRPr="0043215C">
        <w:rPr>
          <w:rFonts w:asciiTheme="minorHAnsi" w:eastAsia="Times New Roman" w:hAnsiTheme="minorHAnsi" w:cstheme="minorHAnsi"/>
          <w:b/>
          <w:sz w:val="20"/>
          <w:szCs w:val="20"/>
        </w:rPr>
        <w:t>Component</w:t>
      </w:r>
      <w:r w:rsidR="00A80F6C" w:rsidRPr="0043215C">
        <w:rPr>
          <w:rFonts w:asciiTheme="minorHAnsi" w:eastAsia="Times New Roman" w:hAnsiTheme="minorHAnsi" w:cstheme="minorHAnsi"/>
          <w:b/>
          <w:sz w:val="20"/>
          <w:szCs w:val="20"/>
        </w:rPr>
        <w:t xml:space="preserve"> 1: </w:t>
      </w:r>
      <w:r w:rsidR="5D666326" w:rsidRPr="0043215C">
        <w:rPr>
          <w:rFonts w:asciiTheme="minorHAnsi" w:eastAsia="Times New Roman" w:hAnsiTheme="minorHAnsi" w:cstheme="minorHAnsi"/>
          <w:color w:val="000000" w:themeColor="text1"/>
          <w:sz w:val="20"/>
          <w:szCs w:val="20"/>
        </w:rPr>
        <w:t>Transforming</w:t>
      </w:r>
      <w:r w:rsidR="498EEE80" w:rsidRPr="0043215C">
        <w:rPr>
          <w:rFonts w:asciiTheme="minorHAnsi" w:eastAsia="Times New Roman" w:hAnsiTheme="minorHAnsi" w:cstheme="minorHAnsi"/>
          <w:color w:val="000000" w:themeColor="text1"/>
          <w:sz w:val="20"/>
          <w:szCs w:val="20"/>
        </w:rPr>
        <w:t xml:space="preserve"> </w:t>
      </w:r>
      <w:r w:rsidR="498EEE80" w:rsidRPr="0043215C">
        <w:rPr>
          <w:rFonts w:asciiTheme="minorHAnsi" w:hAnsiTheme="minorHAnsi" w:cstheme="minorHAnsi"/>
          <w:sz w:val="20"/>
          <w:szCs w:val="20"/>
        </w:rPr>
        <w:t xml:space="preserve">Power Transmission System Project </w:t>
      </w:r>
      <w:r w:rsidR="001F3575">
        <w:rPr>
          <w:rFonts w:asciiTheme="minorHAnsi" w:hAnsiTheme="minorHAnsi" w:cstheme="minorHAnsi"/>
          <w:sz w:val="20"/>
          <w:szCs w:val="20"/>
        </w:rPr>
        <w:t xml:space="preserve">- </w:t>
      </w:r>
      <w:r w:rsidRPr="0043215C">
        <w:rPr>
          <w:rFonts w:asciiTheme="minorHAnsi" w:hAnsiTheme="minorHAnsi" w:cstheme="minorHAnsi"/>
          <w:sz w:val="20"/>
          <w:szCs w:val="20"/>
        </w:rPr>
        <w:t>Phase</w:t>
      </w:r>
      <w:r w:rsidR="00696414" w:rsidRPr="0043215C">
        <w:rPr>
          <w:rFonts w:asciiTheme="minorHAnsi" w:hAnsiTheme="minorHAnsi" w:cstheme="minorHAnsi"/>
          <w:sz w:val="20"/>
          <w:szCs w:val="20"/>
        </w:rPr>
        <w:t>s</w:t>
      </w:r>
      <w:r w:rsidRPr="0043215C">
        <w:rPr>
          <w:rFonts w:asciiTheme="minorHAnsi" w:hAnsiTheme="minorHAnsi" w:cstheme="minorHAnsi"/>
          <w:sz w:val="20"/>
          <w:szCs w:val="20"/>
        </w:rPr>
        <w:t xml:space="preserve"> 1 </w:t>
      </w:r>
      <w:r w:rsidR="00350590" w:rsidRPr="0043215C">
        <w:rPr>
          <w:rFonts w:asciiTheme="minorHAnsi" w:hAnsiTheme="minorHAnsi" w:cstheme="minorHAnsi"/>
          <w:sz w:val="20"/>
          <w:szCs w:val="20"/>
        </w:rPr>
        <w:t>and 2</w:t>
      </w:r>
      <w:r w:rsidRPr="0043215C">
        <w:rPr>
          <w:rFonts w:asciiTheme="minorHAnsi" w:hAnsiTheme="minorHAnsi" w:cstheme="minorHAnsi"/>
          <w:sz w:val="20"/>
          <w:szCs w:val="20"/>
        </w:rPr>
        <w:t xml:space="preserve"> (2025</w:t>
      </w:r>
      <w:r w:rsidR="00466E87" w:rsidRPr="0043215C">
        <w:rPr>
          <w:rFonts w:asciiTheme="minorHAnsi" w:hAnsiTheme="minorHAnsi" w:cstheme="minorHAnsi"/>
          <w:sz w:val="20"/>
          <w:szCs w:val="20"/>
        </w:rPr>
        <w:t xml:space="preserve"> </w:t>
      </w:r>
      <w:r w:rsidR="00350590" w:rsidRPr="0043215C">
        <w:rPr>
          <w:rFonts w:asciiTheme="minorHAnsi" w:hAnsiTheme="minorHAnsi" w:cstheme="minorHAnsi"/>
          <w:sz w:val="20"/>
          <w:szCs w:val="20"/>
        </w:rPr>
        <w:t>and</w:t>
      </w:r>
      <w:r w:rsidR="00466E87" w:rsidRPr="0043215C">
        <w:rPr>
          <w:rFonts w:asciiTheme="minorHAnsi" w:hAnsiTheme="minorHAnsi" w:cstheme="minorHAnsi"/>
          <w:sz w:val="20"/>
          <w:szCs w:val="20"/>
        </w:rPr>
        <w:t xml:space="preserve"> 2027</w:t>
      </w:r>
      <w:r w:rsidR="0042402C" w:rsidRPr="0043215C">
        <w:rPr>
          <w:rFonts w:asciiTheme="minorHAnsi" w:hAnsiTheme="minorHAnsi" w:cstheme="minorHAnsi"/>
          <w:sz w:val="20"/>
          <w:szCs w:val="20"/>
        </w:rPr>
        <w:t>)</w:t>
      </w:r>
    </w:p>
    <w:p w14:paraId="20A71BD9" w14:textId="77777777" w:rsidR="001849C3" w:rsidRPr="0043215C" w:rsidRDefault="001849C3" w:rsidP="0006008D">
      <w:pPr>
        <w:pStyle w:val="BodyText"/>
        <w:jc w:val="both"/>
        <w:rPr>
          <w:rFonts w:asciiTheme="minorHAnsi" w:hAnsiTheme="minorHAnsi" w:cstheme="minorHAnsi"/>
          <w:sz w:val="20"/>
          <w:szCs w:val="20"/>
        </w:rPr>
      </w:pPr>
    </w:p>
    <w:p w14:paraId="51879989" w14:textId="067F23A6" w:rsidR="00A80F6C" w:rsidRPr="0043215C" w:rsidRDefault="00A80F6C" w:rsidP="00934B9C">
      <w:pPr>
        <w:spacing w:after="0" w:line="240" w:lineRule="auto"/>
        <w:rPr>
          <w:rFonts w:eastAsia="Times New Roman" w:cstheme="minorHAnsi"/>
          <w:color w:val="000000" w:themeColor="text1"/>
          <w:sz w:val="20"/>
          <w:szCs w:val="20"/>
        </w:rPr>
      </w:pPr>
      <w:r w:rsidRPr="0043215C">
        <w:rPr>
          <w:rFonts w:eastAsia="Times New Roman" w:cstheme="minorHAnsi"/>
          <w:color w:val="000000" w:themeColor="text1"/>
          <w:sz w:val="20"/>
          <w:szCs w:val="20"/>
        </w:rPr>
        <w:t xml:space="preserve">The </w:t>
      </w:r>
      <w:r w:rsidR="001630D2">
        <w:rPr>
          <w:rFonts w:eastAsia="Times New Roman" w:cstheme="minorHAnsi"/>
          <w:color w:val="000000" w:themeColor="text1"/>
          <w:sz w:val="20"/>
          <w:szCs w:val="20"/>
        </w:rPr>
        <w:t>first Phase of this component</w:t>
      </w:r>
      <w:r w:rsidRPr="0043215C">
        <w:rPr>
          <w:rFonts w:eastAsia="Times New Roman" w:cstheme="minorHAnsi"/>
          <w:color w:val="000000" w:themeColor="text1"/>
          <w:sz w:val="20"/>
          <w:szCs w:val="20"/>
        </w:rPr>
        <w:t>, namely Transforming Power Transmission System (TPTS) Project</w:t>
      </w:r>
      <w:r w:rsidR="00F62D31">
        <w:rPr>
          <w:rFonts w:eastAsia="Times New Roman" w:cstheme="minorHAnsi"/>
          <w:color w:val="000000" w:themeColor="text1"/>
          <w:sz w:val="20"/>
          <w:szCs w:val="20"/>
        </w:rPr>
        <w:t xml:space="preserve"> - Phase 1</w:t>
      </w:r>
      <w:r w:rsidRPr="0043215C">
        <w:rPr>
          <w:rFonts w:eastAsia="Times New Roman" w:cstheme="minorHAnsi"/>
          <w:color w:val="000000" w:themeColor="text1"/>
          <w:sz w:val="20"/>
          <w:szCs w:val="20"/>
        </w:rPr>
        <w:t xml:space="preserve">, will </w:t>
      </w:r>
      <w:r w:rsidR="001955E4" w:rsidRPr="0043215C">
        <w:rPr>
          <w:rFonts w:eastAsia="Times New Roman" w:cstheme="minorHAnsi"/>
          <w:color w:val="000000" w:themeColor="text1"/>
          <w:sz w:val="20"/>
          <w:szCs w:val="20"/>
        </w:rPr>
        <w:t xml:space="preserve">be </w:t>
      </w:r>
      <w:r w:rsidR="00FC51BE">
        <w:rPr>
          <w:rFonts w:eastAsia="Times New Roman" w:cstheme="minorHAnsi"/>
          <w:color w:val="000000" w:themeColor="text1"/>
          <w:sz w:val="20"/>
          <w:szCs w:val="20"/>
        </w:rPr>
        <w:t>par</w:t>
      </w:r>
      <w:r w:rsidR="001630D2">
        <w:rPr>
          <w:rFonts w:eastAsia="Times New Roman" w:cstheme="minorHAnsi"/>
          <w:color w:val="000000" w:themeColor="text1"/>
          <w:sz w:val="20"/>
          <w:szCs w:val="20"/>
        </w:rPr>
        <w:t xml:space="preserve">t of </w:t>
      </w:r>
      <w:r w:rsidRPr="0043215C">
        <w:rPr>
          <w:rFonts w:eastAsia="Times New Roman" w:cstheme="minorHAnsi"/>
          <w:color w:val="000000" w:themeColor="text1"/>
          <w:sz w:val="20"/>
          <w:szCs w:val="20"/>
        </w:rPr>
        <w:t xml:space="preserve">a large REI program of </w:t>
      </w:r>
      <w:r w:rsidR="00636124" w:rsidRPr="0043215C">
        <w:rPr>
          <w:rFonts w:eastAsia="Times New Roman" w:cstheme="minorHAnsi"/>
          <w:color w:val="000000" w:themeColor="text1"/>
          <w:sz w:val="20"/>
          <w:szCs w:val="20"/>
        </w:rPr>
        <w:t>US$</w:t>
      </w:r>
      <w:r w:rsidRPr="0043215C">
        <w:rPr>
          <w:rFonts w:eastAsia="Times New Roman" w:cstheme="minorHAnsi"/>
          <w:color w:val="000000" w:themeColor="text1"/>
          <w:sz w:val="20"/>
          <w:szCs w:val="20"/>
        </w:rPr>
        <w:t xml:space="preserve"> 1.5 billion, which was requested by the </w:t>
      </w:r>
      <w:r w:rsidR="00AA23DB" w:rsidRPr="0043215C">
        <w:rPr>
          <w:rFonts w:eastAsia="Times New Roman" w:cstheme="minorHAnsi"/>
          <w:color w:val="000000" w:themeColor="text1"/>
          <w:sz w:val="20"/>
          <w:szCs w:val="20"/>
        </w:rPr>
        <w:t>g</w:t>
      </w:r>
      <w:r w:rsidR="00B04034" w:rsidRPr="0043215C">
        <w:rPr>
          <w:rFonts w:eastAsia="Times New Roman" w:cstheme="minorHAnsi"/>
          <w:color w:val="000000" w:themeColor="text1"/>
          <w:sz w:val="20"/>
          <w:szCs w:val="20"/>
        </w:rPr>
        <w:t>overnment</w:t>
      </w:r>
      <w:r w:rsidRPr="0043215C">
        <w:rPr>
          <w:rFonts w:eastAsia="Times New Roman" w:cstheme="minorHAnsi"/>
          <w:color w:val="000000" w:themeColor="text1"/>
          <w:sz w:val="20"/>
          <w:szCs w:val="20"/>
        </w:rPr>
        <w:t xml:space="preserve"> from the World Bank, and aims to support </w:t>
      </w:r>
      <w:r w:rsidR="00932CDB" w:rsidRPr="0043215C">
        <w:rPr>
          <w:rFonts w:eastAsia="Times New Roman" w:cstheme="minorHAnsi"/>
          <w:color w:val="000000" w:themeColor="text1"/>
          <w:sz w:val="20"/>
          <w:szCs w:val="20"/>
        </w:rPr>
        <w:t>Türkiye</w:t>
      </w:r>
      <w:r w:rsidRPr="0043215C">
        <w:rPr>
          <w:rFonts w:eastAsia="Times New Roman" w:cstheme="minorHAnsi"/>
          <w:color w:val="000000" w:themeColor="text1"/>
          <w:sz w:val="20"/>
          <w:szCs w:val="20"/>
        </w:rPr>
        <w:t xml:space="preserve"> to transform the transmission system so as to </w:t>
      </w:r>
      <w:r w:rsidR="00270DC5" w:rsidRPr="0043215C">
        <w:rPr>
          <w:rFonts w:eastAsia="Times New Roman" w:cstheme="minorHAnsi"/>
          <w:color w:val="000000" w:themeColor="text1"/>
          <w:sz w:val="20"/>
          <w:szCs w:val="20"/>
        </w:rPr>
        <w:t>support</w:t>
      </w:r>
      <w:r w:rsidRPr="0043215C">
        <w:rPr>
          <w:rFonts w:eastAsia="Times New Roman" w:cstheme="minorHAnsi"/>
          <w:color w:val="000000" w:themeColor="text1"/>
          <w:sz w:val="20"/>
          <w:szCs w:val="20"/>
        </w:rPr>
        <w:t xml:space="preserve"> the country’s ambitious target of additional 60 GW of RE</w:t>
      </w:r>
      <w:r w:rsidR="1010E1D5" w:rsidRPr="0043215C">
        <w:rPr>
          <w:rFonts w:eastAsia="Times New Roman" w:cstheme="minorHAnsi"/>
          <w:color w:val="000000" w:themeColor="text1"/>
          <w:sz w:val="20"/>
          <w:szCs w:val="20"/>
        </w:rPr>
        <w:t xml:space="preserve"> (specifically wind and solar)  generation capacity</w:t>
      </w:r>
      <w:r w:rsidRPr="0043215C">
        <w:rPr>
          <w:rFonts w:eastAsia="Times New Roman" w:cstheme="minorHAnsi"/>
          <w:color w:val="000000" w:themeColor="text1"/>
          <w:sz w:val="20"/>
          <w:szCs w:val="20"/>
        </w:rPr>
        <w:t xml:space="preserve"> by 2035, in line with the </w:t>
      </w:r>
      <w:r w:rsidR="00591024" w:rsidRPr="0043215C">
        <w:rPr>
          <w:rFonts w:eastAsia="Times New Roman" w:cstheme="minorHAnsi"/>
          <w:color w:val="000000" w:themeColor="text1"/>
          <w:sz w:val="20"/>
          <w:szCs w:val="20"/>
        </w:rPr>
        <w:t>g</w:t>
      </w:r>
      <w:r w:rsidR="00B04034" w:rsidRPr="0043215C">
        <w:rPr>
          <w:rFonts w:eastAsia="Times New Roman" w:cstheme="minorHAnsi"/>
          <w:color w:val="000000" w:themeColor="text1"/>
          <w:sz w:val="20"/>
          <w:szCs w:val="20"/>
        </w:rPr>
        <w:t>overnment</w:t>
      </w:r>
      <w:r w:rsidRPr="0043215C">
        <w:rPr>
          <w:rFonts w:eastAsia="Times New Roman" w:cstheme="minorHAnsi"/>
          <w:color w:val="000000" w:themeColor="text1"/>
          <w:sz w:val="20"/>
          <w:szCs w:val="20"/>
        </w:rPr>
        <w:t xml:space="preserve">’s pledge to achieve net zero emissions by 2053. </w:t>
      </w:r>
    </w:p>
    <w:p w14:paraId="5A1A09A4" w14:textId="77777777" w:rsidR="00A80F6C" w:rsidRPr="0043215C" w:rsidRDefault="00A80F6C" w:rsidP="00934B9C">
      <w:pPr>
        <w:spacing w:after="0" w:line="240" w:lineRule="auto"/>
        <w:rPr>
          <w:rFonts w:eastAsia="Times New Roman" w:cstheme="minorHAnsi"/>
          <w:color w:val="000000" w:themeColor="text1"/>
          <w:sz w:val="20"/>
          <w:szCs w:val="20"/>
        </w:rPr>
      </w:pPr>
    </w:p>
    <w:p w14:paraId="33F0AF7F" w14:textId="40102A71" w:rsidR="00A80F6C" w:rsidRPr="0043215C" w:rsidRDefault="00A80F6C" w:rsidP="00934B9C">
      <w:pPr>
        <w:spacing w:after="0" w:line="240" w:lineRule="auto"/>
        <w:rPr>
          <w:rFonts w:eastAsia="Times New Roman" w:cstheme="minorHAnsi"/>
          <w:color w:val="000000" w:themeColor="text1"/>
          <w:sz w:val="20"/>
          <w:szCs w:val="20"/>
        </w:rPr>
      </w:pPr>
      <w:r w:rsidRPr="0043215C">
        <w:rPr>
          <w:rFonts w:eastAsia="Times New Roman" w:cstheme="minorHAnsi"/>
          <w:color w:val="000000" w:themeColor="text1"/>
          <w:sz w:val="20"/>
          <w:szCs w:val="20"/>
        </w:rPr>
        <w:t>The Ministry of Treasury and Finance (</w:t>
      </w:r>
      <w:proofErr w:type="spellStart"/>
      <w:r w:rsidRPr="0043215C">
        <w:rPr>
          <w:rFonts w:eastAsia="Times New Roman" w:cstheme="minorHAnsi"/>
          <w:color w:val="000000" w:themeColor="text1"/>
          <w:sz w:val="20"/>
          <w:szCs w:val="20"/>
        </w:rPr>
        <w:t>MoTF</w:t>
      </w:r>
      <w:proofErr w:type="spellEnd"/>
      <w:r w:rsidRPr="0043215C">
        <w:rPr>
          <w:rFonts w:eastAsia="Times New Roman" w:cstheme="minorHAnsi"/>
          <w:color w:val="000000" w:themeColor="text1"/>
          <w:sz w:val="20"/>
          <w:szCs w:val="20"/>
        </w:rPr>
        <w:t xml:space="preserve">) endorsed and shared with the World Bank on January 19, </w:t>
      </w:r>
      <w:proofErr w:type="gramStart"/>
      <w:r w:rsidR="00CE5275" w:rsidRPr="0043215C">
        <w:rPr>
          <w:rFonts w:eastAsia="Times New Roman" w:cstheme="minorHAnsi"/>
          <w:color w:val="000000" w:themeColor="text1"/>
          <w:sz w:val="20"/>
          <w:szCs w:val="20"/>
        </w:rPr>
        <w:t>2024</w:t>
      </w:r>
      <w:proofErr w:type="gramEnd"/>
      <w:r w:rsidRPr="0043215C">
        <w:rPr>
          <w:rFonts w:eastAsia="Times New Roman" w:cstheme="minorHAnsi"/>
          <w:color w:val="000000" w:themeColor="text1"/>
          <w:sz w:val="20"/>
          <w:szCs w:val="20"/>
        </w:rPr>
        <w:t xml:space="preserve"> the </w:t>
      </w:r>
      <w:r w:rsidR="007F1C22" w:rsidRPr="0043215C">
        <w:rPr>
          <w:rFonts w:eastAsia="Times New Roman" w:cstheme="minorHAnsi"/>
          <w:color w:val="000000" w:themeColor="text1"/>
          <w:sz w:val="20"/>
          <w:szCs w:val="20"/>
        </w:rPr>
        <w:t xml:space="preserve">formal </w:t>
      </w:r>
      <w:r w:rsidRPr="0043215C">
        <w:rPr>
          <w:rFonts w:eastAsia="Times New Roman" w:cstheme="minorHAnsi"/>
          <w:color w:val="000000" w:themeColor="text1"/>
          <w:sz w:val="20"/>
          <w:szCs w:val="20"/>
        </w:rPr>
        <w:t xml:space="preserve">request </w:t>
      </w:r>
      <w:r w:rsidR="007F1C22" w:rsidRPr="0043215C">
        <w:rPr>
          <w:rFonts w:eastAsia="Times New Roman" w:cstheme="minorHAnsi"/>
          <w:color w:val="000000" w:themeColor="text1"/>
          <w:sz w:val="20"/>
          <w:szCs w:val="20"/>
        </w:rPr>
        <w:t>letter</w:t>
      </w:r>
      <w:r w:rsidRPr="0043215C">
        <w:rPr>
          <w:rFonts w:eastAsia="Times New Roman" w:cstheme="minorHAnsi"/>
          <w:color w:val="000000" w:themeColor="text1"/>
          <w:sz w:val="20"/>
          <w:szCs w:val="20"/>
        </w:rPr>
        <w:t xml:space="preserve"> by the </w:t>
      </w:r>
      <w:r w:rsidR="002B50C9" w:rsidRPr="0043215C">
        <w:rPr>
          <w:rFonts w:eastAsia="Times New Roman" w:cstheme="minorHAnsi"/>
          <w:color w:val="000000" w:themeColor="text1"/>
          <w:sz w:val="20"/>
          <w:szCs w:val="20"/>
        </w:rPr>
        <w:t>TEİAŞ</w:t>
      </w:r>
      <w:r w:rsidRPr="0043215C">
        <w:rPr>
          <w:rFonts w:eastAsia="Times New Roman" w:cstheme="minorHAnsi"/>
          <w:color w:val="000000" w:themeColor="text1"/>
          <w:sz w:val="20"/>
          <w:szCs w:val="20"/>
        </w:rPr>
        <w:t xml:space="preserve"> for new World Bank and CTF loans. </w:t>
      </w:r>
    </w:p>
    <w:p w14:paraId="33896996" w14:textId="77777777" w:rsidR="00A80F6C" w:rsidRPr="0043215C" w:rsidRDefault="00A80F6C" w:rsidP="00934B9C">
      <w:pPr>
        <w:spacing w:after="0" w:line="240" w:lineRule="auto"/>
        <w:rPr>
          <w:rFonts w:eastAsia="Times New Roman" w:cstheme="minorHAnsi"/>
          <w:color w:val="000000" w:themeColor="text1"/>
          <w:sz w:val="20"/>
          <w:szCs w:val="20"/>
        </w:rPr>
      </w:pPr>
    </w:p>
    <w:p w14:paraId="39A48027" w14:textId="2F3A4F40" w:rsidR="00A80F6C" w:rsidRPr="0043215C" w:rsidRDefault="00A80F6C" w:rsidP="00934B9C">
      <w:pPr>
        <w:spacing w:after="0" w:line="240" w:lineRule="auto"/>
        <w:rPr>
          <w:rFonts w:eastAsia="Times New Roman" w:cstheme="minorHAnsi"/>
          <w:color w:val="000000" w:themeColor="text1"/>
          <w:sz w:val="20"/>
          <w:szCs w:val="20"/>
        </w:rPr>
      </w:pPr>
      <w:r w:rsidRPr="0043215C">
        <w:rPr>
          <w:rFonts w:eastAsia="Times New Roman" w:cstheme="minorHAnsi"/>
          <w:color w:val="000000" w:themeColor="text1"/>
          <w:sz w:val="20"/>
          <w:szCs w:val="20"/>
        </w:rPr>
        <w:t xml:space="preserve">The proposed Project Development Objective (PDO) is to assist </w:t>
      </w:r>
      <w:r w:rsidR="00AE460B" w:rsidRPr="0043215C">
        <w:rPr>
          <w:rFonts w:eastAsia="Times New Roman" w:cstheme="minorHAnsi"/>
          <w:color w:val="000000" w:themeColor="text1"/>
          <w:sz w:val="20"/>
          <w:szCs w:val="20"/>
        </w:rPr>
        <w:t>Türkiye</w:t>
      </w:r>
      <w:r w:rsidRPr="0043215C">
        <w:rPr>
          <w:rFonts w:eastAsia="Times New Roman" w:cstheme="minorHAnsi"/>
          <w:color w:val="000000" w:themeColor="text1"/>
          <w:sz w:val="20"/>
          <w:szCs w:val="20"/>
        </w:rPr>
        <w:t xml:space="preserve"> in scaling-up the renewable energy generation by strengthening and further digitizing the power transmission system</w:t>
      </w:r>
      <w:r w:rsidR="00AE460B" w:rsidRPr="0043215C">
        <w:rPr>
          <w:rFonts w:eastAsia="Times New Roman" w:cstheme="minorHAnsi"/>
          <w:color w:val="000000" w:themeColor="text1"/>
          <w:sz w:val="20"/>
          <w:szCs w:val="20"/>
        </w:rPr>
        <w:t xml:space="preserve"> </w:t>
      </w:r>
      <w:r w:rsidRPr="0043215C">
        <w:rPr>
          <w:rFonts w:eastAsia="Times New Roman" w:cstheme="minorHAnsi"/>
          <w:color w:val="000000" w:themeColor="text1"/>
          <w:sz w:val="20"/>
          <w:szCs w:val="20"/>
        </w:rPr>
        <w:t xml:space="preserve">and facilitating large-scale renewable energy integration. The project </w:t>
      </w:r>
      <w:r w:rsidR="00E7686A" w:rsidRPr="0043215C">
        <w:rPr>
          <w:rFonts w:eastAsia="Times New Roman" w:cstheme="minorHAnsi"/>
          <w:color w:val="000000" w:themeColor="text1"/>
          <w:sz w:val="20"/>
          <w:szCs w:val="20"/>
        </w:rPr>
        <w:t>will</w:t>
      </w:r>
      <w:r w:rsidRPr="0043215C">
        <w:rPr>
          <w:rFonts w:eastAsia="Times New Roman" w:cstheme="minorHAnsi"/>
          <w:color w:val="000000" w:themeColor="text1"/>
          <w:sz w:val="20"/>
          <w:szCs w:val="20"/>
        </w:rPr>
        <w:t xml:space="preserve"> consist of four sub-components as follows:</w:t>
      </w:r>
    </w:p>
    <w:p w14:paraId="76D517C7" w14:textId="77777777" w:rsidR="00A80F6C" w:rsidRPr="0043215C" w:rsidRDefault="00A80F6C" w:rsidP="00934B9C">
      <w:pPr>
        <w:spacing w:after="0" w:line="240" w:lineRule="auto"/>
        <w:rPr>
          <w:rFonts w:eastAsia="Times New Roman" w:cstheme="minorHAnsi"/>
          <w:color w:val="000000" w:themeColor="text1"/>
          <w:sz w:val="20"/>
          <w:szCs w:val="20"/>
        </w:rPr>
      </w:pPr>
      <w:r w:rsidRPr="0043215C">
        <w:rPr>
          <w:rFonts w:eastAsia="Times New Roman" w:cstheme="minorHAnsi"/>
          <w:color w:val="000000" w:themeColor="text1"/>
          <w:sz w:val="20"/>
          <w:szCs w:val="20"/>
        </w:rPr>
        <w:t xml:space="preserve"> </w:t>
      </w:r>
    </w:p>
    <w:p w14:paraId="67FE35A9" w14:textId="72D92921" w:rsidR="00A80F6C" w:rsidRPr="0043215C" w:rsidRDefault="00A80F6C" w:rsidP="00996556">
      <w:pPr>
        <w:pStyle w:val="BodyText"/>
        <w:numPr>
          <w:ilvl w:val="0"/>
          <w:numId w:val="9"/>
        </w:numPr>
        <w:jc w:val="both"/>
        <w:rPr>
          <w:rFonts w:asciiTheme="minorHAnsi" w:hAnsiTheme="minorHAnsi" w:cstheme="minorBidi"/>
          <w:sz w:val="20"/>
          <w:szCs w:val="20"/>
        </w:rPr>
      </w:pPr>
      <w:r w:rsidRPr="12254020">
        <w:rPr>
          <w:rFonts w:asciiTheme="minorHAnsi" w:hAnsiTheme="minorHAnsi" w:cstheme="minorBidi"/>
          <w:sz w:val="20"/>
          <w:szCs w:val="20"/>
        </w:rPr>
        <w:t>Sub-component</w:t>
      </w:r>
      <w:r w:rsidR="3BD75F66" w:rsidRPr="12254020">
        <w:rPr>
          <w:rFonts w:asciiTheme="minorHAnsi" w:hAnsiTheme="minorHAnsi" w:cstheme="minorBidi"/>
          <w:sz w:val="20"/>
          <w:szCs w:val="20"/>
        </w:rPr>
        <w:t xml:space="preserve"> </w:t>
      </w:r>
      <w:r w:rsidRPr="12254020">
        <w:rPr>
          <w:rFonts w:asciiTheme="minorHAnsi" w:hAnsiTheme="minorHAnsi" w:cstheme="minorBidi"/>
          <w:sz w:val="20"/>
          <w:szCs w:val="20"/>
        </w:rPr>
        <w:t>1: Development of transmission infrastructure to facilitate scale-up of RE,</w:t>
      </w:r>
    </w:p>
    <w:p w14:paraId="1E5D84B7" w14:textId="36CA82E8" w:rsidR="00A80F6C" w:rsidRPr="0043215C" w:rsidRDefault="00A80F6C" w:rsidP="00996556">
      <w:pPr>
        <w:pStyle w:val="BodyText"/>
        <w:numPr>
          <w:ilvl w:val="0"/>
          <w:numId w:val="9"/>
        </w:numPr>
        <w:jc w:val="both"/>
        <w:rPr>
          <w:rFonts w:asciiTheme="minorHAnsi" w:hAnsiTheme="minorHAnsi" w:cstheme="minorBidi"/>
          <w:sz w:val="20"/>
          <w:szCs w:val="20"/>
        </w:rPr>
      </w:pPr>
      <w:r w:rsidRPr="14F7C12C">
        <w:rPr>
          <w:rFonts w:asciiTheme="minorHAnsi" w:hAnsiTheme="minorHAnsi" w:cstheme="minorBidi"/>
          <w:sz w:val="20"/>
          <w:szCs w:val="20"/>
        </w:rPr>
        <w:t>Sub-component</w:t>
      </w:r>
      <w:r w:rsidR="01E41673" w:rsidRPr="14F7C12C">
        <w:rPr>
          <w:rFonts w:asciiTheme="minorHAnsi" w:hAnsiTheme="minorHAnsi" w:cstheme="minorBidi"/>
          <w:sz w:val="20"/>
          <w:szCs w:val="20"/>
        </w:rPr>
        <w:t xml:space="preserve"> </w:t>
      </w:r>
      <w:r w:rsidRPr="14F7C12C">
        <w:rPr>
          <w:rFonts w:asciiTheme="minorHAnsi" w:hAnsiTheme="minorHAnsi" w:cstheme="minorBidi"/>
          <w:sz w:val="20"/>
          <w:szCs w:val="20"/>
        </w:rPr>
        <w:t>2: Strengthening of transmission networks and interconnections,</w:t>
      </w:r>
    </w:p>
    <w:p w14:paraId="04B91EAD" w14:textId="5212E6F9" w:rsidR="00A80F6C" w:rsidRPr="0043215C" w:rsidRDefault="00A80F6C" w:rsidP="00996556">
      <w:pPr>
        <w:pStyle w:val="BodyText"/>
        <w:numPr>
          <w:ilvl w:val="0"/>
          <w:numId w:val="9"/>
        </w:numPr>
        <w:jc w:val="both"/>
        <w:rPr>
          <w:rFonts w:asciiTheme="minorHAnsi" w:hAnsiTheme="minorHAnsi" w:cstheme="minorBidi"/>
          <w:sz w:val="20"/>
          <w:szCs w:val="20"/>
        </w:rPr>
      </w:pPr>
      <w:r w:rsidRPr="14F7C12C">
        <w:rPr>
          <w:rFonts w:asciiTheme="minorHAnsi" w:hAnsiTheme="minorHAnsi" w:cstheme="minorBidi"/>
          <w:sz w:val="20"/>
          <w:szCs w:val="20"/>
        </w:rPr>
        <w:t>Sub-</w:t>
      </w:r>
      <w:r w:rsidRPr="12254020">
        <w:rPr>
          <w:rFonts w:asciiTheme="minorHAnsi" w:hAnsiTheme="minorHAnsi" w:cstheme="minorBidi"/>
          <w:sz w:val="20"/>
          <w:szCs w:val="20"/>
        </w:rPr>
        <w:t>component</w:t>
      </w:r>
      <w:r w:rsidR="521E97DD" w:rsidRPr="12254020">
        <w:rPr>
          <w:rFonts w:asciiTheme="minorHAnsi" w:hAnsiTheme="minorHAnsi" w:cstheme="minorBidi"/>
          <w:sz w:val="20"/>
          <w:szCs w:val="20"/>
        </w:rPr>
        <w:t xml:space="preserve"> </w:t>
      </w:r>
      <w:r w:rsidRPr="12254020">
        <w:rPr>
          <w:rFonts w:asciiTheme="minorHAnsi" w:hAnsiTheme="minorHAnsi" w:cstheme="minorBidi"/>
          <w:sz w:val="20"/>
          <w:szCs w:val="20"/>
        </w:rPr>
        <w:t>3</w:t>
      </w:r>
      <w:r w:rsidRPr="14F7C12C">
        <w:rPr>
          <w:rFonts w:asciiTheme="minorHAnsi" w:hAnsiTheme="minorHAnsi" w:cstheme="minorBidi"/>
          <w:sz w:val="20"/>
          <w:szCs w:val="20"/>
        </w:rPr>
        <w:t>:</w:t>
      </w:r>
      <w:r w:rsidR="00591024" w:rsidRPr="14F7C12C">
        <w:rPr>
          <w:rFonts w:asciiTheme="minorHAnsi" w:hAnsiTheme="minorHAnsi" w:cstheme="minorBidi"/>
          <w:sz w:val="20"/>
          <w:szCs w:val="20"/>
        </w:rPr>
        <w:t xml:space="preserve"> </w:t>
      </w:r>
      <w:r w:rsidRPr="14F7C12C">
        <w:rPr>
          <w:rFonts w:asciiTheme="minorHAnsi" w:hAnsiTheme="minorHAnsi" w:cstheme="minorBidi"/>
          <w:sz w:val="20"/>
          <w:szCs w:val="20"/>
        </w:rPr>
        <w:t xml:space="preserve">Digital and smart-grid investments to strengthen grid operation and management, </w:t>
      </w:r>
    </w:p>
    <w:p w14:paraId="4CDA7D2F" w14:textId="49A67A76" w:rsidR="00A80F6C" w:rsidRPr="0043215C" w:rsidRDefault="144F7B37" w:rsidP="00996556">
      <w:pPr>
        <w:pStyle w:val="BodyText"/>
        <w:numPr>
          <w:ilvl w:val="0"/>
          <w:numId w:val="9"/>
        </w:numPr>
        <w:jc w:val="both"/>
        <w:rPr>
          <w:rFonts w:asciiTheme="minorHAnsi" w:hAnsiTheme="minorHAnsi" w:cstheme="minorBidi"/>
          <w:sz w:val="20"/>
          <w:szCs w:val="20"/>
        </w:rPr>
      </w:pPr>
      <w:r w:rsidRPr="07802AF9">
        <w:rPr>
          <w:rFonts w:asciiTheme="minorHAnsi" w:hAnsiTheme="minorHAnsi" w:cstheme="minorBidi"/>
          <w:sz w:val="20"/>
          <w:szCs w:val="20"/>
        </w:rPr>
        <w:t>Sub-</w:t>
      </w:r>
      <w:r w:rsidRPr="2193DDAE">
        <w:rPr>
          <w:rFonts w:asciiTheme="minorHAnsi" w:hAnsiTheme="minorHAnsi" w:cstheme="minorBidi"/>
          <w:sz w:val="20"/>
          <w:szCs w:val="20"/>
        </w:rPr>
        <w:t>component</w:t>
      </w:r>
      <w:r w:rsidR="04D0CFE1" w:rsidRPr="2193DDAE">
        <w:rPr>
          <w:rFonts w:asciiTheme="minorHAnsi" w:hAnsiTheme="minorHAnsi" w:cstheme="minorBidi"/>
          <w:sz w:val="20"/>
          <w:szCs w:val="20"/>
        </w:rPr>
        <w:t xml:space="preserve"> </w:t>
      </w:r>
      <w:r w:rsidRPr="2193DDAE">
        <w:rPr>
          <w:rFonts w:asciiTheme="minorHAnsi" w:hAnsiTheme="minorHAnsi" w:cstheme="minorBidi"/>
          <w:sz w:val="20"/>
          <w:szCs w:val="20"/>
        </w:rPr>
        <w:t>4</w:t>
      </w:r>
      <w:r w:rsidRPr="07802AF9">
        <w:rPr>
          <w:rFonts w:asciiTheme="minorHAnsi" w:hAnsiTheme="minorHAnsi" w:cstheme="minorBidi"/>
          <w:sz w:val="20"/>
          <w:szCs w:val="20"/>
        </w:rPr>
        <w:t>: Technical Assistance and Capacity Building</w:t>
      </w:r>
      <w:r w:rsidR="51C8DFBC" w:rsidRPr="07802AF9">
        <w:rPr>
          <w:rFonts w:asciiTheme="minorHAnsi" w:hAnsiTheme="minorHAnsi" w:cstheme="minorBidi"/>
          <w:sz w:val="20"/>
          <w:szCs w:val="20"/>
        </w:rPr>
        <w:t xml:space="preserve">.  </w:t>
      </w:r>
      <w:r w:rsidR="00FA1267" w:rsidRPr="07802AF9">
        <w:rPr>
          <w:rFonts w:asciiTheme="minorHAnsi" w:hAnsiTheme="minorHAnsi" w:cstheme="minorBidi"/>
          <w:sz w:val="20"/>
          <w:szCs w:val="20"/>
        </w:rPr>
        <w:t>In addition, t</w:t>
      </w:r>
      <w:r w:rsidR="51C8DFBC" w:rsidRPr="07802AF9">
        <w:rPr>
          <w:rFonts w:asciiTheme="minorHAnsi" w:hAnsiTheme="minorHAnsi" w:cstheme="minorBidi"/>
          <w:sz w:val="20"/>
          <w:szCs w:val="20"/>
        </w:rPr>
        <w:t>his component aim</w:t>
      </w:r>
      <w:r w:rsidR="00FA1267" w:rsidRPr="07802AF9">
        <w:rPr>
          <w:rFonts w:asciiTheme="minorHAnsi" w:hAnsiTheme="minorHAnsi" w:cstheme="minorBidi"/>
          <w:sz w:val="20"/>
          <w:szCs w:val="20"/>
        </w:rPr>
        <w:t>s</w:t>
      </w:r>
      <w:r w:rsidR="51C8DFBC" w:rsidRPr="07802AF9">
        <w:rPr>
          <w:rFonts w:asciiTheme="minorHAnsi" w:hAnsiTheme="minorHAnsi" w:cstheme="minorBidi"/>
          <w:sz w:val="20"/>
          <w:szCs w:val="20"/>
        </w:rPr>
        <w:t xml:space="preserve"> at preparing </w:t>
      </w:r>
      <w:r w:rsidR="1F691BB8" w:rsidRPr="07802AF9">
        <w:rPr>
          <w:rFonts w:asciiTheme="minorHAnsi" w:hAnsiTheme="minorHAnsi" w:cstheme="minorBidi"/>
          <w:sz w:val="20"/>
          <w:szCs w:val="20"/>
        </w:rPr>
        <w:t>a second project (Phase 2)</w:t>
      </w:r>
      <w:r w:rsidR="007C79C5" w:rsidRPr="07802AF9">
        <w:rPr>
          <w:rFonts w:asciiTheme="minorHAnsi" w:hAnsiTheme="minorHAnsi" w:cstheme="minorBidi"/>
          <w:sz w:val="20"/>
          <w:szCs w:val="20"/>
        </w:rPr>
        <w:t>.</w:t>
      </w:r>
    </w:p>
    <w:p w14:paraId="75013F99" w14:textId="77777777" w:rsidR="00A80F6C" w:rsidRPr="0043215C" w:rsidRDefault="00A80F6C" w:rsidP="004B766D">
      <w:pPr>
        <w:spacing w:after="0" w:line="240" w:lineRule="auto"/>
        <w:rPr>
          <w:rFonts w:eastAsia="Times New Roman" w:cstheme="minorHAnsi"/>
          <w:color w:val="000000" w:themeColor="text1"/>
          <w:sz w:val="20"/>
          <w:szCs w:val="20"/>
        </w:rPr>
      </w:pPr>
      <w:r w:rsidRPr="0043215C">
        <w:rPr>
          <w:rFonts w:eastAsia="Times New Roman" w:cstheme="minorHAnsi"/>
          <w:color w:val="000000" w:themeColor="text1"/>
          <w:sz w:val="20"/>
          <w:szCs w:val="20"/>
        </w:rPr>
        <w:t xml:space="preserve"> </w:t>
      </w:r>
    </w:p>
    <w:p w14:paraId="4BF1D461" w14:textId="520A3E24" w:rsidR="00A80F6C" w:rsidRPr="0043215C" w:rsidRDefault="00A80F6C" w:rsidP="004B766D">
      <w:pPr>
        <w:spacing w:after="0" w:line="240" w:lineRule="auto"/>
        <w:rPr>
          <w:rFonts w:eastAsia="Times New Roman"/>
          <w:color w:val="000000" w:themeColor="text1"/>
          <w:sz w:val="20"/>
          <w:szCs w:val="20"/>
        </w:rPr>
      </w:pPr>
      <w:r w:rsidRPr="2193DDAE">
        <w:rPr>
          <w:rFonts w:eastAsia="Times New Roman"/>
          <w:color w:val="000000" w:themeColor="text1"/>
          <w:sz w:val="20"/>
          <w:szCs w:val="20"/>
        </w:rPr>
        <w:t>The sub-components 1</w:t>
      </w:r>
      <w:r w:rsidR="000600A3" w:rsidRPr="2193DDAE">
        <w:rPr>
          <w:rFonts w:eastAsia="Times New Roman"/>
          <w:color w:val="000000" w:themeColor="text1"/>
          <w:sz w:val="20"/>
          <w:szCs w:val="20"/>
        </w:rPr>
        <w:t xml:space="preserve"> </w:t>
      </w:r>
      <w:r w:rsidRPr="2193DDAE">
        <w:rPr>
          <w:rFonts w:eastAsia="Times New Roman"/>
          <w:color w:val="000000" w:themeColor="text1"/>
          <w:sz w:val="20"/>
          <w:szCs w:val="20"/>
        </w:rPr>
        <w:t xml:space="preserve">and 2 are comprised of both greenfield and brownfield investments. Modernization and transformation of the power system will significantly contribute to ensuring future demand and improving the flexibility, adaptability, and resilience of the system to absorb higher volumes of VRE. </w:t>
      </w:r>
      <w:r w:rsidR="40E982B3" w:rsidRPr="2193DDAE">
        <w:rPr>
          <w:rFonts w:eastAsia="Times New Roman"/>
          <w:color w:val="000000" w:themeColor="text1"/>
          <w:sz w:val="20"/>
          <w:szCs w:val="20"/>
        </w:rPr>
        <w:t>Sub</w:t>
      </w:r>
      <w:r w:rsidRPr="2193DDAE">
        <w:rPr>
          <w:rFonts w:eastAsia="Times New Roman"/>
          <w:color w:val="000000" w:themeColor="text1"/>
          <w:sz w:val="20"/>
          <w:szCs w:val="20"/>
        </w:rPr>
        <w:t xml:space="preserve">-component </w:t>
      </w:r>
      <w:r w:rsidR="006B6FC9" w:rsidRPr="2193DDAE">
        <w:rPr>
          <w:rFonts w:eastAsia="Times New Roman"/>
          <w:color w:val="000000" w:themeColor="text1"/>
          <w:sz w:val="20"/>
          <w:szCs w:val="20"/>
        </w:rPr>
        <w:t>3</w:t>
      </w:r>
      <w:r w:rsidRPr="2193DDAE">
        <w:rPr>
          <w:rFonts w:eastAsia="Times New Roman"/>
          <w:color w:val="000000" w:themeColor="text1"/>
          <w:sz w:val="20"/>
          <w:szCs w:val="20"/>
        </w:rPr>
        <w:t xml:space="preserve"> comprises </w:t>
      </w:r>
      <w:r w:rsidRPr="2193DDAE">
        <w:rPr>
          <w:rFonts w:eastAsia="Times New Roman"/>
          <w:color w:val="000000" w:themeColor="text1"/>
          <w:sz w:val="20"/>
          <w:szCs w:val="20"/>
        </w:rPr>
        <w:lastRenderedPageBreak/>
        <w:t>digital and smart-grid investments to strengthen grid operation and management such as upgrade of the nationwide SCADA-EMS.</w:t>
      </w:r>
    </w:p>
    <w:p w14:paraId="176D7A90" w14:textId="77777777" w:rsidR="00A80F6C" w:rsidRPr="0043215C" w:rsidRDefault="00A80F6C" w:rsidP="004B766D">
      <w:pPr>
        <w:spacing w:after="0" w:line="240" w:lineRule="auto"/>
        <w:rPr>
          <w:rFonts w:eastAsia="Times New Roman" w:cstheme="minorHAnsi"/>
          <w:color w:val="000000" w:themeColor="text1"/>
          <w:sz w:val="20"/>
          <w:szCs w:val="20"/>
        </w:rPr>
      </w:pPr>
    </w:p>
    <w:p w14:paraId="5E039A50" w14:textId="1F98A4D7" w:rsidR="00A80F6C" w:rsidRPr="0043215C" w:rsidRDefault="00A80F6C" w:rsidP="004B766D">
      <w:pPr>
        <w:spacing w:after="0" w:line="240" w:lineRule="auto"/>
        <w:rPr>
          <w:rFonts w:eastAsia="Times New Roman" w:cstheme="minorHAnsi"/>
          <w:color w:val="000000" w:themeColor="text1"/>
          <w:sz w:val="20"/>
          <w:szCs w:val="20"/>
        </w:rPr>
      </w:pPr>
      <w:r w:rsidRPr="0043215C">
        <w:rPr>
          <w:rFonts w:eastAsia="Times New Roman" w:cstheme="minorHAnsi"/>
          <w:color w:val="000000" w:themeColor="text1"/>
          <w:sz w:val="20"/>
          <w:szCs w:val="20"/>
        </w:rPr>
        <w:t xml:space="preserve">The </w:t>
      </w:r>
      <w:r w:rsidR="00B04034" w:rsidRPr="0043215C">
        <w:rPr>
          <w:rFonts w:eastAsia="Times New Roman" w:cstheme="minorHAnsi"/>
          <w:color w:val="000000" w:themeColor="text1"/>
          <w:sz w:val="20"/>
          <w:szCs w:val="20"/>
        </w:rPr>
        <w:t>Government</w:t>
      </w:r>
      <w:r w:rsidRPr="0043215C">
        <w:rPr>
          <w:rFonts w:eastAsia="Times New Roman" w:cstheme="minorHAnsi"/>
          <w:color w:val="000000" w:themeColor="text1"/>
          <w:sz w:val="20"/>
          <w:szCs w:val="20"/>
        </w:rPr>
        <w:t xml:space="preserve"> expressed interest in including in the scope of the proposed project a technical assistance component to help </w:t>
      </w:r>
      <w:r w:rsidR="002B50C9" w:rsidRPr="0043215C">
        <w:rPr>
          <w:rFonts w:eastAsia="Times New Roman" w:cstheme="minorHAnsi"/>
          <w:color w:val="000000" w:themeColor="text1"/>
          <w:sz w:val="20"/>
          <w:szCs w:val="20"/>
        </w:rPr>
        <w:t>TEİAŞ</w:t>
      </w:r>
      <w:r w:rsidRPr="0043215C">
        <w:rPr>
          <w:rFonts w:eastAsia="Times New Roman" w:cstheme="minorHAnsi"/>
          <w:color w:val="000000" w:themeColor="text1"/>
          <w:sz w:val="20"/>
          <w:szCs w:val="20"/>
        </w:rPr>
        <w:t xml:space="preserve"> improve its capacity for further integration of renewable </w:t>
      </w:r>
      <w:r w:rsidR="00385FC9" w:rsidRPr="0043215C">
        <w:rPr>
          <w:rFonts w:eastAsia="Times New Roman" w:cstheme="minorHAnsi"/>
          <w:color w:val="000000" w:themeColor="text1"/>
          <w:sz w:val="20"/>
          <w:szCs w:val="20"/>
        </w:rPr>
        <w:t>e</w:t>
      </w:r>
      <w:r w:rsidRPr="0043215C">
        <w:rPr>
          <w:rFonts w:eastAsia="Times New Roman" w:cstheme="minorHAnsi"/>
          <w:color w:val="000000" w:themeColor="text1"/>
          <w:sz w:val="20"/>
          <w:szCs w:val="20"/>
        </w:rPr>
        <w:t xml:space="preserve">nergy and digitization of the power grid. A few potential ideas that the </w:t>
      </w:r>
      <w:r w:rsidR="00B04034" w:rsidRPr="0043215C">
        <w:rPr>
          <w:rFonts w:eastAsia="Times New Roman" w:cstheme="minorHAnsi"/>
          <w:color w:val="000000" w:themeColor="text1"/>
          <w:sz w:val="20"/>
          <w:szCs w:val="20"/>
        </w:rPr>
        <w:t>Government</w:t>
      </w:r>
      <w:r w:rsidRPr="0043215C">
        <w:rPr>
          <w:rFonts w:eastAsia="Times New Roman" w:cstheme="minorHAnsi"/>
          <w:color w:val="000000" w:themeColor="text1"/>
          <w:sz w:val="20"/>
          <w:szCs w:val="20"/>
        </w:rPr>
        <w:t xml:space="preserve"> </w:t>
      </w:r>
      <w:r w:rsidR="1CFFEC21" w:rsidRPr="0043215C">
        <w:rPr>
          <w:rFonts w:eastAsia="Times New Roman" w:cstheme="minorHAnsi"/>
          <w:color w:val="000000" w:themeColor="text1"/>
          <w:sz w:val="20"/>
          <w:szCs w:val="20"/>
        </w:rPr>
        <w:t xml:space="preserve">and </w:t>
      </w:r>
      <w:r w:rsidR="002B50C9" w:rsidRPr="0043215C">
        <w:rPr>
          <w:rFonts w:eastAsia="Times New Roman" w:cstheme="minorHAnsi"/>
          <w:color w:val="000000" w:themeColor="text1"/>
          <w:sz w:val="20"/>
          <w:szCs w:val="20"/>
        </w:rPr>
        <w:t>TEİAŞ</w:t>
      </w:r>
      <w:r w:rsidR="1CFFEC21" w:rsidRPr="0043215C">
        <w:rPr>
          <w:rFonts w:eastAsia="Times New Roman" w:cstheme="minorHAnsi"/>
          <w:color w:val="000000" w:themeColor="text1"/>
          <w:sz w:val="20"/>
          <w:szCs w:val="20"/>
        </w:rPr>
        <w:t xml:space="preserve"> </w:t>
      </w:r>
      <w:r w:rsidRPr="0043215C">
        <w:rPr>
          <w:rFonts w:eastAsia="Times New Roman" w:cstheme="minorHAnsi"/>
          <w:color w:val="000000" w:themeColor="text1"/>
          <w:sz w:val="20"/>
          <w:szCs w:val="20"/>
        </w:rPr>
        <w:t>discussed with the World Bank</w:t>
      </w:r>
      <w:r w:rsidRPr="0043215C">
        <w:rPr>
          <w:rFonts w:eastAsia="Arial" w:cstheme="minorHAnsi"/>
          <w:color w:val="000000" w:themeColor="text1"/>
          <w:sz w:val="20"/>
          <w:szCs w:val="20"/>
        </w:rPr>
        <w:t>,</w:t>
      </w:r>
      <w:r w:rsidRPr="0043215C">
        <w:rPr>
          <w:rFonts w:eastAsia="Times New Roman" w:cstheme="minorHAnsi"/>
          <w:color w:val="000000" w:themeColor="text1"/>
          <w:sz w:val="20"/>
          <w:szCs w:val="20"/>
        </w:rPr>
        <w:t xml:space="preserve"> fall</w:t>
      </w:r>
      <w:r w:rsidRPr="0043215C">
        <w:rPr>
          <w:rFonts w:eastAsia="Arial" w:cstheme="minorHAnsi"/>
          <w:color w:val="000000" w:themeColor="text1"/>
          <w:sz w:val="20"/>
          <w:szCs w:val="20"/>
        </w:rPr>
        <w:t>ing</w:t>
      </w:r>
      <w:r w:rsidRPr="0043215C">
        <w:rPr>
          <w:rFonts w:eastAsia="Times New Roman" w:cstheme="minorHAnsi"/>
          <w:color w:val="000000" w:themeColor="text1"/>
          <w:sz w:val="20"/>
          <w:szCs w:val="20"/>
        </w:rPr>
        <w:t xml:space="preserve"> under the sub-component 4 of the project</w:t>
      </w:r>
      <w:r w:rsidRPr="0043215C">
        <w:rPr>
          <w:rFonts w:eastAsia="Arial" w:cstheme="minorHAnsi"/>
          <w:color w:val="000000" w:themeColor="text1"/>
          <w:sz w:val="20"/>
          <w:szCs w:val="20"/>
        </w:rPr>
        <w:t>,</w:t>
      </w:r>
      <w:r w:rsidRPr="0043215C">
        <w:rPr>
          <w:rFonts w:eastAsia="Times New Roman" w:cstheme="minorHAnsi"/>
          <w:color w:val="000000" w:themeColor="text1"/>
          <w:sz w:val="20"/>
          <w:szCs w:val="20"/>
        </w:rPr>
        <w:t xml:space="preserve"> are as follows: </w:t>
      </w:r>
    </w:p>
    <w:p w14:paraId="4B43CB26" w14:textId="77777777" w:rsidR="00A80F6C" w:rsidRPr="0043215C" w:rsidRDefault="00A80F6C" w:rsidP="004B766D">
      <w:pPr>
        <w:spacing w:after="0" w:line="240" w:lineRule="auto"/>
        <w:ind w:right="-20"/>
        <w:rPr>
          <w:rFonts w:eastAsia="Calibri" w:cstheme="minorHAnsi"/>
          <w:b/>
          <w:sz w:val="20"/>
          <w:szCs w:val="20"/>
        </w:rPr>
      </w:pPr>
    </w:p>
    <w:p w14:paraId="17D2815D" w14:textId="05E0B3A7" w:rsidR="00C100D2" w:rsidRPr="0043215C" w:rsidRDefault="00A80F6C" w:rsidP="00996556">
      <w:pPr>
        <w:pStyle w:val="BodyText"/>
        <w:numPr>
          <w:ilvl w:val="0"/>
          <w:numId w:val="10"/>
        </w:numPr>
        <w:ind w:left="360"/>
        <w:jc w:val="both"/>
        <w:rPr>
          <w:rFonts w:asciiTheme="minorHAnsi" w:eastAsia="Times New Roman" w:hAnsiTheme="minorHAnsi" w:cstheme="minorHAnsi"/>
          <w:sz w:val="20"/>
          <w:szCs w:val="20"/>
        </w:rPr>
      </w:pPr>
      <w:r w:rsidRPr="0043215C">
        <w:rPr>
          <w:rFonts w:asciiTheme="minorHAnsi" w:eastAsia="Times New Roman" w:hAnsiTheme="minorHAnsi" w:cstheme="minorHAnsi"/>
          <w:b/>
          <w:sz w:val="20"/>
          <w:szCs w:val="20"/>
        </w:rPr>
        <w:t xml:space="preserve">Technical assistance for introduction of </w:t>
      </w:r>
      <w:r w:rsidR="00426668" w:rsidRPr="0043215C">
        <w:rPr>
          <w:rFonts w:asciiTheme="minorHAnsi" w:eastAsia="Times New Roman" w:hAnsiTheme="minorHAnsi" w:cstheme="minorHAnsi"/>
          <w:b/>
          <w:sz w:val="20"/>
          <w:szCs w:val="20"/>
        </w:rPr>
        <w:t>High Voltage Direct Current (</w:t>
      </w:r>
      <w:r w:rsidRPr="0043215C">
        <w:rPr>
          <w:rFonts w:asciiTheme="minorHAnsi" w:eastAsia="Times New Roman" w:hAnsiTheme="minorHAnsi" w:cstheme="minorHAnsi"/>
          <w:b/>
          <w:sz w:val="20"/>
          <w:szCs w:val="20"/>
        </w:rPr>
        <w:t>HVDC</w:t>
      </w:r>
      <w:r w:rsidR="00426668" w:rsidRPr="0043215C">
        <w:rPr>
          <w:rFonts w:asciiTheme="minorHAnsi" w:eastAsia="Times New Roman" w:hAnsiTheme="minorHAnsi" w:cstheme="minorHAnsi"/>
          <w:b/>
          <w:sz w:val="20"/>
          <w:szCs w:val="20"/>
        </w:rPr>
        <w:t>)</w:t>
      </w:r>
      <w:r w:rsidRPr="0043215C">
        <w:rPr>
          <w:rFonts w:asciiTheme="minorHAnsi" w:eastAsia="Times New Roman" w:hAnsiTheme="minorHAnsi" w:cstheme="minorHAnsi"/>
          <w:sz w:val="20"/>
          <w:szCs w:val="20"/>
        </w:rPr>
        <w:t xml:space="preserve">: As the HVDC technology is unique and different from the traditional </w:t>
      </w:r>
      <w:r w:rsidR="3008DC5D" w:rsidRPr="0043215C">
        <w:rPr>
          <w:rFonts w:asciiTheme="minorHAnsi" w:hAnsiTheme="minorHAnsi" w:cstheme="minorHAnsi"/>
          <w:sz w:val="20"/>
          <w:szCs w:val="20"/>
        </w:rPr>
        <w:t>high voltage alternating current</w:t>
      </w:r>
      <w:r w:rsidRPr="0043215C">
        <w:rPr>
          <w:rFonts w:asciiTheme="minorHAnsi" w:hAnsiTheme="minorHAnsi" w:cstheme="minorHAnsi"/>
          <w:sz w:val="20"/>
          <w:szCs w:val="20"/>
        </w:rPr>
        <w:t xml:space="preserve"> </w:t>
      </w:r>
      <w:r w:rsidR="00AC15E6" w:rsidRPr="0043215C">
        <w:rPr>
          <w:rFonts w:asciiTheme="minorHAnsi" w:eastAsia="Times New Roman" w:hAnsiTheme="minorHAnsi" w:cstheme="minorHAnsi"/>
          <w:sz w:val="20"/>
          <w:szCs w:val="20"/>
        </w:rPr>
        <w:t>(</w:t>
      </w:r>
      <w:r w:rsidRPr="0043215C">
        <w:rPr>
          <w:rFonts w:asciiTheme="minorHAnsi" w:eastAsia="Times New Roman" w:hAnsiTheme="minorHAnsi" w:cstheme="minorHAnsi"/>
          <w:sz w:val="20"/>
          <w:szCs w:val="20"/>
        </w:rPr>
        <w:t>HVAC</w:t>
      </w:r>
      <w:r w:rsidR="00AC15E6" w:rsidRPr="0043215C">
        <w:rPr>
          <w:rFonts w:asciiTheme="minorHAnsi" w:eastAsia="Times New Roman" w:hAnsiTheme="minorHAnsi" w:cstheme="minorHAnsi"/>
          <w:sz w:val="20"/>
          <w:szCs w:val="20"/>
        </w:rPr>
        <w:t>)</w:t>
      </w:r>
      <w:r w:rsidRPr="0043215C">
        <w:rPr>
          <w:rFonts w:asciiTheme="minorHAnsi" w:eastAsia="Times New Roman" w:hAnsiTheme="minorHAnsi" w:cstheme="minorHAnsi"/>
          <w:sz w:val="20"/>
          <w:szCs w:val="20"/>
        </w:rPr>
        <w:t xml:space="preserve"> technologies, it is crucial to develop technical capabilities within </w:t>
      </w:r>
      <w:r w:rsidR="002B50C9" w:rsidRPr="0043215C">
        <w:rPr>
          <w:rFonts w:asciiTheme="minorHAnsi" w:eastAsia="Times New Roman" w:hAnsiTheme="minorHAnsi" w:cstheme="minorHAnsi"/>
          <w:sz w:val="20"/>
          <w:szCs w:val="20"/>
        </w:rPr>
        <w:t>TEİAŞ</w:t>
      </w:r>
      <w:r w:rsidRPr="0043215C">
        <w:rPr>
          <w:rFonts w:asciiTheme="minorHAnsi" w:eastAsia="Times New Roman" w:hAnsiTheme="minorHAnsi" w:cstheme="minorHAnsi"/>
          <w:sz w:val="20"/>
          <w:szCs w:val="20"/>
        </w:rPr>
        <w:t xml:space="preserve"> to select the right technology, undertake necessary system planning, perform economic analysis to bring out the full range of benefits of HVDC, and develop an understanding of operating the line at its optimal capacity. The project could cover various technical assistances including feasibility studies, market analysis, and capacity building.</w:t>
      </w:r>
    </w:p>
    <w:p w14:paraId="5AB9BD0B" w14:textId="77777777" w:rsidR="00A04459" w:rsidRPr="0043215C" w:rsidRDefault="00A04459" w:rsidP="00A04459">
      <w:pPr>
        <w:pStyle w:val="BodyText"/>
        <w:ind w:left="360"/>
        <w:jc w:val="both"/>
        <w:rPr>
          <w:rFonts w:asciiTheme="minorHAnsi" w:eastAsia="Times New Roman" w:hAnsiTheme="minorHAnsi" w:cstheme="minorHAnsi"/>
          <w:sz w:val="20"/>
          <w:szCs w:val="20"/>
        </w:rPr>
      </w:pPr>
    </w:p>
    <w:p w14:paraId="57B9985C" w14:textId="028EE87F" w:rsidR="00A80F6C" w:rsidRPr="0043215C" w:rsidRDefault="00A80F6C" w:rsidP="00996556">
      <w:pPr>
        <w:pStyle w:val="BodyText"/>
        <w:numPr>
          <w:ilvl w:val="0"/>
          <w:numId w:val="10"/>
        </w:numPr>
        <w:ind w:left="360"/>
        <w:jc w:val="both"/>
        <w:rPr>
          <w:rFonts w:asciiTheme="minorHAnsi" w:hAnsiTheme="minorHAnsi" w:cstheme="minorHAnsi"/>
          <w:sz w:val="20"/>
          <w:szCs w:val="20"/>
        </w:rPr>
      </w:pPr>
      <w:r w:rsidRPr="0043215C">
        <w:rPr>
          <w:rFonts w:asciiTheme="minorHAnsi" w:hAnsiTheme="minorHAnsi" w:cstheme="minorHAnsi"/>
          <w:b/>
          <w:sz w:val="20"/>
          <w:szCs w:val="20"/>
        </w:rPr>
        <w:t>Capacity Building and Training for SCADA/EMS:</w:t>
      </w:r>
      <w:r w:rsidRPr="0043215C">
        <w:rPr>
          <w:rFonts w:asciiTheme="minorHAnsi" w:hAnsiTheme="minorHAnsi" w:cstheme="minorHAnsi"/>
          <w:sz w:val="20"/>
          <w:szCs w:val="20"/>
        </w:rPr>
        <w:t xml:space="preserve"> As new functionalities are included in the latest SCADA/EMS, training for </w:t>
      </w:r>
      <w:r w:rsidR="002B50C9" w:rsidRPr="0043215C">
        <w:rPr>
          <w:rFonts w:asciiTheme="minorHAnsi" w:hAnsiTheme="minorHAnsi" w:cstheme="minorHAnsi"/>
          <w:sz w:val="20"/>
          <w:szCs w:val="20"/>
        </w:rPr>
        <w:t>TEİAŞ</w:t>
      </w:r>
      <w:r w:rsidRPr="0043215C">
        <w:rPr>
          <w:rFonts w:asciiTheme="minorHAnsi" w:hAnsiTheme="minorHAnsi" w:cstheme="minorHAnsi"/>
          <w:sz w:val="20"/>
          <w:szCs w:val="20"/>
        </w:rPr>
        <w:t xml:space="preserve"> dispatchers is critical to take full advantage of these functionalities to optimize system dispatch and manage system control. Also, implementations of SCADA/EMS upgrade and new full-fledged SCADA/EMS are extremely challenging. The Project can provide various capacity building activities for </w:t>
      </w:r>
      <w:r w:rsidR="002B50C9" w:rsidRPr="0043215C">
        <w:rPr>
          <w:rFonts w:asciiTheme="minorHAnsi" w:hAnsiTheme="minorHAnsi" w:cstheme="minorHAnsi"/>
          <w:sz w:val="20"/>
          <w:szCs w:val="20"/>
        </w:rPr>
        <w:t>TEİAŞ</w:t>
      </w:r>
      <w:r w:rsidRPr="0043215C">
        <w:rPr>
          <w:rFonts w:asciiTheme="minorHAnsi" w:hAnsiTheme="minorHAnsi" w:cstheme="minorHAnsi"/>
          <w:sz w:val="20"/>
          <w:szCs w:val="20"/>
        </w:rPr>
        <w:t xml:space="preserve"> including hiring of supervision consultants.</w:t>
      </w:r>
    </w:p>
    <w:p w14:paraId="0EA3B783" w14:textId="77777777" w:rsidR="00A04459" w:rsidRPr="0043215C" w:rsidRDefault="00A04459" w:rsidP="00A04459">
      <w:pPr>
        <w:pStyle w:val="BodyText"/>
        <w:jc w:val="both"/>
        <w:rPr>
          <w:rFonts w:asciiTheme="minorHAnsi" w:hAnsiTheme="minorHAnsi" w:cstheme="minorHAnsi"/>
          <w:sz w:val="20"/>
          <w:szCs w:val="20"/>
        </w:rPr>
      </w:pPr>
    </w:p>
    <w:p w14:paraId="0616E65B" w14:textId="485C3F07" w:rsidR="00A80F6C" w:rsidRPr="0043215C" w:rsidRDefault="00A80F6C" w:rsidP="00996556">
      <w:pPr>
        <w:pStyle w:val="BodyText"/>
        <w:numPr>
          <w:ilvl w:val="0"/>
          <w:numId w:val="10"/>
        </w:numPr>
        <w:ind w:left="360"/>
        <w:jc w:val="both"/>
        <w:rPr>
          <w:rFonts w:asciiTheme="minorHAnsi" w:hAnsiTheme="minorHAnsi" w:cstheme="minorHAnsi"/>
          <w:sz w:val="20"/>
          <w:szCs w:val="20"/>
        </w:rPr>
      </w:pPr>
      <w:r w:rsidRPr="0043215C">
        <w:rPr>
          <w:rFonts w:asciiTheme="minorHAnsi" w:hAnsiTheme="minorHAnsi" w:cstheme="minorHAnsi"/>
          <w:b/>
          <w:sz w:val="20"/>
          <w:szCs w:val="20"/>
        </w:rPr>
        <w:t>System Management for VRE Integration</w:t>
      </w:r>
      <w:r w:rsidRPr="0043215C">
        <w:rPr>
          <w:rFonts w:asciiTheme="minorHAnsi" w:hAnsiTheme="minorHAnsi" w:cstheme="minorHAnsi"/>
          <w:sz w:val="20"/>
          <w:szCs w:val="20"/>
        </w:rPr>
        <w:t xml:space="preserve">: Given the ambitious </w:t>
      </w:r>
      <w:r w:rsidR="00B04034" w:rsidRPr="0043215C">
        <w:rPr>
          <w:rFonts w:asciiTheme="minorHAnsi" w:hAnsiTheme="minorHAnsi" w:cstheme="minorHAnsi"/>
          <w:sz w:val="20"/>
          <w:szCs w:val="20"/>
        </w:rPr>
        <w:t>government</w:t>
      </w:r>
      <w:r w:rsidRPr="0043215C">
        <w:rPr>
          <w:rFonts w:asciiTheme="minorHAnsi" w:hAnsiTheme="minorHAnsi" w:cstheme="minorHAnsi"/>
          <w:sz w:val="20"/>
          <w:szCs w:val="20"/>
        </w:rPr>
        <w:t xml:space="preserve">’s plan to develop variable renewable energy, </w:t>
      </w:r>
      <w:r w:rsidR="002B50C9" w:rsidRPr="0043215C">
        <w:rPr>
          <w:rFonts w:asciiTheme="minorHAnsi" w:hAnsiTheme="minorHAnsi" w:cstheme="minorHAnsi"/>
          <w:sz w:val="20"/>
          <w:szCs w:val="20"/>
        </w:rPr>
        <w:t>TEİAŞ</w:t>
      </w:r>
      <w:r w:rsidRPr="0043215C">
        <w:rPr>
          <w:rFonts w:asciiTheme="minorHAnsi" w:hAnsiTheme="minorHAnsi" w:cstheme="minorHAnsi"/>
          <w:sz w:val="20"/>
          <w:szCs w:val="20"/>
        </w:rPr>
        <w:t xml:space="preserve"> needs to develop its capability to manage such a large amount of VRE in the system. The Project can support various areas for VRE integration including some technical assessments, and capacity building.</w:t>
      </w:r>
    </w:p>
    <w:p w14:paraId="4C6E0FD9" w14:textId="19A10D77" w:rsidR="358E45C1" w:rsidRPr="0043215C" w:rsidRDefault="358E45C1" w:rsidP="008A191B">
      <w:pPr>
        <w:pStyle w:val="BodyText"/>
        <w:jc w:val="both"/>
        <w:rPr>
          <w:rFonts w:asciiTheme="minorHAnsi" w:hAnsiTheme="minorHAnsi" w:cstheme="minorHAnsi"/>
          <w:sz w:val="20"/>
          <w:szCs w:val="20"/>
        </w:rPr>
      </w:pPr>
    </w:p>
    <w:p w14:paraId="36CF3C57" w14:textId="30A48EBF" w:rsidR="0439A53C" w:rsidRPr="0043215C" w:rsidRDefault="0439A53C" w:rsidP="008A191B">
      <w:pPr>
        <w:pStyle w:val="BodyText"/>
        <w:jc w:val="both"/>
        <w:rPr>
          <w:rFonts w:asciiTheme="minorHAnsi" w:hAnsiTheme="minorHAnsi" w:cstheme="minorHAnsi"/>
          <w:b/>
          <w:sz w:val="20"/>
          <w:szCs w:val="20"/>
        </w:rPr>
      </w:pPr>
      <w:r w:rsidRPr="0043215C">
        <w:rPr>
          <w:rFonts w:asciiTheme="minorHAnsi" w:hAnsiTheme="minorHAnsi" w:cstheme="minorHAnsi"/>
          <w:b/>
          <w:sz w:val="20"/>
          <w:szCs w:val="20"/>
        </w:rPr>
        <w:t>Project Preparation Timeline</w:t>
      </w:r>
      <w:r w:rsidR="008920F4" w:rsidRPr="0043215C">
        <w:rPr>
          <w:rFonts w:asciiTheme="minorHAnsi" w:hAnsiTheme="minorHAnsi" w:cstheme="minorHAnsi"/>
          <w:b/>
          <w:sz w:val="20"/>
          <w:szCs w:val="20"/>
        </w:rPr>
        <w:t xml:space="preserve"> Regarding Component 1</w:t>
      </w:r>
      <w:r w:rsidR="00B311CB">
        <w:rPr>
          <w:rFonts w:asciiTheme="minorHAnsi" w:hAnsiTheme="minorHAnsi" w:cstheme="minorHAnsi"/>
          <w:b/>
          <w:sz w:val="20"/>
          <w:szCs w:val="20"/>
        </w:rPr>
        <w:t xml:space="preserve"> – Phase 1</w:t>
      </w:r>
      <w:r w:rsidR="008920F4" w:rsidRPr="0043215C">
        <w:rPr>
          <w:rFonts w:asciiTheme="minorHAnsi" w:hAnsiTheme="minorHAnsi" w:cstheme="minorHAnsi"/>
          <w:b/>
          <w:sz w:val="20"/>
          <w:szCs w:val="20"/>
        </w:rPr>
        <w:t>:</w:t>
      </w:r>
    </w:p>
    <w:p w14:paraId="7797D640" w14:textId="320DD612" w:rsidR="02A774D0" w:rsidRPr="0043215C" w:rsidRDefault="02A774D0" w:rsidP="008A191B">
      <w:pPr>
        <w:pStyle w:val="BodyText"/>
        <w:jc w:val="both"/>
        <w:rPr>
          <w:rFonts w:asciiTheme="minorHAnsi" w:hAnsiTheme="minorHAnsi" w:cstheme="minorHAnsi"/>
          <w:sz w:val="20"/>
          <w:szCs w:val="20"/>
        </w:rPr>
      </w:pPr>
    </w:p>
    <w:p w14:paraId="10D3F0BD" w14:textId="6FA76453" w:rsidR="46EABF57" w:rsidRPr="0043215C" w:rsidRDefault="0439A53C" w:rsidP="008A191B">
      <w:pPr>
        <w:pStyle w:val="BodyText"/>
        <w:jc w:val="both"/>
        <w:rPr>
          <w:rFonts w:asciiTheme="minorHAnsi" w:eastAsia="Times New Roman" w:hAnsiTheme="minorHAnsi" w:cstheme="minorHAnsi"/>
          <w:color w:val="000000" w:themeColor="text1"/>
          <w:sz w:val="20"/>
          <w:szCs w:val="20"/>
        </w:rPr>
      </w:pPr>
      <w:r w:rsidRPr="0043215C">
        <w:rPr>
          <w:rFonts w:asciiTheme="minorHAnsi" w:hAnsiTheme="minorHAnsi" w:cstheme="minorHAnsi"/>
          <w:sz w:val="20"/>
          <w:szCs w:val="20"/>
        </w:rPr>
        <w:t>Th</w:t>
      </w:r>
      <w:r w:rsidR="41F66BFF" w:rsidRPr="0043215C">
        <w:rPr>
          <w:rFonts w:asciiTheme="minorHAnsi" w:hAnsiTheme="minorHAnsi" w:cstheme="minorHAnsi"/>
          <w:sz w:val="20"/>
          <w:szCs w:val="20"/>
        </w:rPr>
        <w:t xml:space="preserve">e major milestones and their respective </w:t>
      </w:r>
      <w:r w:rsidRPr="0043215C">
        <w:rPr>
          <w:rFonts w:asciiTheme="minorHAnsi" w:hAnsiTheme="minorHAnsi" w:cstheme="minorHAnsi"/>
          <w:sz w:val="20"/>
          <w:szCs w:val="20"/>
        </w:rPr>
        <w:t xml:space="preserve">timeline </w:t>
      </w:r>
      <w:proofErr w:type="gramStart"/>
      <w:r w:rsidR="41F66BFF" w:rsidRPr="0043215C">
        <w:rPr>
          <w:rFonts w:asciiTheme="minorHAnsi" w:hAnsiTheme="minorHAnsi" w:cstheme="minorHAnsi"/>
          <w:sz w:val="20"/>
          <w:szCs w:val="20"/>
        </w:rPr>
        <w:t>with regard to</w:t>
      </w:r>
      <w:proofErr w:type="gramEnd"/>
      <w:r w:rsidR="41F66BFF" w:rsidRPr="0043215C">
        <w:rPr>
          <w:rFonts w:asciiTheme="minorHAnsi" w:hAnsiTheme="minorHAnsi" w:cstheme="minorHAnsi"/>
          <w:sz w:val="20"/>
          <w:szCs w:val="20"/>
        </w:rPr>
        <w:t xml:space="preserve"> the project, as agreed with the </w:t>
      </w:r>
      <w:r w:rsidR="00B04034" w:rsidRPr="0043215C">
        <w:rPr>
          <w:rFonts w:asciiTheme="minorHAnsi" w:hAnsiTheme="minorHAnsi" w:cstheme="minorHAnsi"/>
          <w:sz w:val="20"/>
          <w:szCs w:val="20"/>
        </w:rPr>
        <w:t>Government</w:t>
      </w:r>
      <w:r w:rsidR="41F66BFF" w:rsidRPr="0043215C">
        <w:rPr>
          <w:rFonts w:asciiTheme="minorHAnsi" w:hAnsiTheme="minorHAnsi" w:cstheme="minorHAnsi"/>
          <w:sz w:val="20"/>
          <w:szCs w:val="20"/>
        </w:rPr>
        <w:t xml:space="preserve"> are</w:t>
      </w:r>
      <w:r w:rsidRPr="0043215C">
        <w:rPr>
          <w:rFonts w:asciiTheme="minorHAnsi" w:hAnsiTheme="minorHAnsi" w:cstheme="minorHAnsi"/>
          <w:sz w:val="20"/>
          <w:szCs w:val="20"/>
        </w:rPr>
        <w:t xml:space="preserve"> as follows: </w:t>
      </w:r>
      <w:r w:rsidR="46EABF57" w:rsidRPr="0043215C">
        <w:rPr>
          <w:rFonts w:asciiTheme="minorHAnsi" w:eastAsia="Times New Roman" w:hAnsiTheme="minorHAnsi" w:cstheme="minorHAnsi"/>
          <w:color w:val="000000" w:themeColor="text1"/>
          <w:sz w:val="20"/>
          <w:szCs w:val="20"/>
        </w:rPr>
        <w:t xml:space="preserve"> </w:t>
      </w:r>
    </w:p>
    <w:p w14:paraId="79FAC561" w14:textId="064030E6" w:rsidR="00591AF5" w:rsidRPr="0043215C" w:rsidRDefault="00591AF5" w:rsidP="00996556">
      <w:pPr>
        <w:pStyle w:val="ListParagraph"/>
        <w:numPr>
          <w:ilvl w:val="0"/>
          <w:numId w:val="3"/>
        </w:numPr>
        <w:spacing w:after="0" w:line="240" w:lineRule="auto"/>
        <w:rPr>
          <w:rFonts w:eastAsia="Times New Roman" w:cstheme="minorHAnsi"/>
          <w:sz w:val="20"/>
          <w:szCs w:val="20"/>
        </w:rPr>
      </w:pPr>
      <w:r w:rsidRPr="0043215C">
        <w:rPr>
          <w:rFonts w:eastAsia="Times New Roman" w:cstheme="minorHAnsi"/>
          <w:sz w:val="20"/>
          <w:szCs w:val="20"/>
        </w:rPr>
        <w:t>Concept review</w:t>
      </w:r>
      <w:r w:rsidRPr="0043215C">
        <w:rPr>
          <w:rFonts w:eastAsia="Times New Roman" w:cstheme="minorHAnsi"/>
          <w:sz w:val="20"/>
          <w:szCs w:val="20"/>
        </w:rPr>
        <w:tab/>
      </w:r>
      <w:r w:rsidRPr="0043215C">
        <w:rPr>
          <w:rFonts w:eastAsia="Times New Roman" w:cstheme="minorHAnsi"/>
          <w:sz w:val="20"/>
          <w:szCs w:val="20"/>
        </w:rPr>
        <w:tab/>
      </w:r>
      <w:r w:rsidRPr="0043215C">
        <w:rPr>
          <w:rFonts w:eastAsia="Times New Roman" w:cstheme="minorHAnsi"/>
          <w:sz w:val="20"/>
          <w:szCs w:val="20"/>
        </w:rPr>
        <w:tab/>
      </w:r>
      <w:r w:rsidRPr="0043215C">
        <w:rPr>
          <w:rFonts w:eastAsia="Times New Roman" w:cstheme="minorHAnsi"/>
          <w:sz w:val="20"/>
          <w:szCs w:val="20"/>
        </w:rPr>
        <w:tab/>
      </w:r>
      <w:r w:rsidRPr="0043215C">
        <w:rPr>
          <w:rFonts w:eastAsia="Times New Roman" w:cstheme="minorHAnsi"/>
          <w:sz w:val="20"/>
          <w:szCs w:val="20"/>
        </w:rPr>
        <w:tab/>
      </w:r>
      <w:r w:rsidR="009503E1" w:rsidRPr="0043215C">
        <w:rPr>
          <w:rFonts w:eastAsia="Times New Roman" w:cstheme="minorHAnsi"/>
          <w:sz w:val="20"/>
          <w:szCs w:val="20"/>
        </w:rPr>
        <w:tab/>
      </w:r>
      <w:r w:rsidRPr="0043215C">
        <w:rPr>
          <w:rFonts w:eastAsia="Times New Roman" w:cstheme="minorHAnsi"/>
          <w:sz w:val="20"/>
          <w:szCs w:val="20"/>
        </w:rPr>
        <w:t>: September 2024</w:t>
      </w:r>
    </w:p>
    <w:p w14:paraId="24731B7E" w14:textId="67A0AE6F" w:rsidR="00591AF5" w:rsidRPr="0043215C" w:rsidRDefault="00591AF5" w:rsidP="00996556">
      <w:pPr>
        <w:pStyle w:val="ListParagraph"/>
        <w:numPr>
          <w:ilvl w:val="0"/>
          <w:numId w:val="3"/>
        </w:numPr>
        <w:spacing w:after="0" w:line="240" w:lineRule="auto"/>
        <w:rPr>
          <w:rFonts w:eastAsia="Times New Roman" w:cstheme="minorHAnsi"/>
          <w:sz w:val="20"/>
          <w:szCs w:val="20"/>
        </w:rPr>
      </w:pPr>
      <w:r w:rsidRPr="0043215C">
        <w:rPr>
          <w:rFonts w:eastAsia="Times New Roman" w:cstheme="minorHAnsi"/>
          <w:sz w:val="20"/>
          <w:szCs w:val="20"/>
        </w:rPr>
        <w:t xml:space="preserve">Project appraisal      </w:t>
      </w:r>
      <w:r w:rsidRPr="0043215C">
        <w:rPr>
          <w:rFonts w:cstheme="minorHAnsi"/>
          <w:sz w:val="20"/>
          <w:szCs w:val="20"/>
        </w:rPr>
        <w:tab/>
      </w:r>
      <w:r w:rsidRPr="0043215C">
        <w:rPr>
          <w:rFonts w:eastAsia="Times New Roman" w:cstheme="minorHAnsi"/>
          <w:sz w:val="20"/>
          <w:szCs w:val="20"/>
        </w:rPr>
        <w:t xml:space="preserve">      </w:t>
      </w:r>
      <w:r w:rsidRPr="0043215C">
        <w:rPr>
          <w:rFonts w:cstheme="minorHAnsi"/>
          <w:sz w:val="20"/>
          <w:szCs w:val="20"/>
        </w:rPr>
        <w:tab/>
      </w:r>
      <w:r w:rsidRPr="0043215C">
        <w:rPr>
          <w:rFonts w:cstheme="minorHAnsi"/>
          <w:sz w:val="20"/>
          <w:szCs w:val="20"/>
        </w:rPr>
        <w:tab/>
      </w:r>
      <w:r w:rsidRPr="0043215C">
        <w:rPr>
          <w:rFonts w:cstheme="minorHAnsi"/>
          <w:sz w:val="20"/>
          <w:szCs w:val="20"/>
        </w:rPr>
        <w:tab/>
      </w:r>
      <w:r w:rsidR="009503E1" w:rsidRPr="0043215C">
        <w:rPr>
          <w:rFonts w:cstheme="minorHAnsi"/>
          <w:sz w:val="20"/>
          <w:szCs w:val="20"/>
        </w:rPr>
        <w:tab/>
      </w:r>
      <w:r w:rsidRPr="0043215C">
        <w:rPr>
          <w:rFonts w:eastAsia="Times New Roman" w:cstheme="minorHAnsi"/>
          <w:sz w:val="20"/>
          <w:szCs w:val="20"/>
        </w:rPr>
        <w:t>: December 2024</w:t>
      </w:r>
    </w:p>
    <w:p w14:paraId="6EF270FC" w14:textId="1A50D216" w:rsidR="00591AF5" w:rsidRPr="0043215C" w:rsidRDefault="00591AF5" w:rsidP="00996556">
      <w:pPr>
        <w:pStyle w:val="ListParagraph"/>
        <w:numPr>
          <w:ilvl w:val="0"/>
          <w:numId w:val="3"/>
        </w:numPr>
        <w:spacing w:after="0" w:line="240" w:lineRule="auto"/>
        <w:rPr>
          <w:rFonts w:eastAsia="Times New Roman" w:cstheme="minorHAnsi"/>
          <w:sz w:val="20"/>
          <w:szCs w:val="20"/>
        </w:rPr>
      </w:pPr>
      <w:r w:rsidRPr="0043215C">
        <w:rPr>
          <w:rFonts w:eastAsia="Times New Roman" w:cstheme="minorHAnsi"/>
          <w:sz w:val="20"/>
          <w:szCs w:val="20"/>
        </w:rPr>
        <w:t xml:space="preserve">Negotiations </w:t>
      </w:r>
      <w:r w:rsidRPr="0043215C">
        <w:rPr>
          <w:rFonts w:cstheme="minorHAnsi"/>
          <w:sz w:val="20"/>
          <w:szCs w:val="20"/>
        </w:rPr>
        <w:tab/>
      </w:r>
      <w:r w:rsidRPr="0043215C">
        <w:rPr>
          <w:rFonts w:cstheme="minorHAnsi"/>
          <w:sz w:val="20"/>
          <w:szCs w:val="20"/>
        </w:rPr>
        <w:tab/>
      </w:r>
      <w:r w:rsidRPr="0043215C">
        <w:rPr>
          <w:rFonts w:cstheme="minorHAnsi"/>
          <w:sz w:val="20"/>
          <w:szCs w:val="20"/>
        </w:rPr>
        <w:tab/>
      </w:r>
      <w:r w:rsidRPr="0043215C">
        <w:rPr>
          <w:rFonts w:cstheme="minorHAnsi"/>
          <w:sz w:val="20"/>
          <w:szCs w:val="20"/>
        </w:rPr>
        <w:tab/>
      </w:r>
      <w:r w:rsidRPr="0043215C">
        <w:rPr>
          <w:rFonts w:cstheme="minorHAnsi"/>
          <w:sz w:val="20"/>
          <w:szCs w:val="20"/>
        </w:rPr>
        <w:tab/>
      </w:r>
      <w:r w:rsidR="009503E1" w:rsidRPr="0043215C">
        <w:rPr>
          <w:rFonts w:cstheme="minorHAnsi"/>
          <w:sz w:val="20"/>
          <w:szCs w:val="20"/>
        </w:rPr>
        <w:tab/>
      </w:r>
      <w:r w:rsidRPr="0043215C">
        <w:rPr>
          <w:rFonts w:eastAsia="Times New Roman" w:cstheme="minorHAnsi"/>
          <w:sz w:val="20"/>
          <w:szCs w:val="20"/>
        </w:rPr>
        <w:t>: March 2025</w:t>
      </w:r>
    </w:p>
    <w:p w14:paraId="65E566EF" w14:textId="65954EDA" w:rsidR="00591AF5" w:rsidRPr="0043215C" w:rsidRDefault="00591AF5" w:rsidP="00996556">
      <w:pPr>
        <w:pStyle w:val="ListParagraph"/>
        <w:numPr>
          <w:ilvl w:val="0"/>
          <w:numId w:val="3"/>
        </w:numPr>
        <w:spacing w:after="0" w:line="240" w:lineRule="auto"/>
        <w:rPr>
          <w:rFonts w:eastAsia="Times New Roman" w:cstheme="minorHAnsi"/>
          <w:sz w:val="20"/>
          <w:szCs w:val="20"/>
        </w:rPr>
      </w:pPr>
      <w:r w:rsidRPr="0043215C">
        <w:rPr>
          <w:rFonts w:eastAsia="Times New Roman" w:cstheme="minorHAnsi"/>
          <w:sz w:val="20"/>
          <w:szCs w:val="20"/>
        </w:rPr>
        <w:t>W</w:t>
      </w:r>
      <w:r w:rsidR="007E1221" w:rsidRPr="0043215C">
        <w:rPr>
          <w:rFonts w:eastAsia="Times New Roman" w:cstheme="minorHAnsi"/>
          <w:sz w:val="20"/>
          <w:szCs w:val="20"/>
        </w:rPr>
        <w:t xml:space="preserve">orld </w:t>
      </w:r>
      <w:r w:rsidRPr="0043215C">
        <w:rPr>
          <w:rFonts w:eastAsia="Times New Roman" w:cstheme="minorHAnsi"/>
          <w:sz w:val="20"/>
          <w:szCs w:val="20"/>
        </w:rPr>
        <w:t>B</w:t>
      </w:r>
      <w:r w:rsidR="007E1221" w:rsidRPr="0043215C">
        <w:rPr>
          <w:rFonts w:eastAsia="Times New Roman" w:cstheme="minorHAnsi"/>
          <w:sz w:val="20"/>
          <w:szCs w:val="20"/>
        </w:rPr>
        <w:t>ank</w:t>
      </w:r>
      <w:r w:rsidRPr="0043215C">
        <w:rPr>
          <w:rFonts w:eastAsia="Times New Roman" w:cstheme="minorHAnsi"/>
          <w:sz w:val="20"/>
          <w:szCs w:val="20"/>
        </w:rPr>
        <w:t xml:space="preserve"> Board of Executive Directors’ approval</w:t>
      </w:r>
      <w:r w:rsidRPr="0043215C">
        <w:rPr>
          <w:rFonts w:cstheme="minorHAnsi"/>
          <w:sz w:val="20"/>
          <w:szCs w:val="20"/>
        </w:rPr>
        <w:tab/>
      </w:r>
      <w:r w:rsidR="00F22B68">
        <w:rPr>
          <w:rFonts w:cstheme="minorHAnsi"/>
          <w:sz w:val="20"/>
          <w:szCs w:val="20"/>
        </w:rPr>
        <w:tab/>
      </w:r>
      <w:r w:rsidRPr="0043215C">
        <w:rPr>
          <w:rFonts w:eastAsia="Times New Roman" w:cstheme="minorHAnsi"/>
          <w:sz w:val="20"/>
          <w:szCs w:val="20"/>
        </w:rPr>
        <w:t>: May 2025</w:t>
      </w:r>
    </w:p>
    <w:p w14:paraId="4F3B66E3" w14:textId="2BFEFFC0" w:rsidR="02A774D0" w:rsidRPr="0043215C" w:rsidRDefault="00591AF5" w:rsidP="00996556">
      <w:pPr>
        <w:pStyle w:val="ListParagraph"/>
        <w:numPr>
          <w:ilvl w:val="0"/>
          <w:numId w:val="3"/>
        </w:numPr>
        <w:spacing w:after="0" w:line="240" w:lineRule="auto"/>
        <w:rPr>
          <w:rFonts w:cstheme="minorHAnsi"/>
          <w:sz w:val="20"/>
          <w:szCs w:val="20"/>
        </w:rPr>
      </w:pPr>
      <w:r w:rsidRPr="0043215C">
        <w:rPr>
          <w:rFonts w:eastAsia="Times New Roman" w:cstheme="minorHAnsi"/>
          <w:sz w:val="20"/>
          <w:szCs w:val="20"/>
        </w:rPr>
        <w:t>Effectiveness and start of implementation</w:t>
      </w:r>
      <w:r w:rsidRPr="0043215C">
        <w:rPr>
          <w:rFonts w:cstheme="minorHAnsi"/>
          <w:sz w:val="20"/>
          <w:szCs w:val="20"/>
        </w:rPr>
        <w:tab/>
      </w:r>
      <w:r w:rsidR="009503E1" w:rsidRPr="0043215C">
        <w:rPr>
          <w:rFonts w:cstheme="minorHAnsi"/>
          <w:sz w:val="20"/>
          <w:szCs w:val="20"/>
        </w:rPr>
        <w:tab/>
      </w:r>
      <w:r w:rsidR="00F22B68">
        <w:rPr>
          <w:rFonts w:cstheme="minorHAnsi"/>
          <w:sz w:val="20"/>
          <w:szCs w:val="20"/>
        </w:rPr>
        <w:tab/>
      </w:r>
      <w:r w:rsidRPr="0043215C">
        <w:rPr>
          <w:rFonts w:eastAsia="Times New Roman" w:cstheme="minorHAnsi"/>
          <w:sz w:val="20"/>
          <w:szCs w:val="20"/>
        </w:rPr>
        <w:t xml:space="preserve">: </w:t>
      </w:r>
      <w:r w:rsidR="00F52493" w:rsidRPr="0043215C">
        <w:rPr>
          <w:rFonts w:eastAsia="Times New Roman" w:cstheme="minorHAnsi"/>
          <w:sz w:val="20"/>
          <w:szCs w:val="20"/>
        </w:rPr>
        <w:t>September</w:t>
      </w:r>
      <w:r w:rsidRPr="0043215C">
        <w:rPr>
          <w:rFonts w:eastAsia="Times New Roman" w:cstheme="minorHAnsi"/>
          <w:sz w:val="20"/>
          <w:szCs w:val="20"/>
        </w:rPr>
        <w:t xml:space="preserve"> 2025</w:t>
      </w:r>
      <w:r w:rsidR="00E138F9" w:rsidRPr="0043215C">
        <w:rPr>
          <w:rFonts w:eastAsia="Times New Roman" w:cstheme="minorHAnsi"/>
          <w:sz w:val="20"/>
          <w:szCs w:val="20"/>
        </w:rPr>
        <w:t xml:space="preserve"> </w:t>
      </w:r>
    </w:p>
    <w:p w14:paraId="0F73CD23" w14:textId="77777777" w:rsidR="00F52493" w:rsidRPr="0043215C" w:rsidRDefault="00F52493" w:rsidP="00B51E00">
      <w:pPr>
        <w:pStyle w:val="ListParagraph"/>
        <w:spacing w:after="0" w:line="240" w:lineRule="auto"/>
        <w:rPr>
          <w:rFonts w:cstheme="minorHAnsi"/>
          <w:sz w:val="20"/>
          <w:szCs w:val="20"/>
        </w:rPr>
      </w:pPr>
    </w:p>
    <w:p w14:paraId="5297790B" w14:textId="26344A96" w:rsidR="3DF23BB7" w:rsidRPr="0043215C" w:rsidRDefault="3DF23BB7" w:rsidP="3DF23BB7">
      <w:pPr>
        <w:pStyle w:val="BodyText"/>
        <w:rPr>
          <w:rFonts w:asciiTheme="minorHAnsi" w:hAnsiTheme="minorHAnsi" w:cstheme="minorHAnsi"/>
          <w:sz w:val="20"/>
          <w:szCs w:val="20"/>
        </w:rPr>
      </w:pPr>
    </w:p>
    <w:p w14:paraId="47519739" w14:textId="58BB703E" w:rsidR="00461191" w:rsidRPr="0043215C" w:rsidRDefault="7B165B5F" w:rsidP="000D74CD">
      <w:pPr>
        <w:spacing w:after="0" w:line="240" w:lineRule="auto"/>
        <w:ind w:right="-20"/>
        <w:jc w:val="left"/>
        <w:rPr>
          <w:rFonts w:cstheme="minorHAnsi"/>
          <w:b/>
          <w:bCs/>
          <w:sz w:val="20"/>
          <w:szCs w:val="20"/>
        </w:rPr>
      </w:pPr>
      <w:r w:rsidRPr="0043215C">
        <w:rPr>
          <w:rFonts w:eastAsia="Times New Roman" w:cstheme="minorHAnsi"/>
          <w:b/>
          <w:bCs/>
          <w:sz w:val="20"/>
          <w:szCs w:val="20"/>
        </w:rPr>
        <w:t xml:space="preserve">Component </w:t>
      </w:r>
      <w:r w:rsidR="67D84ED3" w:rsidRPr="0043215C">
        <w:rPr>
          <w:rFonts w:eastAsia="Times New Roman" w:cstheme="minorHAnsi"/>
          <w:b/>
          <w:bCs/>
          <w:sz w:val="20"/>
          <w:szCs w:val="20"/>
        </w:rPr>
        <w:t>2</w:t>
      </w:r>
      <w:r w:rsidRPr="0043215C">
        <w:rPr>
          <w:rFonts w:eastAsia="Times New Roman" w:cstheme="minorHAnsi"/>
          <w:b/>
          <w:bCs/>
          <w:sz w:val="20"/>
          <w:szCs w:val="20"/>
        </w:rPr>
        <w:t xml:space="preserve">: </w:t>
      </w:r>
      <w:r w:rsidRPr="0043215C">
        <w:rPr>
          <w:rFonts w:eastAsia="Times New Roman" w:cstheme="minorHAnsi"/>
          <w:b/>
          <w:sz w:val="20"/>
          <w:szCs w:val="20"/>
        </w:rPr>
        <w:t>S</w:t>
      </w:r>
      <w:r w:rsidRPr="0043215C">
        <w:rPr>
          <w:rFonts w:eastAsia="Times New Roman" w:cstheme="minorHAnsi"/>
          <w:b/>
          <w:color w:val="000000" w:themeColor="text1"/>
          <w:sz w:val="20"/>
          <w:szCs w:val="20"/>
        </w:rPr>
        <w:t xml:space="preserve">ystem </w:t>
      </w:r>
      <w:r w:rsidR="37651CB5" w:rsidRPr="0043215C">
        <w:rPr>
          <w:rFonts w:eastAsia="Times New Roman" w:cstheme="minorHAnsi"/>
          <w:b/>
          <w:color w:val="000000" w:themeColor="text1"/>
          <w:sz w:val="20"/>
          <w:szCs w:val="20"/>
        </w:rPr>
        <w:t>Flexibility, Balancing and Stabilization</w:t>
      </w:r>
      <w:r w:rsidRPr="0043215C">
        <w:rPr>
          <w:rFonts w:eastAsia="Times New Roman" w:cstheme="minorHAnsi"/>
          <w:b/>
          <w:color w:val="000000" w:themeColor="text1"/>
          <w:sz w:val="20"/>
          <w:szCs w:val="20"/>
        </w:rPr>
        <w:t xml:space="preserve"> </w:t>
      </w:r>
      <w:r w:rsidR="00783756" w:rsidRPr="0043215C">
        <w:rPr>
          <w:rFonts w:eastAsia="Times New Roman" w:cstheme="minorHAnsi"/>
          <w:b/>
          <w:color w:val="000000" w:themeColor="text1"/>
          <w:sz w:val="20"/>
          <w:szCs w:val="20"/>
        </w:rPr>
        <w:t>and Strengthening Power Infrastructure</w:t>
      </w:r>
      <w:r w:rsidR="00783756" w:rsidRPr="0043215C" w:rsidDel="00125A16">
        <w:rPr>
          <w:rFonts w:eastAsia="Times New Roman" w:cstheme="minorHAnsi"/>
          <w:b/>
          <w:color w:val="000000" w:themeColor="text1"/>
          <w:sz w:val="20"/>
          <w:szCs w:val="20"/>
        </w:rPr>
        <w:t xml:space="preserve"> </w:t>
      </w:r>
      <w:r w:rsidR="00390C89" w:rsidRPr="0043215C">
        <w:rPr>
          <w:rFonts w:cstheme="minorHAnsi"/>
          <w:sz w:val="20"/>
          <w:szCs w:val="20"/>
        </w:rPr>
        <w:t xml:space="preserve">(EBRD: </w:t>
      </w:r>
      <w:r w:rsidR="00636124" w:rsidRPr="0043215C">
        <w:rPr>
          <w:rFonts w:cstheme="minorHAnsi"/>
          <w:sz w:val="20"/>
          <w:szCs w:val="20"/>
        </w:rPr>
        <w:t>US$</w:t>
      </w:r>
      <w:r w:rsidR="00390C89" w:rsidRPr="0043215C">
        <w:rPr>
          <w:rFonts w:cstheme="minorHAnsi"/>
          <w:sz w:val="20"/>
          <w:szCs w:val="20"/>
        </w:rPr>
        <w:t>150m., IFC</w:t>
      </w:r>
      <w:r w:rsidR="007775D1" w:rsidRPr="0043215C">
        <w:rPr>
          <w:rFonts w:cstheme="minorHAnsi"/>
          <w:sz w:val="20"/>
          <w:szCs w:val="20"/>
        </w:rPr>
        <w:t>:</w:t>
      </w:r>
      <w:r w:rsidR="00390C89" w:rsidRPr="0043215C">
        <w:rPr>
          <w:rFonts w:cstheme="minorHAnsi"/>
          <w:sz w:val="20"/>
          <w:szCs w:val="20"/>
        </w:rPr>
        <w:t xml:space="preserve"> </w:t>
      </w:r>
      <w:r w:rsidR="00636124" w:rsidRPr="0043215C">
        <w:rPr>
          <w:rFonts w:cstheme="minorHAnsi"/>
          <w:sz w:val="20"/>
          <w:szCs w:val="20"/>
        </w:rPr>
        <w:t>US$</w:t>
      </w:r>
      <w:r w:rsidR="00390C89" w:rsidRPr="0043215C">
        <w:rPr>
          <w:rFonts w:cstheme="minorHAnsi"/>
          <w:sz w:val="20"/>
          <w:szCs w:val="20"/>
        </w:rPr>
        <w:t xml:space="preserve">150m., CTF: </w:t>
      </w:r>
      <w:r w:rsidR="00636124" w:rsidRPr="0043215C">
        <w:rPr>
          <w:rFonts w:cstheme="minorHAnsi"/>
          <w:sz w:val="20"/>
          <w:szCs w:val="20"/>
        </w:rPr>
        <w:t>US$</w:t>
      </w:r>
      <w:r w:rsidR="00390C89" w:rsidRPr="0043215C">
        <w:rPr>
          <w:rFonts w:cstheme="minorHAnsi"/>
          <w:sz w:val="20"/>
          <w:szCs w:val="20"/>
        </w:rPr>
        <w:t>30m.)</w:t>
      </w:r>
      <w:r w:rsidR="18A0E96A" w:rsidRPr="0043215C">
        <w:rPr>
          <w:rFonts w:cstheme="minorHAnsi"/>
          <w:b/>
          <w:bCs/>
          <w:sz w:val="20"/>
          <w:szCs w:val="20"/>
        </w:rPr>
        <w:t xml:space="preserve"> </w:t>
      </w:r>
    </w:p>
    <w:p w14:paraId="70B241A4" w14:textId="77777777" w:rsidR="00461191" w:rsidRPr="0043215C" w:rsidRDefault="00461191" w:rsidP="000D74CD">
      <w:pPr>
        <w:pStyle w:val="BodyText"/>
        <w:rPr>
          <w:rFonts w:asciiTheme="minorHAnsi" w:hAnsiTheme="minorHAnsi" w:cstheme="minorHAnsi"/>
          <w:sz w:val="20"/>
          <w:szCs w:val="20"/>
        </w:rPr>
      </w:pPr>
    </w:p>
    <w:p w14:paraId="3AAAF162" w14:textId="67E35918" w:rsidR="7B165B5F" w:rsidRPr="0043215C" w:rsidRDefault="7B165B5F" w:rsidP="000D74CD">
      <w:pPr>
        <w:spacing w:after="0" w:line="240" w:lineRule="auto"/>
        <w:rPr>
          <w:rFonts w:eastAsia="Times New Roman" w:cstheme="minorHAnsi"/>
          <w:color w:val="000000" w:themeColor="text1"/>
          <w:sz w:val="20"/>
          <w:szCs w:val="20"/>
        </w:rPr>
      </w:pPr>
      <w:r w:rsidRPr="0043215C">
        <w:rPr>
          <w:rFonts w:eastAsia="Times New Roman" w:cstheme="minorHAnsi"/>
          <w:color w:val="000000" w:themeColor="text1"/>
          <w:sz w:val="20"/>
          <w:szCs w:val="20"/>
        </w:rPr>
        <w:t>Th</w:t>
      </w:r>
      <w:r w:rsidR="53E89864" w:rsidRPr="0043215C">
        <w:rPr>
          <w:rFonts w:eastAsia="Times New Roman" w:cstheme="minorHAnsi"/>
          <w:color w:val="000000" w:themeColor="text1"/>
          <w:sz w:val="20"/>
          <w:szCs w:val="20"/>
        </w:rPr>
        <w:t xml:space="preserve">is component will support the </w:t>
      </w:r>
      <w:r w:rsidR="00B04034" w:rsidRPr="0043215C">
        <w:rPr>
          <w:rFonts w:eastAsia="Times New Roman" w:cstheme="minorHAnsi"/>
          <w:color w:val="000000" w:themeColor="text1"/>
          <w:sz w:val="20"/>
          <w:szCs w:val="20"/>
        </w:rPr>
        <w:t>Government</w:t>
      </w:r>
      <w:r w:rsidR="53E89864" w:rsidRPr="0043215C">
        <w:rPr>
          <w:rFonts w:eastAsia="Times New Roman" w:cstheme="minorHAnsi"/>
          <w:color w:val="000000" w:themeColor="text1"/>
          <w:sz w:val="20"/>
          <w:szCs w:val="20"/>
        </w:rPr>
        <w:t xml:space="preserve"> of </w:t>
      </w:r>
      <w:r w:rsidR="00ED7B8B" w:rsidRPr="0043215C">
        <w:rPr>
          <w:rFonts w:eastAsia="Times New Roman" w:cstheme="minorHAnsi"/>
          <w:color w:val="000000" w:themeColor="text1"/>
          <w:sz w:val="20"/>
          <w:szCs w:val="20"/>
        </w:rPr>
        <w:t>Türkiye</w:t>
      </w:r>
      <w:r w:rsidR="53E89864" w:rsidRPr="0043215C">
        <w:rPr>
          <w:rFonts w:eastAsia="Times New Roman" w:cstheme="minorHAnsi"/>
          <w:color w:val="000000" w:themeColor="text1"/>
          <w:sz w:val="20"/>
          <w:szCs w:val="20"/>
        </w:rPr>
        <w:t xml:space="preserve"> </w:t>
      </w:r>
      <w:r w:rsidR="6EC3F671" w:rsidRPr="0043215C">
        <w:rPr>
          <w:rFonts w:eastAsia="Times New Roman" w:cstheme="minorHAnsi"/>
          <w:color w:val="000000" w:themeColor="text1"/>
          <w:sz w:val="20"/>
          <w:szCs w:val="20"/>
        </w:rPr>
        <w:t xml:space="preserve">in </w:t>
      </w:r>
      <w:r w:rsidR="53E89864" w:rsidRPr="0043215C">
        <w:rPr>
          <w:rFonts w:eastAsia="Times New Roman" w:cstheme="minorHAnsi"/>
          <w:color w:val="000000" w:themeColor="text1"/>
          <w:sz w:val="20"/>
          <w:szCs w:val="20"/>
        </w:rPr>
        <w:t>enhanc</w:t>
      </w:r>
      <w:r w:rsidR="2B11DCBE" w:rsidRPr="0043215C">
        <w:rPr>
          <w:rFonts w:eastAsia="Times New Roman" w:cstheme="minorHAnsi"/>
          <w:color w:val="000000" w:themeColor="text1"/>
          <w:sz w:val="20"/>
          <w:szCs w:val="20"/>
        </w:rPr>
        <w:t>ing</w:t>
      </w:r>
      <w:r w:rsidR="53E89864" w:rsidRPr="0043215C">
        <w:rPr>
          <w:rFonts w:eastAsia="Times New Roman" w:cstheme="minorHAnsi"/>
          <w:color w:val="000000" w:themeColor="text1"/>
          <w:sz w:val="20"/>
          <w:szCs w:val="20"/>
        </w:rPr>
        <w:t xml:space="preserve"> the</w:t>
      </w:r>
      <w:r w:rsidR="45E0937B" w:rsidRPr="0043215C">
        <w:rPr>
          <w:rFonts w:eastAsia="Times New Roman" w:cstheme="minorHAnsi"/>
          <w:color w:val="000000" w:themeColor="text1"/>
          <w:sz w:val="20"/>
          <w:szCs w:val="20"/>
        </w:rPr>
        <w:t xml:space="preserve"> system flexibility, balancing</w:t>
      </w:r>
      <w:r w:rsidR="53E89864" w:rsidRPr="0043215C">
        <w:rPr>
          <w:rFonts w:eastAsia="Times New Roman" w:cstheme="minorHAnsi"/>
          <w:color w:val="000000" w:themeColor="text1"/>
          <w:sz w:val="20"/>
          <w:szCs w:val="20"/>
        </w:rPr>
        <w:t xml:space="preserve"> </w:t>
      </w:r>
      <w:r w:rsidR="45E0937B" w:rsidRPr="0043215C">
        <w:rPr>
          <w:rFonts w:eastAsia="Times New Roman" w:cstheme="minorHAnsi"/>
          <w:color w:val="000000" w:themeColor="text1"/>
          <w:sz w:val="20"/>
          <w:szCs w:val="20"/>
        </w:rPr>
        <w:t>and stabilization through energy storage operations</w:t>
      </w:r>
      <w:r w:rsidR="20704719" w:rsidRPr="0043215C">
        <w:rPr>
          <w:rFonts w:eastAsia="Times New Roman" w:cstheme="minorHAnsi"/>
          <w:color w:val="000000" w:themeColor="text1"/>
          <w:sz w:val="20"/>
          <w:szCs w:val="20"/>
        </w:rPr>
        <w:t xml:space="preserve">, </w:t>
      </w:r>
      <w:r w:rsidR="00723D05" w:rsidRPr="0043215C">
        <w:rPr>
          <w:rFonts w:eastAsia="Times New Roman" w:cstheme="minorHAnsi"/>
          <w:color w:val="000000" w:themeColor="text1"/>
          <w:sz w:val="20"/>
          <w:szCs w:val="20"/>
        </w:rPr>
        <w:t>and</w:t>
      </w:r>
      <w:r w:rsidR="004C3C9B" w:rsidRPr="0043215C">
        <w:rPr>
          <w:rFonts w:eastAsia="Times New Roman" w:cstheme="minorHAnsi"/>
          <w:color w:val="000000" w:themeColor="text1"/>
          <w:sz w:val="20"/>
          <w:szCs w:val="20"/>
        </w:rPr>
        <w:t xml:space="preserve"> will support the co-financing of investments </w:t>
      </w:r>
      <w:proofErr w:type="gramStart"/>
      <w:r w:rsidR="004C3C9B" w:rsidRPr="0043215C">
        <w:rPr>
          <w:rFonts w:eastAsia="Times New Roman" w:cstheme="minorHAnsi"/>
          <w:color w:val="000000" w:themeColor="text1"/>
          <w:sz w:val="20"/>
          <w:szCs w:val="20"/>
        </w:rPr>
        <w:t>with regard to</w:t>
      </w:r>
      <w:proofErr w:type="gramEnd"/>
      <w:r w:rsidR="004C3C9B" w:rsidRPr="0043215C">
        <w:rPr>
          <w:rFonts w:eastAsia="Times New Roman" w:cstheme="minorHAnsi"/>
          <w:color w:val="000000" w:themeColor="text1"/>
          <w:sz w:val="20"/>
          <w:szCs w:val="20"/>
        </w:rPr>
        <w:t xml:space="preserve"> e-mobility, specifically EV charging stations, and digitalization of the power distribution grid.</w:t>
      </w:r>
    </w:p>
    <w:p w14:paraId="397EFECE" w14:textId="1BD19457" w:rsidR="010730B5" w:rsidRPr="0043215C" w:rsidRDefault="010730B5" w:rsidP="010730B5">
      <w:pPr>
        <w:spacing w:after="0" w:line="240" w:lineRule="auto"/>
        <w:rPr>
          <w:rFonts w:eastAsia="Times New Roman" w:cstheme="minorHAnsi"/>
          <w:color w:val="000000" w:themeColor="text1"/>
          <w:sz w:val="20"/>
          <w:szCs w:val="20"/>
        </w:rPr>
      </w:pPr>
    </w:p>
    <w:p w14:paraId="1867053A" w14:textId="7AC793FE" w:rsidR="008710CF" w:rsidRPr="0043215C" w:rsidRDefault="008710CF" w:rsidP="008710CF">
      <w:pPr>
        <w:pStyle w:val="BodyText"/>
        <w:rPr>
          <w:rFonts w:asciiTheme="minorHAnsi" w:hAnsiTheme="minorHAnsi" w:cstheme="minorHAnsi"/>
          <w:b/>
          <w:sz w:val="20"/>
          <w:szCs w:val="20"/>
        </w:rPr>
      </w:pPr>
      <w:r w:rsidRPr="0043215C">
        <w:rPr>
          <w:rFonts w:asciiTheme="minorHAnsi" w:hAnsiTheme="minorHAnsi" w:cstheme="minorHAnsi"/>
          <w:b/>
          <w:sz w:val="20"/>
          <w:szCs w:val="20"/>
        </w:rPr>
        <w:t>A) Battery storage</w:t>
      </w:r>
      <w:r w:rsidR="00F2292D" w:rsidRPr="0043215C">
        <w:rPr>
          <w:rFonts w:asciiTheme="minorHAnsi" w:hAnsiTheme="minorHAnsi" w:cstheme="minorHAnsi"/>
          <w:b/>
          <w:sz w:val="20"/>
          <w:szCs w:val="20"/>
        </w:rPr>
        <w:t>:</w:t>
      </w:r>
    </w:p>
    <w:p w14:paraId="43404EA6" w14:textId="77777777" w:rsidR="008710CF" w:rsidRPr="0043215C" w:rsidRDefault="008710CF" w:rsidP="008710CF">
      <w:pPr>
        <w:spacing w:after="0" w:line="240" w:lineRule="auto"/>
        <w:rPr>
          <w:rFonts w:eastAsia="Calibri" w:cstheme="minorHAnsi"/>
          <w:sz w:val="20"/>
          <w:szCs w:val="20"/>
        </w:rPr>
      </w:pPr>
    </w:p>
    <w:p w14:paraId="085F852C" w14:textId="4F4C4574" w:rsidR="008710CF" w:rsidRPr="0043215C" w:rsidRDefault="009A4BC4" w:rsidP="008710CF">
      <w:pPr>
        <w:spacing w:after="0" w:line="240" w:lineRule="auto"/>
        <w:rPr>
          <w:rFonts w:eastAsia="Calibri" w:cstheme="minorHAnsi"/>
          <w:sz w:val="20"/>
          <w:szCs w:val="20"/>
        </w:rPr>
      </w:pPr>
      <w:r w:rsidRPr="0043215C">
        <w:rPr>
          <w:rFonts w:eastAsia="Calibri" w:cstheme="minorHAnsi"/>
          <w:sz w:val="20"/>
          <w:szCs w:val="20"/>
        </w:rPr>
        <w:t xml:space="preserve">Activities under the sub-component will support projects that advance the adoption of battery storage and demonstrate the viability and/or large-scale application of battery storage solutions. </w:t>
      </w:r>
    </w:p>
    <w:p w14:paraId="69967965" w14:textId="77777777" w:rsidR="00A04459" w:rsidRPr="0043215C" w:rsidRDefault="00A04459" w:rsidP="0023236C">
      <w:pPr>
        <w:spacing w:after="0"/>
        <w:rPr>
          <w:rFonts w:eastAsia="Calibri" w:cstheme="minorHAnsi"/>
          <w:sz w:val="20"/>
          <w:szCs w:val="20"/>
        </w:rPr>
      </w:pPr>
    </w:p>
    <w:p w14:paraId="59C312B5" w14:textId="1E5D063B" w:rsidR="008710CF" w:rsidRPr="0043215C" w:rsidRDefault="008710CF" w:rsidP="0023236C">
      <w:pPr>
        <w:spacing w:after="0"/>
        <w:rPr>
          <w:rFonts w:eastAsia="Calibri"/>
          <w:sz w:val="20"/>
          <w:szCs w:val="20"/>
        </w:rPr>
      </w:pPr>
      <w:r w:rsidRPr="6229A375">
        <w:rPr>
          <w:rFonts w:eastAsia="Calibri"/>
          <w:sz w:val="20"/>
          <w:szCs w:val="20"/>
        </w:rPr>
        <w:lastRenderedPageBreak/>
        <w:t xml:space="preserve">EBRD </w:t>
      </w:r>
      <w:r w:rsidR="002B05F9" w:rsidRPr="6229A375">
        <w:rPr>
          <w:rFonts w:eastAsia="Calibri"/>
          <w:sz w:val="20"/>
          <w:szCs w:val="20"/>
        </w:rPr>
        <w:t xml:space="preserve">and IFC are </w:t>
      </w:r>
      <w:r w:rsidRPr="6229A375">
        <w:rPr>
          <w:rFonts w:eastAsia="Calibri"/>
          <w:sz w:val="20"/>
          <w:szCs w:val="20"/>
        </w:rPr>
        <w:t xml:space="preserve">exploring </w:t>
      </w:r>
      <w:r w:rsidR="000A691D" w:rsidRPr="6229A375">
        <w:rPr>
          <w:rFonts w:eastAsia="Calibri"/>
          <w:sz w:val="20"/>
          <w:szCs w:val="20"/>
        </w:rPr>
        <w:t xml:space="preserve">several </w:t>
      </w:r>
      <w:r w:rsidR="00FE22A7" w:rsidRPr="6229A375">
        <w:rPr>
          <w:rFonts w:eastAsia="Calibri"/>
          <w:sz w:val="20"/>
          <w:szCs w:val="20"/>
        </w:rPr>
        <w:t xml:space="preserve">potential projects </w:t>
      </w:r>
      <w:r w:rsidR="003D6DB1" w:rsidRPr="6229A375">
        <w:rPr>
          <w:rFonts w:eastAsia="Calibri"/>
          <w:sz w:val="20"/>
          <w:szCs w:val="20"/>
        </w:rPr>
        <w:t xml:space="preserve">with </w:t>
      </w:r>
      <w:r w:rsidRPr="6229A375">
        <w:rPr>
          <w:rFonts w:eastAsia="Calibri"/>
          <w:sz w:val="20"/>
          <w:szCs w:val="20"/>
        </w:rPr>
        <w:t>battery storage</w:t>
      </w:r>
      <w:r w:rsidR="00402773" w:rsidRPr="6229A375">
        <w:rPr>
          <w:rFonts w:eastAsia="Calibri"/>
          <w:sz w:val="20"/>
          <w:szCs w:val="20"/>
        </w:rPr>
        <w:t xml:space="preserve"> components</w:t>
      </w:r>
      <w:r w:rsidRPr="6229A375">
        <w:rPr>
          <w:rFonts w:eastAsia="Calibri"/>
          <w:sz w:val="20"/>
          <w:szCs w:val="20"/>
        </w:rPr>
        <w:t xml:space="preserve"> that </w:t>
      </w:r>
      <w:r w:rsidR="00BE48FB" w:rsidRPr="6229A375">
        <w:rPr>
          <w:rFonts w:eastAsia="Calibri"/>
          <w:sz w:val="20"/>
          <w:szCs w:val="20"/>
        </w:rPr>
        <w:t xml:space="preserve">are </w:t>
      </w:r>
      <w:r w:rsidRPr="6229A375">
        <w:rPr>
          <w:rFonts w:eastAsia="Calibri"/>
          <w:sz w:val="20"/>
          <w:szCs w:val="20"/>
        </w:rPr>
        <w:t xml:space="preserve">at </w:t>
      </w:r>
      <w:r w:rsidR="5D545582" w:rsidRPr="6229A375">
        <w:rPr>
          <w:rFonts w:eastAsia="Calibri"/>
          <w:sz w:val="20"/>
          <w:szCs w:val="20"/>
        </w:rPr>
        <w:t xml:space="preserve">the </w:t>
      </w:r>
      <w:r w:rsidRPr="6229A375">
        <w:rPr>
          <w:rFonts w:eastAsia="Calibri"/>
          <w:sz w:val="20"/>
          <w:szCs w:val="20"/>
        </w:rPr>
        <w:t>early stage</w:t>
      </w:r>
      <w:r w:rsidR="00BE48FB" w:rsidRPr="6229A375">
        <w:rPr>
          <w:rFonts w:eastAsia="Calibri"/>
          <w:sz w:val="20"/>
          <w:szCs w:val="20"/>
        </w:rPr>
        <w:t>s</w:t>
      </w:r>
      <w:r w:rsidRPr="6229A375">
        <w:rPr>
          <w:rFonts w:eastAsia="Calibri"/>
          <w:sz w:val="20"/>
          <w:szCs w:val="20"/>
        </w:rPr>
        <w:t xml:space="preserve">. </w:t>
      </w:r>
      <w:r w:rsidR="00087D76" w:rsidRPr="6229A375">
        <w:rPr>
          <w:rFonts w:eastAsia="Calibri"/>
          <w:sz w:val="20"/>
          <w:szCs w:val="20"/>
        </w:rPr>
        <w:t xml:space="preserve">Given the allocation of pre-licenses </w:t>
      </w:r>
      <w:r w:rsidR="00055F0E" w:rsidRPr="6229A375">
        <w:rPr>
          <w:rFonts w:eastAsia="Calibri"/>
          <w:sz w:val="20"/>
          <w:szCs w:val="20"/>
        </w:rPr>
        <w:t>under solar/wind</w:t>
      </w:r>
      <w:r w:rsidR="003C58F0" w:rsidRPr="6229A375">
        <w:rPr>
          <w:rFonts w:eastAsia="Calibri"/>
          <w:sz w:val="20"/>
          <w:szCs w:val="20"/>
        </w:rPr>
        <w:t xml:space="preserve"> power projects</w:t>
      </w:r>
      <w:r w:rsidR="00055F0E" w:rsidRPr="6229A375">
        <w:rPr>
          <w:rFonts w:eastAsia="Calibri"/>
          <w:sz w:val="20"/>
          <w:szCs w:val="20"/>
        </w:rPr>
        <w:t xml:space="preserve"> with battery storage components,</w:t>
      </w:r>
      <w:r w:rsidR="008B60B0" w:rsidRPr="6229A375">
        <w:rPr>
          <w:rFonts w:eastAsia="Calibri"/>
          <w:sz w:val="20"/>
          <w:szCs w:val="20"/>
        </w:rPr>
        <w:t xml:space="preserve"> several local and international developers </w:t>
      </w:r>
      <w:r w:rsidR="00D2749C" w:rsidRPr="6229A375">
        <w:rPr>
          <w:rFonts w:eastAsia="Calibri"/>
          <w:sz w:val="20"/>
          <w:szCs w:val="20"/>
        </w:rPr>
        <w:t xml:space="preserve">are seeking </w:t>
      </w:r>
      <w:r w:rsidR="008B60B0" w:rsidRPr="6229A375">
        <w:rPr>
          <w:rFonts w:eastAsia="Calibri"/>
          <w:sz w:val="20"/>
          <w:szCs w:val="20"/>
        </w:rPr>
        <w:t>financial support</w:t>
      </w:r>
      <w:r w:rsidR="00684F5E" w:rsidRPr="6229A375">
        <w:rPr>
          <w:rFonts w:eastAsia="Calibri"/>
          <w:sz w:val="20"/>
          <w:szCs w:val="20"/>
        </w:rPr>
        <w:t xml:space="preserve"> </w:t>
      </w:r>
      <w:r w:rsidR="00C84B5B" w:rsidRPr="6229A375">
        <w:rPr>
          <w:rFonts w:eastAsia="Calibri"/>
          <w:sz w:val="20"/>
          <w:szCs w:val="20"/>
        </w:rPr>
        <w:t xml:space="preserve">at </w:t>
      </w:r>
      <w:r w:rsidR="008C4DC5" w:rsidRPr="6229A375">
        <w:rPr>
          <w:rFonts w:eastAsia="Calibri"/>
          <w:sz w:val="20"/>
          <w:szCs w:val="20"/>
        </w:rPr>
        <w:t xml:space="preserve">an </w:t>
      </w:r>
      <w:r w:rsidR="00C84B5B" w:rsidRPr="6229A375">
        <w:rPr>
          <w:rFonts w:eastAsia="Calibri"/>
          <w:sz w:val="20"/>
          <w:szCs w:val="20"/>
        </w:rPr>
        <w:t xml:space="preserve">early stage. </w:t>
      </w:r>
      <w:r w:rsidRPr="6229A375">
        <w:rPr>
          <w:rFonts w:eastAsia="Calibri"/>
          <w:sz w:val="20"/>
          <w:szCs w:val="20"/>
        </w:rPr>
        <w:t xml:space="preserve">EBRD </w:t>
      </w:r>
      <w:r w:rsidR="00E27053" w:rsidRPr="6229A375">
        <w:rPr>
          <w:rFonts w:eastAsia="Calibri"/>
          <w:sz w:val="20"/>
          <w:szCs w:val="20"/>
        </w:rPr>
        <w:t xml:space="preserve">and IFC </w:t>
      </w:r>
      <w:r w:rsidRPr="6229A375">
        <w:rPr>
          <w:rFonts w:eastAsia="Calibri"/>
          <w:sz w:val="20"/>
          <w:szCs w:val="20"/>
        </w:rPr>
        <w:t>expect to receive increased interest for financing requests in this area starting from 2025.</w:t>
      </w:r>
    </w:p>
    <w:p w14:paraId="40F7453C" w14:textId="77777777" w:rsidR="00FA0FC3" w:rsidRPr="0043215C" w:rsidRDefault="00FA0FC3" w:rsidP="0023236C">
      <w:pPr>
        <w:spacing w:after="0"/>
        <w:rPr>
          <w:rFonts w:eastAsia="Calibri" w:cstheme="minorHAnsi"/>
          <w:sz w:val="20"/>
          <w:szCs w:val="20"/>
        </w:rPr>
      </w:pPr>
    </w:p>
    <w:p w14:paraId="7E4EF74A" w14:textId="5A3DBC8D" w:rsidR="002266AC" w:rsidRPr="0043215C" w:rsidRDefault="003C58F0" w:rsidP="003C58F0">
      <w:pPr>
        <w:spacing w:after="0" w:line="240" w:lineRule="auto"/>
        <w:rPr>
          <w:rFonts w:eastAsia="Calibri" w:cstheme="minorHAnsi"/>
          <w:sz w:val="20"/>
          <w:szCs w:val="20"/>
        </w:rPr>
      </w:pPr>
      <w:r w:rsidRPr="0043215C">
        <w:rPr>
          <w:rFonts w:eastAsia="Calibri" w:cstheme="minorHAnsi"/>
          <w:sz w:val="20"/>
          <w:szCs w:val="20"/>
        </w:rPr>
        <w:t xml:space="preserve">IFC </w:t>
      </w:r>
      <w:r w:rsidR="003F2AAD" w:rsidRPr="0043215C">
        <w:rPr>
          <w:rFonts w:eastAsia="Calibri" w:cstheme="minorHAnsi"/>
          <w:sz w:val="20"/>
          <w:szCs w:val="20"/>
        </w:rPr>
        <w:t>has a close collaboration with</w:t>
      </w:r>
      <w:r w:rsidRPr="0043215C">
        <w:rPr>
          <w:rFonts w:eastAsia="Calibri" w:cstheme="minorHAnsi"/>
          <w:sz w:val="20"/>
          <w:szCs w:val="20"/>
        </w:rPr>
        <w:t xml:space="preserve"> private sector players who are actively developing such projects</w:t>
      </w:r>
      <w:r w:rsidR="003F2AAD" w:rsidRPr="0043215C">
        <w:rPr>
          <w:rFonts w:eastAsia="Calibri" w:cstheme="minorHAnsi"/>
          <w:sz w:val="20"/>
          <w:szCs w:val="20"/>
        </w:rPr>
        <w:t xml:space="preserve">. </w:t>
      </w:r>
      <w:r w:rsidR="006A7E51" w:rsidRPr="0043215C">
        <w:rPr>
          <w:rFonts w:eastAsia="Calibri" w:cstheme="minorHAnsi"/>
          <w:sz w:val="20"/>
          <w:szCs w:val="20"/>
        </w:rPr>
        <w:t>Based on preliminary discussions</w:t>
      </w:r>
      <w:r w:rsidRPr="0043215C">
        <w:rPr>
          <w:rFonts w:eastAsia="Calibri" w:cstheme="minorHAnsi"/>
          <w:sz w:val="20"/>
          <w:szCs w:val="20"/>
        </w:rPr>
        <w:t xml:space="preserve"> with a selected number of companies</w:t>
      </w:r>
      <w:r w:rsidR="00A7169B" w:rsidRPr="0043215C">
        <w:rPr>
          <w:rFonts w:eastAsia="Calibri" w:cstheme="minorHAnsi"/>
          <w:sz w:val="20"/>
          <w:szCs w:val="20"/>
        </w:rPr>
        <w:t xml:space="preserve">, IFC is looking to </w:t>
      </w:r>
      <w:r w:rsidR="002E4DEB" w:rsidRPr="0043215C">
        <w:rPr>
          <w:rFonts w:eastAsia="Calibri" w:cstheme="minorHAnsi"/>
          <w:sz w:val="20"/>
          <w:szCs w:val="20"/>
        </w:rPr>
        <w:t>deploy</w:t>
      </w:r>
      <w:r w:rsidRPr="0043215C">
        <w:rPr>
          <w:rFonts w:eastAsia="Calibri" w:cstheme="minorHAnsi"/>
          <w:sz w:val="20"/>
          <w:szCs w:val="20"/>
        </w:rPr>
        <w:t xml:space="preserve"> </w:t>
      </w:r>
      <w:r w:rsidR="000E4E5F" w:rsidRPr="0043215C">
        <w:rPr>
          <w:rFonts w:eastAsia="Calibri" w:cstheme="minorHAnsi"/>
          <w:sz w:val="20"/>
          <w:szCs w:val="20"/>
        </w:rPr>
        <w:t xml:space="preserve">potentially </w:t>
      </w:r>
      <w:r w:rsidR="00636124" w:rsidRPr="0043215C">
        <w:rPr>
          <w:rFonts w:eastAsia="Calibri" w:cstheme="minorHAnsi"/>
          <w:sz w:val="20"/>
          <w:szCs w:val="20"/>
        </w:rPr>
        <w:t>US$</w:t>
      </w:r>
      <w:r w:rsidR="00502048" w:rsidRPr="0043215C">
        <w:rPr>
          <w:rFonts w:eastAsia="Calibri" w:cstheme="minorHAnsi"/>
          <w:sz w:val="20"/>
          <w:szCs w:val="20"/>
        </w:rPr>
        <w:t>1</w:t>
      </w:r>
      <w:r w:rsidR="00E3245C" w:rsidRPr="0043215C">
        <w:rPr>
          <w:rFonts w:eastAsia="Calibri" w:cstheme="minorHAnsi"/>
          <w:sz w:val="20"/>
          <w:szCs w:val="20"/>
        </w:rPr>
        <w:t>00</w:t>
      </w:r>
      <w:r w:rsidRPr="0043215C">
        <w:rPr>
          <w:rFonts w:eastAsia="Calibri" w:cstheme="minorHAnsi"/>
          <w:sz w:val="20"/>
          <w:szCs w:val="20"/>
        </w:rPr>
        <w:t>-</w:t>
      </w:r>
      <w:r w:rsidR="00E3245C" w:rsidRPr="0043215C">
        <w:rPr>
          <w:rFonts w:eastAsia="Calibri" w:cstheme="minorHAnsi"/>
          <w:sz w:val="20"/>
          <w:szCs w:val="20"/>
        </w:rPr>
        <w:t>15</w:t>
      </w:r>
      <w:r w:rsidR="00502048" w:rsidRPr="0043215C">
        <w:rPr>
          <w:rFonts w:eastAsia="Calibri" w:cstheme="minorHAnsi"/>
          <w:sz w:val="20"/>
          <w:szCs w:val="20"/>
        </w:rPr>
        <w:t>0</w:t>
      </w:r>
      <w:r w:rsidRPr="0043215C">
        <w:rPr>
          <w:rFonts w:eastAsia="Calibri" w:cstheme="minorHAnsi"/>
          <w:sz w:val="20"/>
          <w:szCs w:val="20"/>
        </w:rPr>
        <w:t xml:space="preserve"> million financin</w:t>
      </w:r>
      <w:r w:rsidR="000E4E5F" w:rsidRPr="0043215C">
        <w:rPr>
          <w:rFonts w:eastAsia="Calibri" w:cstheme="minorHAnsi"/>
          <w:sz w:val="20"/>
          <w:szCs w:val="20"/>
        </w:rPr>
        <w:t>g</w:t>
      </w:r>
      <w:r w:rsidR="002E4DEB" w:rsidRPr="0043215C">
        <w:rPr>
          <w:rFonts w:eastAsia="Calibri" w:cstheme="minorHAnsi"/>
          <w:sz w:val="20"/>
          <w:szCs w:val="20"/>
        </w:rPr>
        <w:t xml:space="preserve"> </w:t>
      </w:r>
      <w:r w:rsidR="00003563" w:rsidRPr="0043215C">
        <w:rPr>
          <w:rFonts w:eastAsia="Calibri" w:cstheme="minorHAnsi"/>
          <w:sz w:val="20"/>
          <w:szCs w:val="20"/>
        </w:rPr>
        <w:t xml:space="preserve">(subject to the bankability and </w:t>
      </w:r>
      <w:r w:rsidR="00EE6E03" w:rsidRPr="0043215C">
        <w:rPr>
          <w:rFonts w:eastAsia="Calibri" w:cstheme="minorHAnsi"/>
          <w:sz w:val="20"/>
          <w:szCs w:val="20"/>
        </w:rPr>
        <w:t>credit due diligence)</w:t>
      </w:r>
      <w:r w:rsidRPr="0043215C">
        <w:rPr>
          <w:rFonts w:eastAsia="Calibri" w:cstheme="minorHAnsi"/>
          <w:sz w:val="20"/>
          <w:szCs w:val="20"/>
        </w:rPr>
        <w:t>, expected to be implemented in 2025</w:t>
      </w:r>
      <w:r w:rsidR="00554C1C" w:rsidRPr="0043215C">
        <w:rPr>
          <w:rFonts w:eastAsia="Calibri" w:cstheme="minorHAnsi"/>
          <w:sz w:val="20"/>
          <w:szCs w:val="20"/>
        </w:rPr>
        <w:t>-2026</w:t>
      </w:r>
      <w:r w:rsidRPr="0043215C">
        <w:rPr>
          <w:rFonts w:eastAsia="Calibri" w:cstheme="minorHAnsi"/>
          <w:sz w:val="20"/>
          <w:szCs w:val="20"/>
        </w:rPr>
        <w:t xml:space="preserve">. </w:t>
      </w:r>
    </w:p>
    <w:p w14:paraId="02790FB7" w14:textId="77777777" w:rsidR="002266AC" w:rsidRPr="0043215C" w:rsidRDefault="002266AC" w:rsidP="003C58F0">
      <w:pPr>
        <w:spacing w:after="0" w:line="240" w:lineRule="auto"/>
        <w:rPr>
          <w:rFonts w:eastAsia="Calibri" w:cstheme="minorHAnsi"/>
          <w:sz w:val="20"/>
          <w:szCs w:val="20"/>
        </w:rPr>
      </w:pPr>
    </w:p>
    <w:p w14:paraId="5E7E5CFE" w14:textId="111AC012" w:rsidR="003C58F0" w:rsidRPr="0043215C" w:rsidRDefault="00F35AEC" w:rsidP="003C58F0">
      <w:pPr>
        <w:spacing w:after="0" w:line="240" w:lineRule="auto"/>
        <w:rPr>
          <w:rFonts w:eastAsia="Calibri" w:cstheme="minorHAnsi"/>
          <w:sz w:val="20"/>
          <w:szCs w:val="20"/>
        </w:rPr>
      </w:pPr>
      <w:r w:rsidRPr="0043215C">
        <w:rPr>
          <w:rFonts w:cstheme="minorHAnsi"/>
          <w:sz w:val="20"/>
          <w:szCs w:val="20"/>
        </w:rPr>
        <w:t xml:space="preserve">Given the </w:t>
      </w:r>
      <w:r w:rsidR="00AA4D93" w:rsidRPr="0043215C">
        <w:rPr>
          <w:rFonts w:cstheme="minorHAnsi"/>
          <w:sz w:val="20"/>
          <w:szCs w:val="20"/>
        </w:rPr>
        <w:t xml:space="preserve">Government’s </w:t>
      </w:r>
      <w:r w:rsidRPr="0043215C">
        <w:rPr>
          <w:rFonts w:cstheme="minorHAnsi"/>
          <w:sz w:val="20"/>
          <w:szCs w:val="20"/>
        </w:rPr>
        <w:t>ambitious RE scale</w:t>
      </w:r>
      <w:r w:rsidR="000D3193" w:rsidRPr="0043215C">
        <w:rPr>
          <w:rFonts w:cstheme="minorHAnsi"/>
          <w:sz w:val="20"/>
          <w:szCs w:val="20"/>
        </w:rPr>
        <w:t>-</w:t>
      </w:r>
      <w:r w:rsidRPr="0043215C">
        <w:rPr>
          <w:rFonts w:cstheme="minorHAnsi"/>
          <w:sz w:val="20"/>
          <w:szCs w:val="20"/>
        </w:rPr>
        <w:t>up plans, energy storage systems will play a crucial role in system balancing</w:t>
      </w:r>
      <w:r w:rsidR="00AA4D93" w:rsidRPr="0043215C">
        <w:rPr>
          <w:rFonts w:cstheme="minorHAnsi"/>
          <w:sz w:val="20"/>
          <w:szCs w:val="20"/>
        </w:rPr>
        <w:t>,</w:t>
      </w:r>
      <w:r w:rsidRPr="0043215C">
        <w:rPr>
          <w:rFonts w:cstheme="minorHAnsi"/>
          <w:sz w:val="20"/>
          <w:szCs w:val="20"/>
        </w:rPr>
        <w:t xml:space="preserve"> peak shaving</w:t>
      </w:r>
      <w:r w:rsidR="00AA4D93" w:rsidRPr="0043215C">
        <w:rPr>
          <w:rFonts w:cstheme="minorHAnsi"/>
          <w:sz w:val="20"/>
          <w:szCs w:val="20"/>
        </w:rPr>
        <w:t>,</w:t>
      </w:r>
      <w:r w:rsidRPr="0043215C">
        <w:rPr>
          <w:rFonts w:cstheme="minorHAnsi"/>
          <w:sz w:val="20"/>
          <w:szCs w:val="20"/>
        </w:rPr>
        <w:t xml:space="preserve"> and grid stabilization. </w:t>
      </w:r>
      <w:r w:rsidR="00AA4D93" w:rsidRPr="0043215C">
        <w:rPr>
          <w:rFonts w:cstheme="minorHAnsi"/>
          <w:sz w:val="20"/>
          <w:szCs w:val="20"/>
        </w:rPr>
        <w:t>The need for c</w:t>
      </w:r>
      <w:r w:rsidR="004220D1" w:rsidRPr="0043215C">
        <w:rPr>
          <w:rFonts w:cstheme="minorHAnsi"/>
          <w:sz w:val="20"/>
          <w:szCs w:val="20"/>
        </w:rPr>
        <w:t xml:space="preserve">oncessional finance </w:t>
      </w:r>
      <w:r w:rsidR="00AA4D93" w:rsidRPr="0043215C">
        <w:rPr>
          <w:rFonts w:cstheme="minorHAnsi"/>
          <w:sz w:val="20"/>
          <w:szCs w:val="20"/>
        </w:rPr>
        <w:t xml:space="preserve">is immense, as it </w:t>
      </w:r>
      <w:r w:rsidR="004220D1" w:rsidRPr="0043215C">
        <w:rPr>
          <w:rFonts w:cstheme="minorHAnsi"/>
          <w:sz w:val="20"/>
          <w:szCs w:val="20"/>
        </w:rPr>
        <w:t xml:space="preserve">will help </w:t>
      </w:r>
      <w:r w:rsidR="00EB2FC5" w:rsidRPr="0043215C">
        <w:rPr>
          <w:rFonts w:cstheme="minorHAnsi"/>
          <w:sz w:val="20"/>
          <w:szCs w:val="20"/>
        </w:rPr>
        <w:t xml:space="preserve">mitigate </w:t>
      </w:r>
      <w:r w:rsidR="004220D1" w:rsidRPr="0043215C">
        <w:rPr>
          <w:rFonts w:cstheme="minorHAnsi"/>
          <w:sz w:val="20"/>
          <w:szCs w:val="20"/>
        </w:rPr>
        <w:t xml:space="preserve">the high capital and operating costs and enhance the capacity to design and install innovative </w:t>
      </w:r>
      <w:r w:rsidR="00DF53F4" w:rsidRPr="0043215C">
        <w:rPr>
          <w:rFonts w:cstheme="minorHAnsi"/>
          <w:sz w:val="20"/>
          <w:szCs w:val="20"/>
        </w:rPr>
        <w:t>energy storage systems</w:t>
      </w:r>
      <w:r w:rsidR="00EB2FC5" w:rsidRPr="0043215C">
        <w:rPr>
          <w:rFonts w:cstheme="minorHAnsi"/>
          <w:sz w:val="20"/>
          <w:szCs w:val="20"/>
        </w:rPr>
        <w:t xml:space="preserve">. This support will lead to </w:t>
      </w:r>
      <w:r w:rsidR="004220D1" w:rsidRPr="0043215C">
        <w:rPr>
          <w:rFonts w:cstheme="minorHAnsi"/>
          <w:sz w:val="20"/>
          <w:szCs w:val="20"/>
        </w:rPr>
        <w:t xml:space="preserve">improved RE availability and </w:t>
      </w:r>
      <w:r w:rsidR="004220D1" w:rsidRPr="00F22B68">
        <w:rPr>
          <w:rFonts w:cstheme="minorHAnsi"/>
          <w:sz w:val="20"/>
          <w:szCs w:val="20"/>
        </w:rPr>
        <w:t xml:space="preserve">reliability. </w:t>
      </w:r>
      <w:r w:rsidR="002266AC" w:rsidRPr="00F22B68">
        <w:rPr>
          <w:rFonts w:cstheme="minorHAnsi"/>
          <w:sz w:val="20"/>
          <w:szCs w:val="20"/>
        </w:rPr>
        <w:t xml:space="preserve">EBRD and IFC will ensure that activities </w:t>
      </w:r>
      <w:r w:rsidR="004B4997" w:rsidRPr="00F22B68">
        <w:rPr>
          <w:rFonts w:cstheme="minorHAnsi"/>
          <w:sz w:val="20"/>
          <w:szCs w:val="20"/>
        </w:rPr>
        <w:t xml:space="preserve">under this sub-component </w:t>
      </w:r>
      <w:r w:rsidR="00C7701B" w:rsidRPr="00F22B68">
        <w:rPr>
          <w:rFonts w:cstheme="minorHAnsi"/>
          <w:sz w:val="20"/>
          <w:szCs w:val="20"/>
        </w:rPr>
        <w:t>align</w:t>
      </w:r>
      <w:r w:rsidR="002266AC" w:rsidRPr="00F22B68">
        <w:rPr>
          <w:rFonts w:cstheme="minorHAnsi"/>
          <w:sz w:val="20"/>
          <w:szCs w:val="20"/>
        </w:rPr>
        <w:t xml:space="preserve"> with </w:t>
      </w:r>
      <w:r w:rsidR="005E6465" w:rsidRPr="00F22B68">
        <w:rPr>
          <w:rFonts w:cstheme="minorHAnsi"/>
          <w:sz w:val="20"/>
          <w:szCs w:val="20"/>
        </w:rPr>
        <w:t xml:space="preserve">other CIF </w:t>
      </w:r>
      <w:r w:rsidR="00F052A6" w:rsidRPr="00F22B68">
        <w:rPr>
          <w:rFonts w:cstheme="minorHAnsi"/>
          <w:sz w:val="20"/>
          <w:szCs w:val="20"/>
        </w:rPr>
        <w:t>pr</w:t>
      </w:r>
      <w:r w:rsidR="008E32BF" w:rsidRPr="00F22B68">
        <w:rPr>
          <w:rFonts w:cstheme="minorHAnsi"/>
          <w:sz w:val="20"/>
          <w:szCs w:val="20"/>
        </w:rPr>
        <w:t xml:space="preserve">ograms, </w:t>
      </w:r>
      <w:r w:rsidR="00D46ECE" w:rsidRPr="00F22B68">
        <w:rPr>
          <w:rFonts w:cstheme="minorHAnsi"/>
          <w:sz w:val="20"/>
          <w:szCs w:val="20"/>
        </w:rPr>
        <w:t>such as</w:t>
      </w:r>
      <w:r w:rsidR="008E32BF" w:rsidRPr="00F22B68">
        <w:rPr>
          <w:rFonts w:cstheme="minorHAnsi"/>
          <w:sz w:val="20"/>
          <w:szCs w:val="20"/>
        </w:rPr>
        <w:t xml:space="preserve"> the CTF Global Energy Storage Program</w:t>
      </w:r>
      <w:r w:rsidR="00A96A23" w:rsidRPr="00F22B68">
        <w:rPr>
          <w:rFonts w:cstheme="minorHAnsi"/>
          <w:sz w:val="20"/>
          <w:szCs w:val="20"/>
        </w:rPr>
        <w:t xml:space="preserve"> (GSEP)</w:t>
      </w:r>
      <w:r w:rsidR="005E6465" w:rsidRPr="00F22B68">
        <w:rPr>
          <w:rFonts w:cstheme="minorHAnsi"/>
          <w:sz w:val="20"/>
          <w:szCs w:val="20"/>
        </w:rPr>
        <w:t xml:space="preserve">, </w:t>
      </w:r>
      <w:r w:rsidR="008E32BF" w:rsidRPr="00F22B68">
        <w:rPr>
          <w:rFonts w:cstheme="minorHAnsi"/>
          <w:sz w:val="20"/>
          <w:szCs w:val="20"/>
        </w:rPr>
        <w:t xml:space="preserve">and </w:t>
      </w:r>
      <w:r w:rsidR="0010058C" w:rsidRPr="00F22B68">
        <w:rPr>
          <w:rFonts w:cstheme="minorHAnsi"/>
          <w:sz w:val="20"/>
          <w:szCs w:val="20"/>
        </w:rPr>
        <w:t xml:space="preserve">with </w:t>
      </w:r>
      <w:r w:rsidR="000C09E6" w:rsidRPr="00F22B68">
        <w:rPr>
          <w:rFonts w:cstheme="minorHAnsi"/>
          <w:sz w:val="20"/>
          <w:szCs w:val="20"/>
        </w:rPr>
        <w:t xml:space="preserve">interventions </w:t>
      </w:r>
      <w:r w:rsidR="002266AC" w:rsidRPr="00F22B68">
        <w:rPr>
          <w:rFonts w:cstheme="minorHAnsi"/>
          <w:sz w:val="20"/>
          <w:szCs w:val="20"/>
        </w:rPr>
        <w:t>by other development partners</w:t>
      </w:r>
      <w:r w:rsidR="00D46ECE" w:rsidRPr="00F22B68">
        <w:rPr>
          <w:rFonts w:cstheme="minorHAnsi"/>
          <w:sz w:val="20"/>
          <w:szCs w:val="20"/>
        </w:rPr>
        <w:t>, creating valuable synergies</w:t>
      </w:r>
      <w:r w:rsidR="002266AC" w:rsidRPr="00F22B68">
        <w:rPr>
          <w:rFonts w:cstheme="minorHAnsi"/>
          <w:sz w:val="20"/>
          <w:szCs w:val="20"/>
        </w:rPr>
        <w:t>.</w:t>
      </w:r>
      <w:r w:rsidR="003C58F0" w:rsidRPr="0043215C">
        <w:rPr>
          <w:rFonts w:eastAsia="Calibri" w:cstheme="minorHAnsi"/>
          <w:sz w:val="20"/>
          <w:szCs w:val="20"/>
        </w:rPr>
        <w:t xml:space="preserve">    </w:t>
      </w:r>
    </w:p>
    <w:p w14:paraId="7B681ABC" w14:textId="77777777" w:rsidR="003C58F0" w:rsidRPr="0043215C" w:rsidRDefault="003C58F0" w:rsidP="0023236C">
      <w:pPr>
        <w:spacing w:after="0"/>
        <w:rPr>
          <w:rFonts w:eastAsia="Calibri" w:cstheme="minorHAnsi"/>
          <w:sz w:val="20"/>
          <w:szCs w:val="20"/>
        </w:rPr>
      </w:pPr>
    </w:p>
    <w:p w14:paraId="7B081235" w14:textId="77777777" w:rsidR="00E37821" w:rsidRPr="0043215C" w:rsidRDefault="00E37821" w:rsidP="000D74CD">
      <w:pPr>
        <w:spacing w:after="0" w:line="240" w:lineRule="auto"/>
        <w:rPr>
          <w:rFonts w:eastAsia="Times New Roman" w:cstheme="minorHAnsi"/>
          <w:color w:val="000000" w:themeColor="text1"/>
          <w:sz w:val="20"/>
          <w:szCs w:val="20"/>
        </w:rPr>
      </w:pPr>
    </w:p>
    <w:p w14:paraId="320A634B" w14:textId="7CEBDB9D" w:rsidR="00F466B4" w:rsidRPr="0043215C" w:rsidRDefault="727FA1E7" w:rsidP="00F466B4">
      <w:pPr>
        <w:spacing w:after="0" w:line="240" w:lineRule="auto"/>
        <w:rPr>
          <w:rFonts w:eastAsia="Calibri" w:cstheme="minorHAnsi"/>
          <w:b/>
          <w:bCs/>
          <w:sz w:val="20"/>
          <w:szCs w:val="20"/>
        </w:rPr>
      </w:pPr>
      <w:r w:rsidRPr="0043215C">
        <w:rPr>
          <w:rFonts w:eastAsia="Calibri" w:cstheme="minorHAnsi"/>
          <w:b/>
          <w:bCs/>
          <w:sz w:val="20"/>
          <w:szCs w:val="20"/>
        </w:rPr>
        <w:t>B</w:t>
      </w:r>
      <w:r w:rsidR="59B59EDA" w:rsidRPr="0043215C">
        <w:rPr>
          <w:rFonts w:eastAsia="Calibri" w:cstheme="minorHAnsi"/>
          <w:b/>
          <w:bCs/>
          <w:sz w:val="20"/>
          <w:szCs w:val="20"/>
        </w:rPr>
        <w:t xml:space="preserve">) </w:t>
      </w:r>
      <w:r w:rsidR="61FC9B50" w:rsidRPr="0043215C">
        <w:rPr>
          <w:rFonts w:eastAsia="Calibri" w:cstheme="minorHAnsi"/>
          <w:b/>
          <w:bCs/>
          <w:sz w:val="20"/>
          <w:szCs w:val="20"/>
        </w:rPr>
        <w:t>E-Mobility (EV Charging Stations):</w:t>
      </w:r>
    </w:p>
    <w:p w14:paraId="4B9A7E15" w14:textId="77777777" w:rsidR="007E526B" w:rsidRPr="0043215C" w:rsidRDefault="007E526B" w:rsidP="00F466B4">
      <w:pPr>
        <w:spacing w:after="0" w:line="240" w:lineRule="auto"/>
        <w:rPr>
          <w:rFonts w:eastAsia="Calibri" w:cstheme="minorHAnsi"/>
          <w:b/>
          <w:bCs/>
          <w:sz w:val="20"/>
          <w:szCs w:val="20"/>
        </w:rPr>
      </w:pPr>
    </w:p>
    <w:p w14:paraId="5390125B" w14:textId="0A9DFF9E" w:rsidR="00F466B4" w:rsidRPr="0043215C" w:rsidRDefault="00F75FEA" w:rsidP="00F466B4">
      <w:pPr>
        <w:spacing w:after="0" w:line="240" w:lineRule="auto"/>
        <w:rPr>
          <w:rFonts w:eastAsia="Calibri" w:cstheme="minorHAnsi"/>
          <w:sz w:val="20"/>
          <w:szCs w:val="20"/>
        </w:rPr>
      </w:pPr>
      <w:r w:rsidRPr="0043215C">
        <w:rPr>
          <w:rFonts w:eastAsia="Calibri" w:cstheme="minorHAnsi"/>
          <w:sz w:val="20"/>
          <w:szCs w:val="20"/>
        </w:rPr>
        <w:t xml:space="preserve">Activities </w:t>
      </w:r>
      <w:r w:rsidR="00FA48B0" w:rsidRPr="0043215C">
        <w:rPr>
          <w:rFonts w:eastAsia="Calibri" w:cstheme="minorHAnsi"/>
          <w:sz w:val="20"/>
          <w:szCs w:val="20"/>
        </w:rPr>
        <w:t>will focus on identifying opportunities for private sector participation and financing for options promoting the adoption of e-mobility solutions</w:t>
      </w:r>
      <w:r w:rsidRPr="0043215C">
        <w:rPr>
          <w:rFonts w:eastAsia="Calibri" w:cstheme="minorHAnsi"/>
          <w:sz w:val="20"/>
          <w:szCs w:val="20"/>
        </w:rPr>
        <w:t xml:space="preserve">, with a </w:t>
      </w:r>
      <w:r w:rsidR="00FA48B0" w:rsidRPr="0043215C">
        <w:rPr>
          <w:rFonts w:eastAsia="Calibri" w:cstheme="minorHAnsi"/>
          <w:sz w:val="20"/>
          <w:szCs w:val="20"/>
        </w:rPr>
        <w:t>primar</w:t>
      </w:r>
      <w:r w:rsidRPr="0043215C">
        <w:rPr>
          <w:rFonts w:eastAsia="Calibri" w:cstheme="minorHAnsi"/>
          <w:sz w:val="20"/>
          <w:szCs w:val="20"/>
        </w:rPr>
        <w:t>y</w:t>
      </w:r>
      <w:r w:rsidR="00FA48B0" w:rsidRPr="0043215C">
        <w:rPr>
          <w:rFonts w:eastAsia="Calibri" w:cstheme="minorHAnsi"/>
          <w:sz w:val="20"/>
          <w:szCs w:val="20"/>
        </w:rPr>
        <w:t xml:space="preserve"> focus on expanding EV charging infrastructure.</w:t>
      </w:r>
    </w:p>
    <w:p w14:paraId="4B5AB8CA" w14:textId="77777777" w:rsidR="007E526B" w:rsidRPr="0043215C" w:rsidRDefault="007E526B" w:rsidP="0023236C">
      <w:pPr>
        <w:spacing w:after="0" w:line="240" w:lineRule="auto"/>
        <w:rPr>
          <w:rFonts w:eastAsia="Calibri" w:cstheme="minorHAnsi"/>
          <w:sz w:val="20"/>
          <w:szCs w:val="20"/>
        </w:rPr>
      </w:pPr>
    </w:p>
    <w:p w14:paraId="4A6D6DEA" w14:textId="3BE8AB9B" w:rsidR="00F466B4" w:rsidRPr="0043215C" w:rsidRDefault="00BB2999" w:rsidP="0023236C">
      <w:pPr>
        <w:spacing w:after="0" w:line="240" w:lineRule="auto"/>
        <w:rPr>
          <w:rFonts w:eastAsia="Calibri"/>
          <w:sz w:val="20"/>
          <w:szCs w:val="20"/>
        </w:rPr>
      </w:pPr>
      <w:r w:rsidRPr="6229A375">
        <w:rPr>
          <w:rFonts w:eastAsia="Calibri"/>
          <w:sz w:val="20"/>
          <w:szCs w:val="20"/>
        </w:rPr>
        <w:t>EBRD and IFC have already engaged with several of their existing and new clients to explore new business opportunities in the e-mobility sector such as the leading players in EV infrastructure. Most of these companies are experienced energy generation/distribution companies trying to expand into EV business. The potential projects focus mostly on EV charging station investments, with the financing product of choice (i.e., debt, equity, etc.) being dependent on the financial strength of the potential counterparties.</w:t>
      </w:r>
      <w:r w:rsidR="00692ECE" w:rsidRPr="6229A375">
        <w:rPr>
          <w:rFonts w:eastAsia="Calibri"/>
          <w:sz w:val="20"/>
          <w:szCs w:val="20"/>
        </w:rPr>
        <w:t xml:space="preserve"> </w:t>
      </w:r>
      <w:r w:rsidR="00F466B4" w:rsidRPr="6229A375">
        <w:rPr>
          <w:rFonts w:eastAsia="Calibri"/>
          <w:sz w:val="20"/>
          <w:szCs w:val="20"/>
        </w:rPr>
        <w:t xml:space="preserve">To date, EBRD </w:t>
      </w:r>
      <w:r w:rsidR="49E2B369" w:rsidRPr="6229A375">
        <w:rPr>
          <w:rFonts w:eastAsia="Calibri"/>
          <w:sz w:val="20"/>
          <w:szCs w:val="20"/>
        </w:rPr>
        <w:t>has</w:t>
      </w:r>
      <w:r w:rsidR="00F466B4" w:rsidRPr="6229A375">
        <w:rPr>
          <w:rFonts w:eastAsia="Calibri"/>
          <w:sz w:val="20"/>
          <w:szCs w:val="20"/>
        </w:rPr>
        <w:t xml:space="preserve"> provided </w:t>
      </w:r>
      <w:r w:rsidR="00636124" w:rsidRPr="6229A375">
        <w:rPr>
          <w:rFonts w:eastAsia="Calibri"/>
          <w:sz w:val="20"/>
          <w:szCs w:val="20"/>
        </w:rPr>
        <w:t>US$</w:t>
      </w:r>
      <w:r w:rsidR="00F466B4" w:rsidRPr="6229A375">
        <w:rPr>
          <w:rFonts w:eastAsia="Calibri"/>
          <w:sz w:val="20"/>
          <w:szCs w:val="20"/>
        </w:rPr>
        <w:t xml:space="preserve"> 25 million financing for EV charging infrastructure development and the Bank’s intention is to increase its exposure in the sector to the extent possible and feasible. </w:t>
      </w:r>
    </w:p>
    <w:p w14:paraId="1BB698E8" w14:textId="77777777" w:rsidR="00CA6FC0" w:rsidRPr="0043215C" w:rsidRDefault="00CA6FC0" w:rsidP="0023236C">
      <w:pPr>
        <w:spacing w:after="0" w:line="240" w:lineRule="auto"/>
        <w:rPr>
          <w:rFonts w:eastAsia="Calibri" w:cstheme="minorHAnsi"/>
          <w:sz w:val="20"/>
          <w:szCs w:val="20"/>
        </w:rPr>
      </w:pPr>
    </w:p>
    <w:p w14:paraId="724B6C6E" w14:textId="0272D0DE" w:rsidR="00F466B4" w:rsidRPr="0043215C" w:rsidRDefault="00F466B4" w:rsidP="00F466B4">
      <w:pPr>
        <w:spacing w:after="0" w:line="240" w:lineRule="auto"/>
        <w:rPr>
          <w:rFonts w:eastAsia="Calibri"/>
          <w:sz w:val="20"/>
          <w:szCs w:val="20"/>
        </w:rPr>
      </w:pPr>
      <w:r w:rsidRPr="6229A375">
        <w:rPr>
          <w:rFonts w:eastAsia="Calibri"/>
          <w:sz w:val="20"/>
          <w:szCs w:val="20"/>
        </w:rPr>
        <w:t xml:space="preserve">EBRD has a private sector pipeline focused on EV charging infrastructure. EBRD is in discussions with </w:t>
      </w:r>
      <w:proofErr w:type="gramStart"/>
      <w:r w:rsidRPr="6229A375">
        <w:rPr>
          <w:rFonts w:eastAsia="Calibri"/>
          <w:sz w:val="20"/>
          <w:szCs w:val="20"/>
        </w:rPr>
        <w:t>a number of</w:t>
      </w:r>
      <w:proofErr w:type="gramEnd"/>
      <w:r w:rsidRPr="6229A375">
        <w:rPr>
          <w:rFonts w:eastAsia="Calibri"/>
          <w:sz w:val="20"/>
          <w:szCs w:val="20"/>
        </w:rPr>
        <w:t xml:space="preserve"> companies for an up to </w:t>
      </w:r>
      <w:r w:rsidR="00636124" w:rsidRPr="6229A375">
        <w:rPr>
          <w:rFonts w:eastAsia="Calibri"/>
          <w:sz w:val="20"/>
          <w:szCs w:val="20"/>
        </w:rPr>
        <w:t>US$</w:t>
      </w:r>
      <w:r w:rsidRPr="6229A375">
        <w:rPr>
          <w:rFonts w:eastAsia="Calibri"/>
          <w:sz w:val="20"/>
          <w:szCs w:val="20"/>
        </w:rPr>
        <w:t xml:space="preserve">30-40 million financing for supporting EV business expansion. </w:t>
      </w:r>
      <w:r w:rsidR="5154FD69" w:rsidRPr="6229A375">
        <w:rPr>
          <w:rFonts w:eastAsia="Calibri"/>
          <w:sz w:val="20"/>
          <w:szCs w:val="20"/>
        </w:rPr>
        <w:t>Investments</w:t>
      </w:r>
      <w:r w:rsidRPr="6229A375">
        <w:rPr>
          <w:rFonts w:eastAsia="Calibri"/>
          <w:sz w:val="20"/>
          <w:szCs w:val="20"/>
        </w:rPr>
        <w:t xml:space="preserve"> are expected to start in 2025 in line with the EV adoption progress in the country.</w:t>
      </w:r>
    </w:p>
    <w:p w14:paraId="022AF10E" w14:textId="77777777" w:rsidR="00B25FB1" w:rsidRPr="0043215C" w:rsidRDefault="00B25FB1" w:rsidP="00F466B4">
      <w:pPr>
        <w:spacing w:after="0" w:line="240" w:lineRule="auto"/>
        <w:rPr>
          <w:rFonts w:eastAsia="Calibri" w:cstheme="minorHAnsi"/>
          <w:sz w:val="20"/>
          <w:szCs w:val="20"/>
        </w:rPr>
      </w:pPr>
    </w:p>
    <w:p w14:paraId="575AC767" w14:textId="1E9F823E" w:rsidR="00B25FB1" w:rsidRDefault="00B25FB1" w:rsidP="00F466B4">
      <w:pPr>
        <w:spacing w:after="0" w:line="240" w:lineRule="auto"/>
        <w:rPr>
          <w:rFonts w:eastAsia="Calibri" w:cstheme="minorHAnsi"/>
          <w:sz w:val="20"/>
          <w:szCs w:val="20"/>
        </w:rPr>
      </w:pPr>
      <w:r w:rsidRPr="0043215C">
        <w:rPr>
          <w:rFonts w:eastAsia="Calibri" w:cstheme="minorHAnsi"/>
          <w:sz w:val="20"/>
          <w:szCs w:val="20"/>
        </w:rPr>
        <w:t xml:space="preserve">IFC has a pipeline of private sector players looking to expand their EV charging infrastructure and is in early discussions with a selected number of EV charging infrastructure companies for an investment size of </w:t>
      </w:r>
      <w:r w:rsidR="00636124" w:rsidRPr="0043215C">
        <w:rPr>
          <w:rFonts w:eastAsia="Calibri" w:cstheme="minorHAnsi"/>
          <w:sz w:val="20"/>
          <w:szCs w:val="20"/>
        </w:rPr>
        <w:t>US$</w:t>
      </w:r>
      <w:r w:rsidRPr="0043215C">
        <w:rPr>
          <w:rFonts w:eastAsia="Calibri" w:cstheme="minorHAnsi"/>
          <w:sz w:val="20"/>
          <w:szCs w:val="20"/>
        </w:rPr>
        <w:t xml:space="preserve"> 20-30 million financing</w:t>
      </w:r>
      <w:r w:rsidR="00E169C4" w:rsidRPr="0043215C">
        <w:rPr>
          <w:rFonts w:eastAsia="Calibri" w:cstheme="minorHAnsi"/>
          <w:sz w:val="20"/>
          <w:szCs w:val="20"/>
        </w:rPr>
        <w:t xml:space="preserve"> (depending on the project size and overall investment need)</w:t>
      </w:r>
      <w:r w:rsidRPr="0043215C">
        <w:rPr>
          <w:rFonts w:eastAsia="Calibri" w:cstheme="minorHAnsi"/>
          <w:sz w:val="20"/>
          <w:szCs w:val="20"/>
        </w:rPr>
        <w:t xml:space="preserve">, expected to be implemented in 2025-26.     </w:t>
      </w:r>
    </w:p>
    <w:p w14:paraId="20CD6948" w14:textId="77777777" w:rsidR="00F22B68" w:rsidRDefault="00F22B68" w:rsidP="00F466B4">
      <w:pPr>
        <w:spacing w:after="0" w:line="240" w:lineRule="auto"/>
        <w:rPr>
          <w:rFonts w:eastAsia="Calibri" w:cstheme="minorHAnsi"/>
          <w:sz w:val="20"/>
          <w:szCs w:val="20"/>
        </w:rPr>
      </w:pPr>
    </w:p>
    <w:p w14:paraId="2A4CFF1C" w14:textId="2B1B6892" w:rsidR="0051287A" w:rsidRPr="0043215C" w:rsidRDefault="00513DB4" w:rsidP="00FA76F9">
      <w:pPr>
        <w:spacing w:after="0" w:line="240" w:lineRule="auto"/>
        <w:rPr>
          <w:rFonts w:eastAsia="Calibri" w:cstheme="minorHAnsi"/>
          <w:b/>
          <w:bCs/>
          <w:sz w:val="20"/>
          <w:szCs w:val="20"/>
        </w:rPr>
      </w:pPr>
      <w:r w:rsidRPr="0043215C">
        <w:rPr>
          <w:rFonts w:eastAsia="Calibri" w:cstheme="minorHAnsi"/>
          <w:b/>
          <w:bCs/>
          <w:sz w:val="20"/>
          <w:szCs w:val="20"/>
        </w:rPr>
        <w:t>C</w:t>
      </w:r>
      <w:r w:rsidR="00F466B4" w:rsidRPr="0043215C">
        <w:rPr>
          <w:rFonts w:eastAsia="Calibri" w:cstheme="minorHAnsi"/>
          <w:b/>
          <w:bCs/>
          <w:sz w:val="20"/>
          <w:szCs w:val="20"/>
        </w:rPr>
        <w:t xml:space="preserve">) </w:t>
      </w:r>
      <w:r w:rsidR="00FA76F9" w:rsidRPr="0043215C">
        <w:rPr>
          <w:rFonts w:eastAsia="Calibri" w:cstheme="minorHAnsi"/>
          <w:b/>
          <w:bCs/>
          <w:sz w:val="20"/>
          <w:szCs w:val="20"/>
        </w:rPr>
        <w:t xml:space="preserve">Digitalization of </w:t>
      </w:r>
      <w:r w:rsidR="00F466B4" w:rsidRPr="0043215C">
        <w:rPr>
          <w:rFonts w:eastAsia="Calibri" w:cstheme="minorHAnsi"/>
          <w:b/>
          <w:bCs/>
          <w:sz w:val="20"/>
          <w:szCs w:val="20"/>
        </w:rPr>
        <w:t>the Power Distribution Grid:</w:t>
      </w:r>
    </w:p>
    <w:p w14:paraId="41F52D4E" w14:textId="77777777" w:rsidR="00F10B18" w:rsidRPr="0043215C" w:rsidRDefault="00F10B18" w:rsidP="00FA76F9">
      <w:pPr>
        <w:spacing w:after="0" w:line="240" w:lineRule="auto"/>
        <w:rPr>
          <w:rFonts w:eastAsia="Calibri" w:cstheme="minorHAnsi"/>
          <w:sz w:val="20"/>
          <w:szCs w:val="20"/>
        </w:rPr>
      </w:pPr>
    </w:p>
    <w:p w14:paraId="49100148" w14:textId="3E003DBB" w:rsidR="00FA76F9" w:rsidRPr="0043215C" w:rsidRDefault="005C15CD" w:rsidP="00FA76F9">
      <w:pPr>
        <w:spacing w:after="0" w:line="240" w:lineRule="auto"/>
        <w:rPr>
          <w:rFonts w:eastAsia="Calibri" w:cstheme="minorHAnsi"/>
          <w:sz w:val="20"/>
          <w:szCs w:val="20"/>
        </w:rPr>
      </w:pPr>
      <w:r w:rsidRPr="0043215C">
        <w:rPr>
          <w:rFonts w:eastAsia="Calibri" w:cstheme="minorHAnsi"/>
          <w:sz w:val="20"/>
          <w:szCs w:val="20"/>
        </w:rPr>
        <w:t>EBRD’s</w:t>
      </w:r>
      <w:r w:rsidR="00FA76F9" w:rsidRPr="0043215C">
        <w:rPr>
          <w:rFonts w:eastAsia="Calibri" w:cstheme="minorHAnsi"/>
          <w:sz w:val="20"/>
          <w:szCs w:val="20"/>
        </w:rPr>
        <w:t xml:space="preserve"> pipeline clients’ potential investments include operational technology systems such as wider smart metering coverage, SCADA upgrade at field level &amp; grid control </w:t>
      </w:r>
      <w:r w:rsidR="00FA144A" w:rsidRPr="0043215C">
        <w:rPr>
          <w:rFonts w:eastAsia="Calibri" w:cstheme="minorHAnsi"/>
          <w:sz w:val="20"/>
          <w:szCs w:val="20"/>
        </w:rPr>
        <w:t>center</w:t>
      </w:r>
      <w:r w:rsidR="00FA76F9" w:rsidRPr="0043215C">
        <w:rPr>
          <w:rFonts w:eastAsia="Calibri" w:cstheme="minorHAnsi"/>
          <w:sz w:val="20"/>
          <w:szCs w:val="20"/>
        </w:rPr>
        <w:t>, geographic information system integration and so on to reduce distribution losses, increase operational efficiency as well as reinforce grid flexibility helping RE integration.</w:t>
      </w:r>
    </w:p>
    <w:p w14:paraId="060E1395" w14:textId="77777777" w:rsidR="00FA76F9" w:rsidRPr="0043215C" w:rsidRDefault="00FA76F9" w:rsidP="00FA76F9">
      <w:pPr>
        <w:spacing w:after="0" w:line="240" w:lineRule="auto"/>
        <w:rPr>
          <w:rFonts w:eastAsia="Calibri" w:cstheme="minorHAnsi"/>
          <w:sz w:val="20"/>
          <w:szCs w:val="20"/>
        </w:rPr>
      </w:pPr>
    </w:p>
    <w:p w14:paraId="213C0F6C" w14:textId="50E5C4FB" w:rsidR="00B05E01" w:rsidRDefault="00FA76F9" w:rsidP="002F0123">
      <w:pPr>
        <w:spacing w:after="0" w:line="240" w:lineRule="auto"/>
        <w:rPr>
          <w:rFonts w:eastAsia="Calibri"/>
          <w:sz w:val="20"/>
          <w:szCs w:val="20"/>
        </w:rPr>
      </w:pPr>
      <w:r w:rsidRPr="6229A375">
        <w:rPr>
          <w:rFonts w:eastAsia="Calibri"/>
          <w:sz w:val="20"/>
          <w:szCs w:val="20"/>
        </w:rPr>
        <w:t xml:space="preserve">EBRD is currently in talks with several companies for financing of up to </w:t>
      </w:r>
      <w:r w:rsidR="00636124" w:rsidRPr="6229A375">
        <w:rPr>
          <w:rFonts w:eastAsia="Calibri"/>
          <w:sz w:val="20"/>
          <w:szCs w:val="20"/>
        </w:rPr>
        <w:t>US$</w:t>
      </w:r>
      <w:r w:rsidRPr="6229A375">
        <w:rPr>
          <w:rFonts w:eastAsia="Calibri"/>
          <w:sz w:val="20"/>
          <w:szCs w:val="20"/>
        </w:rPr>
        <w:t xml:space="preserve">10-15 million, dedicated to investments in </w:t>
      </w:r>
      <w:r w:rsidR="00B83EBC" w:rsidRPr="6229A375">
        <w:rPr>
          <w:rFonts w:eastAsia="Calibri"/>
          <w:sz w:val="20"/>
          <w:szCs w:val="20"/>
        </w:rPr>
        <w:t>digitalization</w:t>
      </w:r>
      <w:r w:rsidRPr="6229A375">
        <w:rPr>
          <w:rFonts w:eastAsia="Calibri"/>
          <w:sz w:val="20"/>
          <w:szCs w:val="20"/>
        </w:rPr>
        <w:t xml:space="preserve"> and smart grid for distribution. </w:t>
      </w:r>
      <w:r w:rsidR="3BDD2AE0" w:rsidRPr="6229A375">
        <w:rPr>
          <w:rFonts w:eastAsia="Calibri"/>
          <w:sz w:val="20"/>
          <w:szCs w:val="20"/>
        </w:rPr>
        <w:t>Investments</w:t>
      </w:r>
      <w:r w:rsidRPr="6229A375">
        <w:rPr>
          <w:rFonts w:eastAsia="Calibri"/>
          <w:sz w:val="20"/>
          <w:szCs w:val="20"/>
        </w:rPr>
        <w:t xml:space="preserve"> are expected to start in early 2025. This could be paired with gender-responsive capacity building and training support to ensure that the new technologies are adopted by the local workforce.</w:t>
      </w:r>
      <w:bookmarkStart w:id="79" w:name="_Toc162898767"/>
      <w:bookmarkStart w:id="80" w:name="_Toc162898829"/>
      <w:bookmarkStart w:id="81" w:name="_Toc162962951"/>
      <w:bookmarkStart w:id="82" w:name="_Toc162964133"/>
      <w:bookmarkStart w:id="83" w:name="_Toc162449728"/>
    </w:p>
    <w:p w14:paraId="6C3B81BD" w14:textId="77777777" w:rsidR="00CC3AFE" w:rsidRDefault="00CC3AFE" w:rsidP="002F0123">
      <w:pPr>
        <w:spacing w:after="0" w:line="240" w:lineRule="auto"/>
        <w:rPr>
          <w:rFonts w:eastAsia="Calibri" w:cstheme="minorHAnsi"/>
          <w:sz w:val="20"/>
          <w:szCs w:val="20"/>
        </w:rPr>
      </w:pPr>
    </w:p>
    <w:p w14:paraId="59398A67" w14:textId="1912EC59" w:rsidR="6229A375" w:rsidRDefault="6229A375" w:rsidP="6229A375">
      <w:pPr>
        <w:spacing w:after="0" w:line="240" w:lineRule="auto"/>
        <w:rPr>
          <w:rFonts w:eastAsia="Calibri"/>
          <w:sz w:val="20"/>
          <w:szCs w:val="20"/>
        </w:rPr>
      </w:pPr>
    </w:p>
    <w:p w14:paraId="776D2C50" w14:textId="77777777" w:rsidR="00B027E0" w:rsidRPr="0043215C" w:rsidRDefault="00B027E0" w:rsidP="002F0123">
      <w:pPr>
        <w:spacing w:after="0" w:line="240" w:lineRule="auto"/>
        <w:rPr>
          <w:rFonts w:eastAsia="Calibri" w:cstheme="minorHAnsi"/>
          <w:sz w:val="20"/>
          <w:szCs w:val="20"/>
        </w:rPr>
      </w:pPr>
    </w:p>
    <w:p w14:paraId="55B780E8" w14:textId="627E4579" w:rsidR="00FE641D" w:rsidRPr="0043215C" w:rsidRDefault="00FE641D" w:rsidP="00CF1247">
      <w:pPr>
        <w:pStyle w:val="Heading1"/>
        <w:spacing w:before="0" w:line="240" w:lineRule="auto"/>
        <w:rPr>
          <w:rFonts w:asciiTheme="minorHAnsi" w:hAnsiTheme="minorHAnsi" w:cstheme="minorHAnsi"/>
          <w:sz w:val="20"/>
          <w:szCs w:val="20"/>
        </w:rPr>
      </w:pPr>
      <w:bookmarkStart w:id="84" w:name="_Toc170319832"/>
      <w:r w:rsidRPr="0043215C">
        <w:rPr>
          <w:rFonts w:asciiTheme="minorHAnsi" w:hAnsiTheme="minorHAnsi" w:cstheme="minorHAnsi"/>
          <w:sz w:val="20"/>
          <w:szCs w:val="20"/>
        </w:rPr>
        <w:lastRenderedPageBreak/>
        <w:t>V. Financing Plan and Instruments</w:t>
      </w:r>
      <w:bookmarkEnd w:id="79"/>
      <w:bookmarkEnd w:id="80"/>
      <w:bookmarkEnd w:id="81"/>
      <w:bookmarkEnd w:id="82"/>
      <w:bookmarkEnd w:id="84"/>
      <w:r w:rsidRPr="0043215C">
        <w:rPr>
          <w:rFonts w:asciiTheme="minorHAnsi" w:hAnsiTheme="minorHAnsi" w:cstheme="minorHAnsi"/>
          <w:sz w:val="20"/>
          <w:szCs w:val="20"/>
        </w:rPr>
        <w:t xml:space="preserve"> </w:t>
      </w:r>
      <w:bookmarkEnd w:id="83"/>
    </w:p>
    <w:p w14:paraId="098CA1DE" w14:textId="77777777" w:rsidR="00B0793B" w:rsidRPr="0043215C" w:rsidRDefault="00B0793B" w:rsidP="00CF1247">
      <w:pPr>
        <w:pStyle w:val="Heading2"/>
        <w:spacing w:before="0" w:line="240" w:lineRule="auto"/>
        <w:rPr>
          <w:rFonts w:cstheme="minorHAnsi"/>
          <w:bCs/>
          <w:sz w:val="20"/>
          <w:szCs w:val="20"/>
        </w:rPr>
      </w:pPr>
      <w:bookmarkStart w:id="85" w:name="_Toc162898768"/>
      <w:bookmarkStart w:id="86" w:name="_Toc162898830"/>
    </w:p>
    <w:p w14:paraId="735C0784" w14:textId="40BB1D4D" w:rsidR="7063C2E1" w:rsidRPr="0043215C" w:rsidRDefault="320DB0F7" w:rsidP="059B78C6">
      <w:pPr>
        <w:pStyle w:val="Heading2"/>
        <w:spacing w:before="0" w:line="240" w:lineRule="auto"/>
        <w:rPr>
          <w:sz w:val="20"/>
          <w:szCs w:val="20"/>
        </w:rPr>
      </w:pPr>
      <w:bookmarkStart w:id="87" w:name="_Toc162962952"/>
      <w:bookmarkStart w:id="88" w:name="_Toc162964134"/>
      <w:bookmarkStart w:id="89" w:name="_Toc170319833"/>
      <w:r w:rsidRPr="059B78C6">
        <w:rPr>
          <w:sz w:val="20"/>
          <w:szCs w:val="20"/>
        </w:rPr>
        <w:t xml:space="preserve">Requested </w:t>
      </w:r>
      <w:r w:rsidR="09826D66" w:rsidRPr="059B78C6">
        <w:rPr>
          <w:sz w:val="20"/>
          <w:szCs w:val="20"/>
        </w:rPr>
        <w:t>B</w:t>
      </w:r>
      <w:r w:rsidRPr="059B78C6">
        <w:rPr>
          <w:sz w:val="20"/>
          <w:szCs w:val="20"/>
        </w:rPr>
        <w:t xml:space="preserve">udget </w:t>
      </w:r>
      <w:r w:rsidR="76C67FE3" w:rsidRPr="059B78C6">
        <w:rPr>
          <w:sz w:val="20"/>
          <w:szCs w:val="20"/>
        </w:rPr>
        <w:t>E</w:t>
      </w:r>
      <w:r w:rsidRPr="059B78C6">
        <w:rPr>
          <w:sz w:val="20"/>
          <w:szCs w:val="20"/>
        </w:rPr>
        <w:t>nvelope</w:t>
      </w:r>
      <w:bookmarkEnd w:id="85"/>
      <w:bookmarkEnd w:id="86"/>
      <w:bookmarkEnd w:id="87"/>
      <w:bookmarkEnd w:id="88"/>
      <w:bookmarkEnd w:id="89"/>
      <w:r w:rsidRPr="059B78C6">
        <w:rPr>
          <w:sz w:val="20"/>
          <w:szCs w:val="20"/>
        </w:rPr>
        <w:t xml:space="preserve"> </w:t>
      </w:r>
    </w:p>
    <w:p w14:paraId="129DC5D6" w14:textId="1D819DE0" w:rsidR="059B78C6" w:rsidRDefault="059B78C6" w:rsidP="059B78C6"/>
    <w:p w14:paraId="3EB3BA9A" w14:textId="0D50A5F6" w:rsidR="00FE641D" w:rsidRPr="0043215C" w:rsidRDefault="320DB0F7" w:rsidP="0051287A">
      <w:pPr>
        <w:pStyle w:val="Default"/>
        <w:jc w:val="both"/>
        <w:rPr>
          <w:rFonts w:asciiTheme="minorHAnsi" w:hAnsiTheme="minorHAnsi" w:cstheme="minorBidi"/>
          <w:sz w:val="20"/>
          <w:szCs w:val="20"/>
        </w:rPr>
      </w:pPr>
      <w:r w:rsidRPr="6229A375">
        <w:rPr>
          <w:rFonts w:asciiTheme="minorHAnsi" w:hAnsiTheme="minorHAnsi" w:cstheme="minorBidi"/>
          <w:sz w:val="20"/>
          <w:szCs w:val="20"/>
        </w:rPr>
        <w:t xml:space="preserve">This section presents the financing plan for the implementation of the activities proposed to be supported by </w:t>
      </w:r>
      <w:r w:rsidR="00265D33" w:rsidRPr="6229A375">
        <w:rPr>
          <w:rFonts w:asciiTheme="minorHAnsi" w:hAnsiTheme="minorHAnsi" w:cstheme="minorBidi"/>
          <w:sz w:val="20"/>
          <w:szCs w:val="20"/>
        </w:rPr>
        <w:t>Türkiye</w:t>
      </w:r>
      <w:r w:rsidRPr="6229A375">
        <w:rPr>
          <w:rFonts w:asciiTheme="minorHAnsi" w:hAnsiTheme="minorHAnsi" w:cstheme="minorBidi"/>
          <w:sz w:val="20"/>
          <w:szCs w:val="20"/>
        </w:rPr>
        <w:t xml:space="preserve">’s </w:t>
      </w:r>
      <w:r w:rsidR="0023236C" w:rsidRPr="6229A375">
        <w:rPr>
          <w:rFonts w:asciiTheme="minorHAnsi" w:hAnsiTheme="minorHAnsi" w:cstheme="minorBidi"/>
          <w:sz w:val="20"/>
          <w:szCs w:val="20"/>
        </w:rPr>
        <w:t>CTF-REI</w:t>
      </w:r>
      <w:r w:rsidRPr="6229A375">
        <w:rPr>
          <w:rFonts w:asciiTheme="minorHAnsi" w:hAnsiTheme="minorHAnsi" w:cstheme="minorBidi"/>
          <w:sz w:val="20"/>
          <w:szCs w:val="20"/>
        </w:rPr>
        <w:t xml:space="preserve"> Program, including costs and sources of funding. The requested envelope for </w:t>
      </w:r>
      <w:r w:rsidR="00265D33" w:rsidRPr="6229A375">
        <w:rPr>
          <w:rFonts w:asciiTheme="minorHAnsi" w:hAnsiTheme="minorHAnsi" w:cstheme="minorBidi"/>
          <w:sz w:val="20"/>
          <w:szCs w:val="20"/>
        </w:rPr>
        <w:t>Türkiye</w:t>
      </w:r>
      <w:r w:rsidRPr="6229A375">
        <w:rPr>
          <w:rFonts w:asciiTheme="minorHAnsi" w:hAnsiTheme="minorHAnsi" w:cstheme="minorBidi"/>
          <w:sz w:val="20"/>
          <w:szCs w:val="20"/>
        </w:rPr>
        <w:t xml:space="preserve">´s </w:t>
      </w:r>
      <w:r w:rsidR="0023236C" w:rsidRPr="6229A375">
        <w:rPr>
          <w:rFonts w:asciiTheme="minorHAnsi" w:hAnsiTheme="minorHAnsi" w:cstheme="minorBidi"/>
          <w:sz w:val="20"/>
          <w:szCs w:val="20"/>
        </w:rPr>
        <w:t>CTF-REI</w:t>
      </w:r>
      <w:r w:rsidRPr="6229A375">
        <w:rPr>
          <w:rFonts w:asciiTheme="minorHAnsi" w:hAnsiTheme="minorHAnsi" w:cstheme="minorBidi"/>
          <w:sz w:val="20"/>
          <w:szCs w:val="20"/>
        </w:rPr>
        <w:t xml:space="preserve"> amounts to</w:t>
      </w:r>
      <w:r w:rsidR="007E4596" w:rsidRPr="6229A375">
        <w:rPr>
          <w:rFonts w:asciiTheme="minorHAnsi" w:hAnsiTheme="minorHAnsi" w:cstheme="minorBidi"/>
          <w:sz w:val="20"/>
          <w:szCs w:val="20"/>
        </w:rPr>
        <w:t xml:space="preserve"> </w:t>
      </w:r>
      <w:r w:rsidR="00636124" w:rsidRPr="6229A375">
        <w:rPr>
          <w:rFonts w:asciiTheme="minorHAnsi" w:hAnsiTheme="minorHAnsi" w:cstheme="minorBidi"/>
          <w:sz w:val="20"/>
          <w:szCs w:val="20"/>
        </w:rPr>
        <w:t>US$</w:t>
      </w:r>
      <w:r w:rsidRPr="6229A375">
        <w:rPr>
          <w:rFonts w:asciiTheme="minorHAnsi" w:hAnsiTheme="minorHAnsi" w:cstheme="minorBidi"/>
          <w:sz w:val="20"/>
          <w:szCs w:val="20"/>
        </w:rPr>
        <w:t xml:space="preserve">70 </w:t>
      </w:r>
      <w:r w:rsidR="00DE7EA1" w:rsidRPr="6229A375">
        <w:rPr>
          <w:rFonts w:asciiTheme="minorHAnsi" w:hAnsiTheme="minorHAnsi" w:cstheme="minorBidi"/>
          <w:sz w:val="20"/>
          <w:szCs w:val="20"/>
        </w:rPr>
        <w:t>m.</w:t>
      </w:r>
      <w:r w:rsidRPr="6229A375">
        <w:rPr>
          <w:rFonts w:asciiTheme="minorHAnsi" w:hAnsiTheme="minorHAnsi" w:cstheme="minorBidi"/>
          <w:sz w:val="20"/>
          <w:szCs w:val="20"/>
        </w:rPr>
        <w:t xml:space="preserve">, of which </w:t>
      </w:r>
      <w:r w:rsidR="00636124" w:rsidRPr="6229A375">
        <w:rPr>
          <w:rFonts w:asciiTheme="minorHAnsi" w:hAnsiTheme="minorHAnsi" w:cstheme="minorBidi"/>
          <w:sz w:val="20"/>
          <w:szCs w:val="20"/>
        </w:rPr>
        <w:t>US$</w:t>
      </w:r>
      <w:r w:rsidRPr="6229A375">
        <w:rPr>
          <w:rFonts w:asciiTheme="minorHAnsi" w:hAnsiTheme="minorHAnsi" w:cstheme="minorBidi"/>
          <w:sz w:val="20"/>
          <w:szCs w:val="20"/>
        </w:rPr>
        <w:t>6</w:t>
      </w:r>
      <w:r w:rsidR="0051287A" w:rsidRPr="6229A375">
        <w:rPr>
          <w:rFonts w:asciiTheme="minorHAnsi" w:hAnsiTheme="minorHAnsi" w:cstheme="minorBidi"/>
          <w:sz w:val="20"/>
          <w:szCs w:val="20"/>
        </w:rPr>
        <w:t>8</w:t>
      </w:r>
      <w:r w:rsidRPr="6229A375">
        <w:rPr>
          <w:rFonts w:asciiTheme="minorHAnsi" w:hAnsiTheme="minorHAnsi" w:cstheme="minorBidi"/>
          <w:sz w:val="20"/>
          <w:szCs w:val="20"/>
        </w:rPr>
        <w:t xml:space="preserve"> </w:t>
      </w:r>
      <w:r w:rsidR="00DE7EA1" w:rsidRPr="6229A375">
        <w:rPr>
          <w:rFonts w:asciiTheme="minorHAnsi" w:hAnsiTheme="minorHAnsi" w:cstheme="minorBidi"/>
          <w:sz w:val="20"/>
          <w:szCs w:val="20"/>
        </w:rPr>
        <w:t>m</w:t>
      </w:r>
      <w:r w:rsidRPr="6229A375">
        <w:rPr>
          <w:rFonts w:asciiTheme="minorHAnsi" w:hAnsiTheme="minorHAnsi" w:cstheme="minorBidi"/>
          <w:sz w:val="20"/>
          <w:szCs w:val="20"/>
        </w:rPr>
        <w:t xml:space="preserve"> correspond to </w:t>
      </w:r>
      <w:r w:rsidR="78983606" w:rsidRPr="6229A375">
        <w:rPr>
          <w:rFonts w:asciiTheme="minorHAnsi" w:hAnsiTheme="minorHAnsi" w:cstheme="minorBidi"/>
          <w:sz w:val="20"/>
          <w:szCs w:val="20"/>
        </w:rPr>
        <w:t xml:space="preserve">the </w:t>
      </w:r>
      <w:r w:rsidR="0051287A" w:rsidRPr="6229A375">
        <w:rPr>
          <w:rFonts w:asciiTheme="minorHAnsi" w:hAnsiTheme="minorHAnsi" w:cstheme="minorBidi"/>
          <w:sz w:val="20"/>
          <w:szCs w:val="20"/>
        </w:rPr>
        <w:t xml:space="preserve">CTF-REI </w:t>
      </w:r>
      <w:r w:rsidR="78983606" w:rsidRPr="6229A375">
        <w:rPr>
          <w:rFonts w:asciiTheme="minorHAnsi" w:hAnsiTheme="minorHAnsi" w:cstheme="minorBidi"/>
          <w:sz w:val="20"/>
          <w:szCs w:val="20"/>
        </w:rPr>
        <w:t>financing,</w:t>
      </w:r>
      <w:r w:rsidRPr="6229A375">
        <w:rPr>
          <w:rFonts w:asciiTheme="minorHAnsi" w:hAnsiTheme="minorHAnsi" w:cstheme="minorBidi"/>
          <w:sz w:val="20"/>
          <w:szCs w:val="20"/>
        </w:rPr>
        <w:t xml:space="preserve"> and </w:t>
      </w:r>
      <w:r w:rsidR="578256FD" w:rsidRPr="6229A375">
        <w:rPr>
          <w:rFonts w:asciiTheme="minorHAnsi" w:hAnsiTheme="minorHAnsi" w:cstheme="minorBidi"/>
          <w:sz w:val="20"/>
          <w:szCs w:val="20"/>
        </w:rPr>
        <w:t>grant financing</w:t>
      </w:r>
      <w:r w:rsidR="00325DB1" w:rsidRPr="6229A375">
        <w:rPr>
          <w:rFonts w:asciiTheme="minorHAnsi" w:hAnsiTheme="minorHAnsi" w:cstheme="minorBidi"/>
          <w:sz w:val="20"/>
          <w:szCs w:val="20"/>
        </w:rPr>
        <w:t xml:space="preserve"> </w:t>
      </w:r>
      <w:r w:rsidR="0051287A" w:rsidRPr="6229A375">
        <w:rPr>
          <w:rFonts w:asciiTheme="minorHAnsi" w:hAnsiTheme="minorHAnsi" w:cstheme="minorBidi"/>
          <w:sz w:val="20"/>
          <w:szCs w:val="20"/>
        </w:rPr>
        <w:t>of</w:t>
      </w:r>
      <w:r w:rsidR="00325DB1" w:rsidRPr="6229A375">
        <w:rPr>
          <w:rFonts w:asciiTheme="minorHAnsi" w:hAnsiTheme="minorHAnsi" w:cstheme="minorBidi"/>
          <w:sz w:val="20"/>
          <w:szCs w:val="20"/>
        </w:rPr>
        <w:t xml:space="preserve"> </w:t>
      </w:r>
      <w:r w:rsidR="00636124" w:rsidRPr="6229A375">
        <w:rPr>
          <w:rFonts w:asciiTheme="minorHAnsi" w:hAnsiTheme="minorHAnsi" w:cstheme="minorBidi"/>
          <w:sz w:val="20"/>
          <w:szCs w:val="20"/>
        </w:rPr>
        <w:t>US$</w:t>
      </w:r>
      <w:r w:rsidR="00325DB1" w:rsidRPr="6229A375">
        <w:rPr>
          <w:rFonts w:asciiTheme="minorHAnsi" w:hAnsiTheme="minorHAnsi" w:cstheme="minorBidi"/>
          <w:sz w:val="20"/>
          <w:szCs w:val="20"/>
        </w:rPr>
        <w:t xml:space="preserve">2 </w:t>
      </w:r>
      <w:r w:rsidR="00DE7EA1" w:rsidRPr="6229A375">
        <w:rPr>
          <w:rFonts w:asciiTheme="minorHAnsi" w:hAnsiTheme="minorHAnsi" w:cstheme="minorBidi"/>
          <w:sz w:val="20"/>
          <w:szCs w:val="20"/>
        </w:rPr>
        <w:t>m</w:t>
      </w:r>
      <w:r w:rsidR="004B3B3C" w:rsidRPr="6229A375">
        <w:rPr>
          <w:rFonts w:asciiTheme="minorHAnsi" w:hAnsiTheme="minorHAnsi" w:cstheme="minorBidi"/>
          <w:sz w:val="20"/>
          <w:szCs w:val="20"/>
        </w:rPr>
        <w:t xml:space="preserve">. </w:t>
      </w:r>
    </w:p>
    <w:p w14:paraId="3EA68439" w14:textId="28B8DE73" w:rsidR="00FE641D" w:rsidRPr="0043215C" w:rsidRDefault="00FE641D" w:rsidP="00BA5A4F">
      <w:pPr>
        <w:spacing w:after="0" w:line="240" w:lineRule="auto"/>
        <w:ind w:right="-20"/>
        <w:rPr>
          <w:rFonts w:eastAsia="Times New Roman" w:cstheme="minorHAnsi"/>
          <w:b/>
          <w:bCs/>
          <w:sz w:val="20"/>
          <w:szCs w:val="20"/>
        </w:rPr>
      </w:pPr>
    </w:p>
    <w:p w14:paraId="69B6D267" w14:textId="07CEF2C1" w:rsidR="00FE641D" w:rsidRPr="0043215C" w:rsidRDefault="320DB0F7" w:rsidP="00BA5A4F">
      <w:pPr>
        <w:pStyle w:val="Default"/>
        <w:jc w:val="both"/>
        <w:rPr>
          <w:rFonts w:asciiTheme="minorHAnsi" w:hAnsiTheme="minorHAnsi" w:cstheme="minorHAnsi"/>
          <w:sz w:val="20"/>
          <w:szCs w:val="20"/>
        </w:rPr>
      </w:pPr>
      <w:r w:rsidRPr="0043215C">
        <w:rPr>
          <w:rFonts w:asciiTheme="minorHAnsi" w:hAnsiTheme="minorHAnsi" w:cstheme="minorHAnsi"/>
          <w:sz w:val="20"/>
          <w:szCs w:val="20"/>
        </w:rPr>
        <w:t xml:space="preserve">Table </w:t>
      </w:r>
      <w:r w:rsidR="00090C63" w:rsidRPr="0043215C">
        <w:rPr>
          <w:rFonts w:asciiTheme="minorHAnsi" w:hAnsiTheme="minorHAnsi" w:cstheme="minorHAnsi"/>
          <w:sz w:val="20"/>
          <w:szCs w:val="20"/>
        </w:rPr>
        <w:t>1</w:t>
      </w:r>
      <w:r w:rsidRPr="0043215C">
        <w:rPr>
          <w:rFonts w:asciiTheme="minorHAnsi" w:hAnsiTheme="minorHAnsi" w:cstheme="minorHAnsi"/>
          <w:sz w:val="20"/>
          <w:szCs w:val="20"/>
        </w:rPr>
        <w:t xml:space="preserve"> below presents how </w:t>
      </w:r>
      <w:r w:rsidR="0023236C" w:rsidRPr="0043215C">
        <w:rPr>
          <w:rFonts w:asciiTheme="minorHAnsi" w:hAnsiTheme="minorHAnsi" w:cstheme="minorHAnsi"/>
          <w:sz w:val="20"/>
          <w:szCs w:val="20"/>
        </w:rPr>
        <w:t>CTF-REI</w:t>
      </w:r>
      <w:r w:rsidRPr="0043215C">
        <w:rPr>
          <w:rFonts w:asciiTheme="minorHAnsi" w:hAnsiTheme="minorHAnsi" w:cstheme="minorHAnsi"/>
          <w:sz w:val="20"/>
          <w:szCs w:val="20"/>
        </w:rPr>
        <w:t xml:space="preserve"> is to leverage and complement funding </w:t>
      </w:r>
      <w:r w:rsidR="76D05254" w:rsidRPr="0043215C">
        <w:rPr>
          <w:rFonts w:asciiTheme="minorHAnsi" w:hAnsiTheme="minorHAnsi" w:cstheme="minorHAnsi"/>
          <w:sz w:val="20"/>
          <w:szCs w:val="20"/>
        </w:rPr>
        <w:t>with reg</w:t>
      </w:r>
      <w:r w:rsidR="007E4596" w:rsidRPr="0043215C">
        <w:rPr>
          <w:rFonts w:asciiTheme="minorHAnsi" w:hAnsiTheme="minorHAnsi" w:cstheme="minorHAnsi"/>
          <w:sz w:val="20"/>
          <w:szCs w:val="20"/>
        </w:rPr>
        <w:t>a</w:t>
      </w:r>
      <w:r w:rsidR="76D05254" w:rsidRPr="0043215C">
        <w:rPr>
          <w:rFonts w:asciiTheme="minorHAnsi" w:hAnsiTheme="minorHAnsi" w:cstheme="minorHAnsi"/>
          <w:sz w:val="20"/>
          <w:szCs w:val="20"/>
        </w:rPr>
        <w:t xml:space="preserve">rd to the </w:t>
      </w:r>
      <w:r w:rsidR="00986949" w:rsidRPr="0043215C">
        <w:rPr>
          <w:rFonts w:asciiTheme="minorHAnsi" w:hAnsiTheme="minorHAnsi" w:cstheme="minorHAnsi"/>
          <w:sz w:val="20"/>
          <w:szCs w:val="20"/>
        </w:rPr>
        <w:t>two</w:t>
      </w:r>
      <w:r w:rsidR="00DA374F" w:rsidRPr="0043215C">
        <w:rPr>
          <w:rFonts w:asciiTheme="minorHAnsi" w:hAnsiTheme="minorHAnsi" w:cstheme="minorHAnsi"/>
          <w:sz w:val="20"/>
          <w:szCs w:val="20"/>
        </w:rPr>
        <w:t xml:space="preserve"> </w:t>
      </w:r>
      <w:r w:rsidRPr="0043215C">
        <w:rPr>
          <w:rFonts w:asciiTheme="minorHAnsi" w:hAnsiTheme="minorHAnsi" w:cstheme="minorHAnsi"/>
          <w:sz w:val="20"/>
          <w:szCs w:val="20"/>
        </w:rPr>
        <w:t>components.</w:t>
      </w:r>
    </w:p>
    <w:p w14:paraId="62773F26" w14:textId="77777777" w:rsidR="003D4303" w:rsidRPr="0043215C" w:rsidRDefault="003D4303" w:rsidP="00BA5A4F">
      <w:pPr>
        <w:pStyle w:val="Default"/>
        <w:rPr>
          <w:rFonts w:asciiTheme="minorHAnsi" w:hAnsiTheme="minorHAnsi" w:cstheme="minorHAnsi"/>
          <w:b/>
          <w:sz w:val="20"/>
          <w:szCs w:val="20"/>
        </w:rPr>
      </w:pPr>
    </w:p>
    <w:p w14:paraId="55E09141" w14:textId="77777777" w:rsidR="004617A9" w:rsidRPr="0043215C" w:rsidRDefault="004617A9" w:rsidP="7861D7BA">
      <w:pPr>
        <w:pStyle w:val="Default"/>
        <w:jc w:val="both"/>
        <w:rPr>
          <w:rFonts w:asciiTheme="minorHAnsi" w:hAnsiTheme="minorHAnsi" w:cstheme="minorBidi"/>
          <w:b/>
          <w:bCs/>
          <w:sz w:val="20"/>
          <w:szCs w:val="20"/>
        </w:rPr>
      </w:pPr>
    </w:p>
    <w:p w14:paraId="33BAB915" w14:textId="01BE26A2" w:rsidR="7861D7BA" w:rsidRDefault="7861D7BA" w:rsidP="7861D7BA">
      <w:pPr>
        <w:pStyle w:val="Default"/>
        <w:jc w:val="both"/>
        <w:rPr>
          <w:rFonts w:asciiTheme="minorHAnsi" w:hAnsiTheme="minorHAnsi" w:cstheme="minorBidi"/>
          <w:b/>
          <w:bCs/>
          <w:sz w:val="20"/>
          <w:szCs w:val="20"/>
        </w:rPr>
      </w:pPr>
    </w:p>
    <w:p w14:paraId="1FC6E575" w14:textId="5CE7F288" w:rsidR="7861D7BA" w:rsidRDefault="7861D7BA" w:rsidP="7861D7BA">
      <w:pPr>
        <w:pStyle w:val="Default"/>
        <w:jc w:val="both"/>
        <w:rPr>
          <w:rFonts w:asciiTheme="minorHAnsi" w:hAnsiTheme="minorHAnsi" w:cstheme="minorBidi"/>
          <w:b/>
          <w:bCs/>
          <w:sz w:val="20"/>
          <w:szCs w:val="20"/>
        </w:rPr>
      </w:pPr>
    </w:p>
    <w:p w14:paraId="04F25EA3" w14:textId="61A8D068" w:rsidR="7861D7BA" w:rsidRDefault="7861D7BA" w:rsidP="7861D7BA">
      <w:pPr>
        <w:pStyle w:val="Default"/>
        <w:jc w:val="both"/>
        <w:rPr>
          <w:rFonts w:asciiTheme="minorHAnsi" w:hAnsiTheme="minorHAnsi" w:cstheme="minorBidi"/>
          <w:b/>
          <w:bCs/>
          <w:sz w:val="20"/>
          <w:szCs w:val="20"/>
        </w:rPr>
      </w:pPr>
    </w:p>
    <w:p w14:paraId="2FE10AED" w14:textId="2A5BCFA3" w:rsidR="7861D7BA" w:rsidRDefault="7861D7BA" w:rsidP="7861D7BA">
      <w:pPr>
        <w:pStyle w:val="Default"/>
        <w:jc w:val="both"/>
        <w:rPr>
          <w:rFonts w:asciiTheme="minorHAnsi" w:hAnsiTheme="minorHAnsi" w:cstheme="minorBidi"/>
          <w:b/>
          <w:bCs/>
          <w:sz w:val="20"/>
          <w:szCs w:val="20"/>
        </w:rPr>
      </w:pPr>
    </w:p>
    <w:p w14:paraId="73A0E1E7" w14:textId="10E54FE9" w:rsidR="7861D7BA" w:rsidRDefault="7861D7BA" w:rsidP="7861D7BA">
      <w:pPr>
        <w:pStyle w:val="Default"/>
        <w:jc w:val="both"/>
        <w:rPr>
          <w:rFonts w:asciiTheme="minorHAnsi" w:hAnsiTheme="minorHAnsi" w:cstheme="minorBidi"/>
          <w:b/>
          <w:bCs/>
          <w:sz w:val="20"/>
          <w:szCs w:val="20"/>
        </w:rPr>
      </w:pPr>
    </w:p>
    <w:p w14:paraId="312A8854" w14:textId="59E12E24" w:rsidR="7861D7BA" w:rsidRDefault="7861D7BA" w:rsidP="7861D7BA">
      <w:pPr>
        <w:pStyle w:val="Default"/>
        <w:jc w:val="both"/>
        <w:rPr>
          <w:rFonts w:asciiTheme="minorHAnsi" w:hAnsiTheme="minorHAnsi" w:cstheme="minorBidi"/>
          <w:b/>
          <w:bCs/>
          <w:sz w:val="20"/>
          <w:szCs w:val="20"/>
        </w:rPr>
      </w:pPr>
    </w:p>
    <w:p w14:paraId="732386E4" w14:textId="7710DAB3" w:rsidR="7861D7BA" w:rsidRDefault="7861D7BA" w:rsidP="7861D7BA">
      <w:pPr>
        <w:pStyle w:val="Default"/>
        <w:jc w:val="both"/>
        <w:rPr>
          <w:rFonts w:asciiTheme="minorHAnsi" w:hAnsiTheme="minorHAnsi" w:cstheme="minorBidi"/>
          <w:b/>
          <w:bCs/>
          <w:sz w:val="20"/>
          <w:szCs w:val="20"/>
        </w:rPr>
      </w:pPr>
    </w:p>
    <w:p w14:paraId="7AF024F0" w14:textId="6156BA23" w:rsidR="7861D7BA" w:rsidRDefault="7861D7BA" w:rsidP="7861D7BA">
      <w:pPr>
        <w:pStyle w:val="Default"/>
        <w:jc w:val="both"/>
        <w:rPr>
          <w:rFonts w:asciiTheme="minorHAnsi" w:hAnsiTheme="minorHAnsi" w:cstheme="minorBidi"/>
          <w:b/>
          <w:bCs/>
          <w:sz w:val="20"/>
          <w:szCs w:val="20"/>
        </w:rPr>
      </w:pPr>
    </w:p>
    <w:p w14:paraId="0A1443A6" w14:textId="503EFD34" w:rsidR="7861D7BA" w:rsidRDefault="7861D7BA" w:rsidP="7861D7BA">
      <w:pPr>
        <w:pStyle w:val="Default"/>
        <w:jc w:val="both"/>
        <w:rPr>
          <w:rFonts w:asciiTheme="minorHAnsi" w:hAnsiTheme="minorHAnsi" w:cstheme="minorBidi"/>
          <w:b/>
          <w:bCs/>
          <w:sz w:val="20"/>
          <w:szCs w:val="20"/>
        </w:rPr>
      </w:pPr>
    </w:p>
    <w:p w14:paraId="3E4BE45C" w14:textId="388413DD" w:rsidR="7861D7BA" w:rsidRDefault="7861D7BA" w:rsidP="7861D7BA">
      <w:pPr>
        <w:pStyle w:val="Default"/>
        <w:jc w:val="both"/>
        <w:rPr>
          <w:rFonts w:asciiTheme="minorHAnsi" w:hAnsiTheme="minorHAnsi" w:cstheme="minorBidi"/>
          <w:b/>
          <w:bCs/>
          <w:sz w:val="20"/>
          <w:szCs w:val="20"/>
        </w:rPr>
      </w:pPr>
    </w:p>
    <w:p w14:paraId="209B3E45" w14:textId="51F25CED" w:rsidR="7861D7BA" w:rsidRDefault="7861D7BA" w:rsidP="7861D7BA">
      <w:pPr>
        <w:pStyle w:val="Default"/>
        <w:jc w:val="both"/>
        <w:rPr>
          <w:rFonts w:asciiTheme="minorHAnsi" w:hAnsiTheme="minorHAnsi" w:cstheme="minorBidi"/>
          <w:b/>
          <w:bCs/>
          <w:sz w:val="20"/>
          <w:szCs w:val="20"/>
        </w:rPr>
      </w:pPr>
    </w:p>
    <w:p w14:paraId="1585488B" w14:textId="629F7062" w:rsidR="7861D7BA" w:rsidRDefault="7861D7BA" w:rsidP="7861D7BA">
      <w:pPr>
        <w:pStyle w:val="Default"/>
        <w:jc w:val="both"/>
        <w:rPr>
          <w:rFonts w:asciiTheme="minorHAnsi" w:hAnsiTheme="minorHAnsi" w:cstheme="minorBidi"/>
          <w:b/>
          <w:bCs/>
          <w:sz w:val="20"/>
          <w:szCs w:val="20"/>
        </w:rPr>
      </w:pPr>
    </w:p>
    <w:p w14:paraId="79B4F6ED" w14:textId="3363BB8A" w:rsidR="7861D7BA" w:rsidRDefault="7861D7BA" w:rsidP="7861D7BA">
      <w:pPr>
        <w:pStyle w:val="Default"/>
        <w:jc w:val="both"/>
        <w:rPr>
          <w:rFonts w:asciiTheme="minorHAnsi" w:hAnsiTheme="minorHAnsi" w:cstheme="minorBidi"/>
          <w:b/>
          <w:bCs/>
          <w:sz w:val="20"/>
          <w:szCs w:val="20"/>
        </w:rPr>
      </w:pPr>
    </w:p>
    <w:p w14:paraId="6A3E0F29" w14:textId="43412B5C" w:rsidR="7861D7BA" w:rsidRDefault="7861D7BA" w:rsidP="7861D7BA">
      <w:pPr>
        <w:pStyle w:val="Default"/>
        <w:jc w:val="both"/>
        <w:rPr>
          <w:rFonts w:asciiTheme="minorHAnsi" w:hAnsiTheme="minorHAnsi" w:cstheme="minorBidi"/>
          <w:b/>
          <w:bCs/>
          <w:sz w:val="20"/>
          <w:szCs w:val="20"/>
        </w:rPr>
      </w:pPr>
    </w:p>
    <w:p w14:paraId="22D35092" w14:textId="67BB6842" w:rsidR="7861D7BA" w:rsidRDefault="7861D7BA" w:rsidP="7861D7BA">
      <w:pPr>
        <w:pStyle w:val="Default"/>
        <w:jc w:val="both"/>
        <w:rPr>
          <w:rFonts w:asciiTheme="minorHAnsi" w:hAnsiTheme="minorHAnsi" w:cstheme="minorBidi"/>
          <w:b/>
          <w:bCs/>
          <w:sz w:val="20"/>
          <w:szCs w:val="20"/>
        </w:rPr>
      </w:pPr>
    </w:p>
    <w:p w14:paraId="698C9800" w14:textId="3D25E333" w:rsidR="7861D7BA" w:rsidRDefault="7861D7BA" w:rsidP="7861D7BA">
      <w:pPr>
        <w:pStyle w:val="Default"/>
        <w:jc w:val="both"/>
        <w:rPr>
          <w:rFonts w:asciiTheme="minorHAnsi" w:hAnsiTheme="minorHAnsi" w:cstheme="minorBidi"/>
          <w:b/>
          <w:bCs/>
          <w:sz w:val="20"/>
          <w:szCs w:val="20"/>
        </w:rPr>
      </w:pPr>
    </w:p>
    <w:p w14:paraId="3A12A151" w14:textId="73905229" w:rsidR="7861D7BA" w:rsidRDefault="7861D7BA" w:rsidP="7861D7BA">
      <w:pPr>
        <w:pStyle w:val="Default"/>
        <w:jc w:val="both"/>
        <w:rPr>
          <w:rFonts w:asciiTheme="minorHAnsi" w:hAnsiTheme="minorHAnsi" w:cstheme="minorBidi"/>
          <w:b/>
          <w:bCs/>
          <w:sz w:val="20"/>
          <w:szCs w:val="20"/>
        </w:rPr>
      </w:pPr>
    </w:p>
    <w:p w14:paraId="5EAD0DC3" w14:textId="54D0F692" w:rsidR="7861D7BA" w:rsidRDefault="7861D7BA" w:rsidP="7861D7BA">
      <w:pPr>
        <w:pStyle w:val="Default"/>
        <w:jc w:val="both"/>
        <w:rPr>
          <w:rFonts w:asciiTheme="minorHAnsi" w:hAnsiTheme="minorHAnsi" w:cstheme="minorBidi"/>
          <w:b/>
          <w:bCs/>
          <w:sz w:val="20"/>
          <w:szCs w:val="20"/>
        </w:rPr>
      </w:pPr>
    </w:p>
    <w:p w14:paraId="5F1FD255" w14:textId="594FDE7E" w:rsidR="7861D7BA" w:rsidRDefault="7861D7BA" w:rsidP="7861D7BA">
      <w:pPr>
        <w:pStyle w:val="Default"/>
        <w:jc w:val="both"/>
        <w:rPr>
          <w:rFonts w:asciiTheme="minorHAnsi" w:hAnsiTheme="minorHAnsi" w:cstheme="minorBidi"/>
          <w:b/>
          <w:bCs/>
          <w:sz w:val="20"/>
          <w:szCs w:val="20"/>
        </w:rPr>
      </w:pPr>
    </w:p>
    <w:p w14:paraId="49472620" w14:textId="10AAF732" w:rsidR="7861D7BA" w:rsidRDefault="7861D7BA" w:rsidP="7861D7BA">
      <w:pPr>
        <w:pStyle w:val="Default"/>
        <w:jc w:val="both"/>
        <w:rPr>
          <w:rFonts w:asciiTheme="minorHAnsi" w:hAnsiTheme="minorHAnsi" w:cstheme="minorBidi"/>
          <w:b/>
          <w:bCs/>
          <w:sz w:val="20"/>
          <w:szCs w:val="20"/>
        </w:rPr>
      </w:pPr>
    </w:p>
    <w:p w14:paraId="168D8767" w14:textId="13EA300A" w:rsidR="7861D7BA" w:rsidRDefault="7861D7BA" w:rsidP="7861D7BA">
      <w:pPr>
        <w:pStyle w:val="Default"/>
        <w:jc w:val="both"/>
        <w:rPr>
          <w:rFonts w:asciiTheme="minorHAnsi" w:hAnsiTheme="minorHAnsi" w:cstheme="minorBidi"/>
          <w:b/>
          <w:bCs/>
          <w:sz w:val="20"/>
          <w:szCs w:val="20"/>
        </w:rPr>
      </w:pPr>
    </w:p>
    <w:p w14:paraId="73529CC6" w14:textId="3BD644C5" w:rsidR="7861D7BA" w:rsidRDefault="7861D7BA" w:rsidP="7861D7BA">
      <w:pPr>
        <w:pStyle w:val="Default"/>
        <w:jc w:val="both"/>
        <w:rPr>
          <w:rFonts w:asciiTheme="minorHAnsi" w:hAnsiTheme="minorHAnsi" w:cstheme="minorBidi"/>
          <w:b/>
          <w:bCs/>
          <w:sz w:val="20"/>
          <w:szCs w:val="20"/>
        </w:rPr>
      </w:pPr>
    </w:p>
    <w:p w14:paraId="4AD651DE" w14:textId="7E50D000" w:rsidR="7861D7BA" w:rsidRDefault="7861D7BA" w:rsidP="7861D7BA">
      <w:pPr>
        <w:pStyle w:val="Default"/>
        <w:jc w:val="both"/>
        <w:rPr>
          <w:rFonts w:asciiTheme="minorHAnsi" w:hAnsiTheme="minorHAnsi" w:cstheme="minorBidi"/>
          <w:b/>
          <w:bCs/>
          <w:sz w:val="20"/>
          <w:szCs w:val="20"/>
        </w:rPr>
      </w:pPr>
    </w:p>
    <w:p w14:paraId="4FADF917" w14:textId="2E536F0E" w:rsidR="7861D7BA" w:rsidRDefault="7861D7BA" w:rsidP="7861D7BA">
      <w:pPr>
        <w:pStyle w:val="Default"/>
        <w:jc w:val="both"/>
        <w:rPr>
          <w:rFonts w:asciiTheme="minorHAnsi" w:hAnsiTheme="minorHAnsi" w:cstheme="minorBidi"/>
          <w:b/>
          <w:bCs/>
          <w:sz w:val="20"/>
          <w:szCs w:val="20"/>
        </w:rPr>
      </w:pPr>
    </w:p>
    <w:p w14:paraId="078E9EFD" w14:textId="6648E9DA" w:rsidR="004617A9" w:rsidRDefault="004617A9" w:rsidP="00CF1247">
      <w:pPr>
        <w:pStyle w:val="Default"/>
        <w:jc w:val="both"/>
        <w:rPr>
          <w:rFonts w:asciiTheme="minorHAnsi" w:hAnsiTheme="minorHAnsi" w:cstheme="minorBidi"/>
          <w:b/>
          <w:sz w:val="20"/>
          <w:szCs w:val="20"/>
        </w:rPr>
        <w:sectPr w:rsidR="004617A9" w:rsidSect="00235661">
          <w:type w:val="continuous"/>
          <w:pgSz w:w="12240" w:h="15840"/>
          <w:pgMar w:top="1440" w:right="1440" w:bottom="1530" w:left="1440" w:header="720" w:footer="720" w:gutter="0"/>
          <w:cols w:space="720"/>
          <w:docGrid w:linePitch="360"/>
        </w:sectPr>
      </w:pPr>
    </w:p>
    <w:p w14:paraId="354B8E4D" w14:textId="69DC45FC" w:rsidR="003A3CF8" w:rsidRPr="0043215C" w:rsidRDefault="1FBA5479" w:rsidP="7DBA9A7E">
      <w:pPr>
        <w:pStyle w:val="Default"/>
        <w:jc w:val="both"/>
        <w:rPr>
          <w:rFonts w:asciiTheme="minorHAnsi" w:hAnsiTheme="minorHAnsi" w:cstheme="minorHAnsi"/>
          <w:b/>
          <w:bCs/>
          <w:sz w:val="20"/>
          <w:szCs w:val="20"/>
          <w:lang w:val="en-US"/>
        </w:rPr>
      </w:pPr>
      <w:r w:rsidRPr="5B34D2EB">
        <w:rPr>
          <w:rFonts w:asciiTheme="minorHAnsi" w:hAnsiTheme="minorHAnsi" w:cstheme="minorBidi"/>
          <w:b/>
          <w:sz w:val="20"/>
          <w:szCs w:val="20"/>
          <w:lang w:val="en-US"/>
        </w:rPr>
        <w:lastRenderedPageBreak/>
        <w:t xml:space="preserve">Table </w:t>
      </w:r>
      <w:r w:rsidR="0610F45A" w:rsidRPr="5B34D2EB">
        <w:rPr>
          <w:rFonts w:asciiTheme="minorHAnsi" w:hAnsiTheme="minorHAnsi" w:cstheme="minorBidi"/>
          <w:b/>
          <w:sz w:val="20"/>
          <w:szCs w:val="20"/>
          <w:lang w:val="en-US"/>
        </w:rPr>
        <w:t>1</w:t>
      </w:r>
      <w:r w:rsidRPr="5B34D2EB">
        <w:rPr>
          <w:rFonts w:asciiTheme="minorHAnsi" w:hAnsiTheme="minorHAnsi" w:cstheme="minorBidi"/>
          <w:b/>
          <w:sz w:val="20"/>
          <w:szCs w:val="20"/>
          <w:lang w:val="en-US"/>
        </w:rPr>
        <w:t xml:space="preserve">: Indicative Financing Plan for </w:t>
      </w:r>
      <w:r w:rsidR="00633357" w:rsidRPr="5B34D2EB">
        <w:rPr>
          <w:rFonts w:asciiTheme="minorHAnsi" w:hAnsiTheme="minorHAnsi" w:cstheme="minorBidi"/>
          <w:b/>
          <w:sz w:val="20"/>
          <w:szCs w:val="20"/>
          <w:lang w:val="en-US"/>
        </w:rPr>
        <w:t>Türkiye’s</w:t>
      </w:r>
      <w:r w:rsidRPr="5B34D2EB">
        <w:rPr>
          <w:rFonts w:asciiTheme="minorHAnsi" w:hAnsiTheme="minorHAnsi" w:cstheme="minorBidi"/>
          <w:b/>
          <w:sz w:val="20"/>
          <w:szCs w:val="20"/>
          <w:lang w:val="en-US"/>
        </w:rPr>
        <w:t xml:space="preserve"> </w:t>
      </w:r>
      <w:r w:rsidR="0EC2C56C" w:rsidRPr="5B34D2EB">
        <w:rPr>
          <w:rFonts w:asciiTheme="minorHAnsi" w:hAnsiTheme="minorHAnsi" w:cstheme="minorBidi"/>
          <w:b/>
          <w:sz w:val="20"/>
          <w:szCs w:val="20"/>
          <w:lang w:val="en-US"/>
        </w:rPr>
        <w:t>CTF-REI</w:t>
      </w:r>
      <w:r w:rsidRPr="5B34D2EB">
        <w:rPr>
          <w:rFonts w:asciiTheme="minorHAnsi" w:hAnsiTheme="minorHAnsi" w:cstheme="minorBidi"/>
          <w:b/>
          <w:sz w:val="20"/>
          <w:szCs w:val="20"/>
          <w:lang w:val="en-US"/>
        </w:rPr>
        <w:t xml:space="preserve"> IP </w:t>
      </w:r>
    </w:p>
    <w:p w14:paraId="5F375F90" w14:textId="77777777" w:rsidR="005A5051" w:rsidRPr="0043215C" w:rsidRDefault="005A5051" w:rsidP="005A5051">
      <w:pPr>
        <w:pStyle w:val="Default"/>
        <w:jc w:val="both"/>
        <w:rPr>
          <w:rFonts w:asciiTheme="minorHAnsi" w:hAnsiTheme="minorHAnsi" w:cstheme="minorHAnsi"/>
          <w:b/>
          <w:sz w:val="20"/>
          <w:szCs w:val="20"/>
        </w:rPr>
      </w:pPr>
    </w:p>
    <w:tbl>
      <w:tblPr>
        <w:tblW w:w="12965" w:type="dxa"/>
        <w:tblInd w:w="-1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15" w:type="dxa"/>
          <w:bottom w:w="15" w:type="dxa"/>
        </w:tblCellMar>
        <w:tblLook w:val="04A0" w:firstRow="1" w:lastRow="0" w:firstColumn="1" w:lastColumn="0" w:noHBand="0" w:noVBand="1"/>
      </w:tblPr>
      <w:tblGrid>
        <w:gridCol w:w="1440"/>
        <w:gridCol w:w="2700"/>
        <w:gridCol w:w="725"/>
        <w:gridCol w:w="861"/>
        <w:gridCol w:w="1043"/>
        <w:gridCol w:w="976"/>
        <w:gridCol w:w="929"/>
        <w:gridCol w:w="810"/>
        <w:gridCol w:w="810"/>
        <w:gridCol w:w="691"/>
        <w:gridCol w:w="630"/>
        <w:gridCol w:w="1350"/>
      </w:tblGrid>
      <w:tr w:rsidR="005A5051" w:rsidRPr="00D53E0D" w14:paraId="38B50AA6" w14:textId="77777777" w:rsidTr="00D40A77">
        <w:trPr>
          <w:cantSplit/>
          <w:trHeight w:val="433"/>
          <w:tblHeader/>
        </w:trPr>
        <w:tc>
          <w:tcPr>
            <w:tcW w:w="1440" w:type="dxa"/>
            <w:shd w:val="clear" w:color="auto" w:fill="D9E1F2"/>
            <w:noWrap/>
            <w:vAlign w:val="center"/>
            <w:hideMark/>
          </w:tcPr>
          <w:p w14:paraId="6A5A0275" w14:textId="77777777" w:rsidR="005A5051" w:rsidRPr="00D53E0D" w:rsidRDefault="005A5051">
            <w:pPr>
              <w:spacing w:after="0" w:line="240" w:lineRule="auto"/>
              <w:jc w:val="center"/>
              <w:rPr>
                <w:rFonts w:eastAsia="Times New Roman" w:cstheme="minorHAnsi"/>
                <w:b/>
                <w:color w:val="000000"/>
                <w:sz w:val="16"/>
                <w:szCs w:val="16"/>
              </w:rPr>
            </w:pPr>
          </w:p>
          <w:p w14:paraId="1A1D38F8" w14:textId="77777777" w:rsidR="005A5051" w:rsidRPr="00D53E0D" w:rsidRDefault="005A5051">
            <w:pPr>
              <w:spacing w:after="0" w:line="240" w:lineRule="auto"/>
              <w:jc w:val="center"/>
              <w:rPr>
                <w:rFonts w:eastAsia="Times New Roman" w:cstheme="minorHAnsi"/>
                <w:b/>
                <w:color w:val="000000"/>
                <w:sz w:val="16"/>
                <w:szCs w:val="16"/>
              </w:rPr>
            </w:pPr>
          </w:p>
        </w:tc>
        <w:tc>
          <w:tcPr>
            <w:tcW w:w="2700" w:type="dxa"/>
            <w:shd w:val="clear" w:color="auto" w:fill="D9E1F2"/>
            <w:vAlign w:val="center"/>
            <w:hideMark/>
          </w:tcPr>
          <w:p w14:paraId="6E1F3C3C" w14:textId="77777777" w:rsidR="005A5051" w:rsidRPr="00D53E0D" w:rsidRDefault="005A5051">
            <w:pPr>
              <w:spacing w:after="0" w:line="240" w:lineRule="auto"/>
              <w:jc w:val="center"/>
              <w:rPr>
                <w:rFonts w:eastAsia="Times New Roman" w:cstheme="minorHAnsi"/>
                <w:b/>
                <w:color w:val="000000"/>
                <w:sz w:val="16"/>
                <w:szCs w:val="16"/>
              </w:rPr>
            </w:pPr>
            <w:r w:rsidRPr="00D53E0D">
              <w:rPr>
                <w:rFonts w:eastAsia="Times New Roman" w:cstheme="minorHAnsi"/>
                <w:b/>
                <w:color w:val="000000"/>
                <w:sz w:val="16"/>
                <w:szCs w:val="16"/>
              </w:rPr>
              <w:t>Sub-components</w:t>
            </w:r>
          </w:p>
        </w:tc>
        <w:tc>
          <w:tcPr>
            <w:tcW w:w="725" w:type="dxa"/>
            <w:shd w:val="clear" w:color="auto" w:fill="D9E1F2"/>
            <w:noWrap/>
            <w:vAlign w:val="center"/>
            <w:hideMark/>
          </w:tcPr>
          <w:p w14:paraId="3F56C834" w14:textId="77777777" w:rsidR="005A5051" w:rsidRPr="00D53E0D" w:rsidRDefault="005A5051">
            <w:pPr>
              <w:spacing w:after="0" w:line="240" w:lineRule="auto"/>
              <w:jc w:val="center"/>
              <w:rPr>
                <w:rFonts w:eastAsia="Times New Roman" w:cstheme="minorHAnsi"/>
                <w:b/>
                <w:color w:val="000000"/>
                <w:sz w:val="16"/>
                <w:szCs w:val="16"/>
              </w:rPr>
            </w:pPr>
            <w:r w:rsidRPr="00D53E0D">
              <w:rPr>
                <w:rFonts w:eastAsia="Times New Roman" w:cstheme="minorHAnsi"/>
                <w:b/>
                <w:color w:val="000000"/>
                <w:sz w:val="16"/>
                <w:szCs w:val="16"/>
              </w:rPr>
              <w:t>Investment / TA</w:t>
            </w:r>
          </w:p>
        </w:tc>
        <w:tc>
          <w:tcPr>
            <w:tcW w:w="861" w:type="dxa"/>
            <w:shd w:val="clear" w:color="auto" w:fill="D9E1F2"/>
            <w:noWrap/>
            <w:vAlign w:val="center"/>
            <w:hideMark/>
          </w:tcPr>
          <w:p w14:paraId="7F4B36D9" w14:textId="77777777" w:rsidR="005A5051" w:rsidRPr="00D53E0D" w:rsidRDefault="005A5051">
            <w:pPr>
              <w:spacing w:after="0" w:line="240" w:lineRule="auto"/>
              <w:jc w:val="center"/>
              <w:rPr>
                <w:rFonts w:eastAsia="Times New Roman" w:cstheme="minorHAnsi"/>
                <w:b/>
                <w:color w:val="000000"/>
                <w:sz w:val="16"/>
                <w:szCs w:val="16"/>
              </w:rPr>
            </w:pPr>
            <w:r w:rsidRPr="00D53E0D">
              <w:rPr>
                <w:rFonts w:eastAsia="Times New Roman" w:cstheme="minorHAnsi"/>
                <w:b/>
                <w:color w:val="000000"/>
                <w:sz w:val="16"/>
                <w:szCs w:val="16"/>
              </w:rPr>
              <w:t>MDBs</w:t>
            </w:r>
          </w:p>
        </w:tc>
        <w:tc>
          <w:tcPr>
            <w:tcW w:w="1043" w:type="dxa"/>
            <w:shd w:val="clear" w:color="auto" w:fill="D9E1F2"/>
            <w:vAlign w:val="center"/>
            <w:hideMark/>
          </w:tcPr>
          <w:p w14:paraId="0384195F" w14:textId="77777777" w:rsidR="005A5051" w:rsidRPr="00D53E0D" w:rsidRDefault="005A5051">
            <w:pPr>
              <w:spacing w:after="0" w:line="240" w:lineRule="auto"/>
              <w:jc w:val="center"/>
              <w:rPr>
                <w:rFonts w:eastAsia="Times New Roman" w:cstheme="minorHAnsi"/>
                <w:b/>
                <w:color w:val="000000"/>
                <w:sz w:val="16"/>
                <w:szCs w:val="16"/>
              </w:rPr>
            </w:pPr>
            <w:r w:rsidRPr="00D53E0D">
              <w:rPr>
                <w:rFonts w:eastAsia="Times New Roman" w:cstheme="minorHAnsi"/>
                <w:b/>
                <w:color w:val="000000"/>
                <w:sz w:val="16"/>
                <w:szCs w:val="16"/>
              </w:rPr>
              <w:t>MDB Share</w:t>
            </w:r>
          </w:p>
        </w:tc>
        <w:tc>
          <w:tcPr>
            <w:tcW w:w="976" w:type="dxa"/>
            <w:shd w:val="clear" w:color="auto" w:fill="D9E1F2"/>
            <w:noWrap/>
            <w:vAlign w:val="center"/>
            <w:hideMark/>
          </w:tcPr>
          <w:p w14:paraId="7DCE12C5" w14:textId="77777777" w:rsidR="005A5051" w:rsidRPr="00D53E0D" w:rsidRDefault="005A5051">
            <w:pPr>
              <w:spacing w:after="0" w:line="240" w:lineRule="auto"/>
              <w:jc w:val="center"/>
              <w:rPr>
                <w:rFonts w:eastAsia="Times New Roman" w:cstheme="minorHAnsi"/>
                <w:b/>
                <w:color w:val="000000"/>
                <w:sz w:val="16"/>
                <w:szCs w:val="16"/>
              </w:rPr>
            </w:pPr>
            <w:r w:rsidRPr="00D53E0D">
              <w:rPr>
                <w:rFonts w:eastAsia="Times New Roman" w:cstheme="minorHAnsi"/>
                <w:b/>
                <w:color w:val="000000"/>
                <w:sz w:val="16"/>
                <w:szCs w:val="16"/>
              </w:rPr>
              <w:t>CTF/REI</w:t>
            </w:r>
          </w:p>
        </w:tc>
        <w:tc>
          <w:tcPr>
            <w:tcW w:w="929" w:type="dxa"/>
            <w:shd w:val="clear" w:color="auto" w:fill="D9E2F3" w:themeFill="accent1" w:themeFillTint="33"/>
          </w:tcPr>
          <w:p w14:paraId="65B317C9" w14:textId="77777777" w:rsidR="005A5051" w:rsidRPr="00D53E0D" w:rsidRDefault="005A5051">
            <w:pPr>
              <w:spacing w:after="0" w:line="240" w:lineRule="auto"/>
              <w:jc w:val="center"/>
              <w:rPr>
                <w:rFonts w:eastAsia="Times New Roman" w:cstheme="minorHAnsi"/>
                <w:b/>
                <w:color w:val="000000"/>
                <w:sz w:val="16"/>
                <w:szCs w:val="16"/>
              </w:rPr>
            </w:pPr>
            <w:r w:rsidRPr="00D53E0D">
              <w:rPr>
                <w:rFonts w:eastAsia="Times New Roman" w:cstheme="minorHAnsi"/>
                <w:b/>
                <w:color w:val="000000"/>
                <w:sz w:val="16"/>
                <w:szCs w:val="16"/>
              </w:rPr>
              <w:t>CIF/CTF</w:t>
            </w:r>
          </w:p>
          <w:p w14:paraId="22A45C8D" w14:textId="77777777" w:rsidR="005A5051" w:rsidRPr="00D53E0D" w:rsidRDefault="005A5051">
            <w:pPr>
              <w:spacing w:after="0" w:line="240" w:lineRule="auto"/>
              <w:jc w:val="center"/>
              <w:rPr>
                <w:rFonts w:eastAsia="Times New Roman" w:cstheme="minorHAnsi"/>
                <w:b/>
                <w:color w:val="000000"/>
                <w:sz w:val="16"/>
                <w:szCs w:val="16"/>
              </w:rPr>
            </w:pPr>
            <w:r w:rsidRPr="00D53E0D">
              <w:rPr>
                <w:rFonts w:eastAsia="Times New Roman" w:cstheme="minorHAnsi"/>
                <w:b/>
                <w:color w:val="000000"/>
                <w:sz w:val="16"/>
                <w:szCs w:val="16"/>
              </w:rPr>
              <w:t>Grant</w:t>
            </w:r>
          </w:p>
        </w:tc>
        <w:tc>
          <w:tcPr>
            <w:tcW w:w="810" w:type="dxa"/>
            <w:shd w:val="clear" w:color="auto" w:fill="D9E1F2"/>
            <w:vAlign w:val="center"/>
            <w:hideMark/>
          </w:tcPr>
          <w:p w14:paraId="167F6198" w14:textId="77777777" w:rsidR="005A5051" w:rsidRPr="00D53E0D" w:rsidRDefault="005A5051">
            <w:pPr>
              <w:spacing w:after="0" w:line="240" w:lineRule="auto"/>
              <w:jc w:val="center"/>
              <w:rPr>
                <w:rFonts w:eastAsia="Times New Roman" w:cstheme="minorHAnsi"/>
                <w:b/>
                <w:color w:val="000000"/>
                <w:sz w:val="16"/>
                <w:szCs w:val="16"/>
              </w:rPr>
            </w:pPr>
            <w:r w:rsidRPr="00D53E0D">
              <w:rPr>
                <w:rFonts w:eastAsia="Times New Roman" w:cstheme="minorHAnsi"/>
                <w:b/>
                <w:color w:val="000000"/>
                <w:sz w:val="16"/>
                <w:szCs w:val="16"/>
              </w:rPr>
              <w:t>Private Sector</w:t>
            </w:r>
          </w:p>
        </w:tc>
        <w:tc>
          <w:tcPr>
            <w:tcW w:w="810" w:type="dxa"/>
            <w:shd w:val="clear" w:color="auto" w:fill="D9E1F2"/>
            <w:vAlign w:val="center"/>
            <w:hideMark/>
          </w:tcPr>
          <w:p w14:paraId="2FCFCBED" w14:textId="77777777" w:rsidR="005A5051" w:rsidRPr="00D53E0D" w:rsidRDefault="005A5051">
            <w:pPr>
              <w:spacing w:after="0" w:line="240" w:lineRule="auto"/>
              <w:jc w:val="center"/>
              <w:rPr>
                <w:rFonts w:eastAsia="Times New Roman" w:cstheme="minorHAnsi"/>
                <w:b/>
                <w:color w:val="000000"/>
                <w:sz w:val="16"/>
                <w:szCs w:val="16"/>
              </w:rPr>
            </w:pPr>
            <w:r w:rsidRPr="00D53E0D">
              <w:rPr>
                <w:rFonts w:eastAsia="Times New Roman" w:cstheme="minorHAnsi"/>
                <w:b/>
                <w:color w:val="000000"/>
                <w:sz w:val="16"/>
                <w:szCs w:val="16"/>
              </w:rPr>
              <w:t>Gov/SOE/other</w:t>
            </w:r>
          </w:p>
        </w:tc>
        <w:tc>
          <w:tcPr>
            <w:tcW w:w="691" w:type="dxa"/>
            <w:shd w:val="clear" w:color="auto" w:fill="D9E1F2"/>
            <w:vAlign w:val="center"/>
            <w:hideMark/>
          </w:tcPr>
          <w:p w14:paraId="51CF166B" w14:textId="77777777" w:rsidR="005A5051" w:rsidRPr="00D53E0D" w:rsidRDefault="005A5051">
            <w:pPr>
              <w:spacing w:after="0" w:line="240" w:lineRule="auto"/>
              <w:jc w:val="center"/>
              <w:rPr>
                <w:rFonts w:eastAsia="Times New Roman" w:cstheme="minorHAnsi"/>
                <w:b/>
                <w:color w:val="000000"/>
                <w:sz w:val="16"/>
                <w:szCs w:val="16"/>
              </w:rPr>
            </w:pPr>
            <w:r w:rsidRPr="00D53E0D">
              <w:rPr>
                <w:rFonts w:eastAsia="Times New Roman" w:cstheme="minorHAnsi"/>
                <w:b/>
                <w:color w:val="000000"/>
                <w:sz w:val="16"/>
                <w:szCs w:val="16"/>
              </w:rPr>
              <w:t>Total</w:t>
            </w:r>
          </w:p>
        </w:tc>
        <w:tc>
          <w:tcPr>
            <w:tcW w:w="630" w:type="dxa"/>
            <w:shd w:val="clear" w:color="auto" w:fill="D9E1F2"/>
          </w:tcPr>
          <w:p w14:paraId="109BE01D" w14:textId="77777777" w:rsidR="005A5051" w:rsidRPr="00D53E0D" w:rsidRDefault="005A5051">
            <w:pPr>
              <w:spacing w:after="0" w:line="240" w:lineRule="auto"/>
              <w:jc w:val="center"/>
              <w:rPr>
                <w:rFonts w:eastAsia="Times New Roman" w:cstheme="minorHAnsi"/>
                <w:b/>
                <w:color w:val="000000"/>
                <w:sz w:val="16"/>
                <w:szCs w:val="16"/>
              </w:rPr>
            </w:pPr>
            <w:r w:rsidRPr="00D53E0D">
              <w:rPr>
                <w:rFonts w:eastAsia="Times New Roman" w:cstheme="minorHAnsi"/>
                <w:b/>
                <w:color w:val="000000"/>
                <w:sz w:val="16"/>
                <w:szCs w:val="16"/>
              </w:rPr>
              <w:t>Board Date</w:t>
            </w:r>
          </w:p>
        </w:tc>
        <w:tc>
          <w:tcPr>
            <w:tcW w:w="1350" w:type="dxa"/>
            <w:shd w:val="clear" w:color="auto" w:fill="D9E1F2"/>
          </w:tcPr>
          <w:p w14:paraId="46F178D3" w14:textId="77777777" w:rsidR="005A5051" w:rsidRPr="00D53E0D" w:rsidRDefault="005A5051">
            <w:pPr>
              <w:spacing w:after="0" w:line="240" w:lineRule="auto"/>
              <w:jc w:val="center"/>
              <w:rPr>
                <w:rFonts w:eastAsia="Times New Roman" w:cstheme="minorHAnsi"/>
                <w:b/>
                <w:color w:val="000000"/>
                <w:sz w:val="16"/>
                <w:szCs w:val="16"/>
              </w:rPr>
            </w:pPr>
            <w:r w:rsidRPr="00D53E0D">
              <w:rPr>
                <w:rFonts w:eastAsia="Times New Roman" w:cstheme="minorHAnsi"/>
                <w:b/>
                <w:color w:val="000000"/>
                <w:sz w:val="16"/>
                <w:szCs w:val="16"/>
              </w:rPr>
              <w:t>1</w:t>
            </w:r>
            <w:r w:rsidRPr="00D53E0D">
              <w:rPr>
                <w:rFonts w:eastAsia="Times New Roman" w:cstheme="minorHAnsi"/>
                <w:b/>
                <w:color w:val="000000"/>
                <w:sz w:val="16"/>
                <w:szCs w:val="16"/>
                <w:vertAlign w:val="superscript"/>
              </w:rPr>
              <w:t>st</w:t>
            </w:r>
            <w:r w:rsidRPr="00D53E0D">
              <w:rPr>
                <w:rFonts w:eastAsia="Times New Roman" w:cstheme="minorHAnsi"/>
                <w:b/>
                <w:color w:val="000000"/>
                <w:sz w:val="16"/>
                <w:szCs w:val="16"/>
              </w:rPr>
              <w:t xml:space="preserve"> Disbursement date</w:t>
            </w:r>
          </w:p>
        </w:tc>
      </w:tr>
      <w:tr w:rsidR="005A5051" w:rsidRPr="00D53E0D" w14:paraId="5F87D8C8" w14:textId="77777777" w:rsidTr="00D40A77">
        <w:trPr>
          <w:cantSplit/>
          <w:trHeight w:val="433"/>
          <w:tblHeader/>
        </w:trPr>
        <w:tc>
          <w:tcPr>
            <w:tcW w:w="10985" w:type="dxa"/>
            <w:gridSpan w:val="10"/>
            <w:shd w:val="clear" w:color="auto" w:fill="D9E1F2"/>
            <w:noWrap/>
            <w:vAlign w:val="center"/>
          </w:tcPr>
          <w:p w14:paraId="14664D89" w14:textId="77777777" w:rsidR="005A5051" w:rsidRPr="00D53E0D" w:rsidRDefault="005A5051">
            <w:pPr>
              <w:spacing w:after="0" w:line="240" w:lineRule="auto"/>
              <w:rPr>
                <w:rFonts w:eastAsia="Times New Roman" w:cstheme="minorHAnsi"/>
                <w:b/>
                <w:color w:val="000000"/>
                <w:sz w:val="16"/>
                <w:szCs w:val="16"/>
              </w:rPr>
            </w:pPr>
            <w:r w:rsidRPr="00D53E0D">
              <w:rPr>
                <w:rFonts w:eastAsia="Times New Roman" w:cstheme="minorHAnsi"/>
                <w:b/>
                <w:color w:val="000000"/>
                <w:sz w:val="16"/>
                <w:szCs w:val="16"/>
              </w:rPr>
              <w:t>Component 1 (Phases 1 and 2): Transforming Power Transmission System for REI</w:t>
            </w:r>
          </w:p>
        </w:tc>
        <w:tc>
          <w:tcPr>
            <w:tcW w:w="630" w:type="dxa"/>
            <w:shd w:val="clear" w:color="auto" w:fill="D9E1F2"/>
          </w:tcPr>
          <w:p w14:paraId="33B94255" w14:textId="77777777" w:rsidR="005A5051" w:rsidRPr="00D53E0D" w:rsidRDefault="005A5051">
            <w:pPr>
              <w:spacing w:after="0" w:line="240" w:lineRule="auto"/>
              <w:rPr>
                <w:rFonts w:eastAsia="Times New Roman" w:cstheme="minorHAnsi"/>
                <w:b/>
                <w:color w:val="000000"/>
                <w:sz w:val="16"/>
                <w:szCs w:val="16"/>
              </w:rPr>
            </w:pPr>
          </w:p>
        </w:tc>
        <w:tc>
          <w:tcPr>
            <w:tcW w:w="1350" w:type="dxa"/>
            <w:shd w:val="clear" w:color="auto" w:fill="D9E1F2"/>
          </w:tcPr>
          <w:p w14:paraId="65328E3E" w14:textId="77777777" w:rsidR="005A5051" w:rsidRPr="00D53E0D" w:rsidRDefault="005A5051">
            <w:pPr>
              <w:spacing w:after="0" w:line="240" w:lineRule="auto"/>
              <w:rPr>
                <w:rFonts w:eastAsia="Times New Roman" w:cstheme="minorHAnsi"/>
                <w:b/>
                <w:color w:val="000000"/>
                <w:sz w:val="16"/>
                <w:szCs w:val="16"/>
              </w:rPr>
            </w:pPr>
          </w:p>
        </w:tc>
      </w:tr>
      <w:tr w:rsidR="005A5051" w:rsidRPr="00D53E0D" w14:paraId="17A3D74F" w14:textId="77777777" w:rsidTr="00D40A77">
        <w:trPr>
          <w:cantSplit/>
          <w:trHeight w:val="1590"/>
        </w:trPr>
        <w:tc>
          <w:tcPr>
            <w:tcW w:w="1440" w:type="dxa"/>
            <w:vMerge w:val="restart"/>
            <w:shd w:val="clear" w:color="auto" w:fill="FFFFFF" w:themeFill="background1"/>
            <w:vAlign w:val="center"/>
            <w:hideMark/>
          </w:tcPr>
          <w:p w14:paraId="79945EF3" w14:textId="77777777" w:rsidR="005A5051" w:rsidRPr="00D53E0D" w:rsidRDefault="005A5051">
            <w:pPr>
              <w:spacing w:after="0" w:line="240" w:lineRule="auto"/>
              <w:jc w:val="left"/>
              <w:rPr>
                <w:rFonts w:eastAsia="Times New Roman" w:cstheme="minorHAnsi"/>
                <w:b/>
                <w:color w:val="000000"/>
                <w:sz w:val="16"/>
                <w:szCs w:val="16"/>
              </w:rPr>
            </w:pPr>
            <w:r w:rsidRPr="00D53E0D">
              <w:rPr>
                <w:rFonts w:eastAsia="Times New Roman" w:cstheme="minorHAnsi"/>
                <w:b/>
                <w:color w:val="000000"/>
                <w:sz w:val="16"/>
                <w:szCs w:val="16"/>
              </w:rPr>
              <w:t xml:space="preserve">Transforming Power Transmission System Project </w:t>
            </w:r>
          </w:p>
        </w:tc>
        <w:tc>
          <w:tcPr>
            <w:tcW w:w="2700" w:type="dxa"/>
            <w:vAlign w:val="center"/>
            <w:hideMark/>
          </w:tcPr>
          <w:p w14:paraId="4C0B7881" w14:textId="77777777" w:rsidR="005A5051" w:rsidRPr="00D53E0D" w:rsidRDefault="005A5051">
            <w:pPr>
              <w:spacing w:after="0" w:line="240" w:lineRule="auto"/>
              <w:jc w:val="left"/>
              <w:rPr>
                <w:rFonts w:eastAsia="Times New Roman" w:cstheme="minorHAnsi"/>
                <w:bCs/>
                <w:color w:val="000000"/>
                <w:sz w:val="16"/>
                <w:szCs w:val="16"/>
              </w:rPr>
            </w:pPr>
            <w:r w:rsidRPr="00D53E0D">
              <w:rPr>
                <w:rFonts w:eastAsia="Times New Roman" w:cstheme="minorHAnsi"/>
                <w:bCs/>
                <w:color w:val="000000"/>
                <w:sz w:val="16"/>
                <w:szCs w:val="16"/>
              </w:rPr>
              <w:t>Sub-component-1: Development of transmission infrastructure to facilitate scale-up of RE</w:t>
            </w:r>
            <w:r w:rsidRPr="00D53E0D">
              <w:rPr>
                <w:rFonts w:eastAsia="Times New Roman" w:cstheme="minorHAnsi"/>
                <w:bCs/>
                <w:color w:val="000000"/>
                <w:sz w:val="16"/>
                <w:szCs w:val="16"/>
              </w:rPr>
              <w:br/>
              <w:t>Sub-component-2: Strengthening of transmission networks and interconnections</w:t>
            </w:r>
            <w:r w:rsidRPr="00D53E0D">
              <w:rPr>
                <w:rFonts w:eastAsia="Times New Roman" w:cstheme="minorHAnsi"/>
                <w:bCs/>
                <w:color w:val="000000"/>
                <w:sz w:val="16"/>
                <w:szCs w:val="16"/>
              </w:rPr>
              <w:br/>
              <w:t>Sub-component-3: Digital and smart-grid investments to strengthen grid operation and management</w:t>
            </w:r>
          </w:p>
        </w:tc>
        <w:tc>
          <w:tcPr>
            <w:tcW w:w="725" w:type="dxa"/>
            <w:shd w:val="clear" w:color="auto" w:fill="FFFFFF" w:themeFill="background1"/>
            <w:noWrap/>
            <w:vAlign w:val="center"/>
            <w:hideMark/>
          </w:tcPr>
          <w:p w14:paraId="6F1AB9D0"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Investment</w:t>
            </w:r>
          </w:p>
        </w:tc>
        <w:tc>
          <w:tcPr>
            <w:tcW w:w="861" w:type="dxa"/>
            <w:noWrap/>
            <w:vAlign w:val="center"/>
            <w:hideMark/>
          </w:tcPr>
          <w:p w14:paraId="6F574F4E"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WB</w:t>
            </w:r>
          </w:p>
        </w:tc>
        <w:tc>
          <w:tcPr>
            <w:tcW w:w="1043" w:type="dxa"/>
            <w:noWrap/>
            <w:vAlign w:val="center"/>
            <w:hideMark/>
          </w:tcPr>
          <w:p w14:paraId="038A4F29"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themeColor="text1"/>
                <w:sz w:val="16"/>
                <w:szCs w:val="16"/>
              </w:rPr>
              <w:t>1,500</w:t>
            </w:r>
          </w:p>
        </w:tc>
        <w:tc>
          <w:tcPr>
            <w:tcW w:w="976" w:type="dxa"/>
            <w:noWrap/>
            <w:vAlign w:val="center"/>
            <w:hideMark/>
          </w:tcPr>
          <w:p w14:paraId="6C0B9A0E"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 xml:space="preserve"> 38</w:t>
            </w:r>
          </w:p>
        </w:tc>
        <w:tc>
          <w:tcPr>
            <w:tcW w:w="929" w:type="dxa"/>
          </w:tcPr>
          <w:p w14:paraId="1421F3D7" w14:textId="77777777" w:rsidR="005A5051" w:rsidRPr="00D53E0D" w:rsidRDefault="005A5051">
            <w:pPr>
              <w:spacing w:after="0" w:line="240" w:lineRule="auto"/>
              <w:jc w:val="center"/>
              <w:rPr>
                <w:rFonts w:eastAsia="Times New Roman" w:cstheme="minorHAnsi"/>
                <w:bCs/>
                <w:color w:val="000000"/>
                <w:sz w:val="16"/>
                <w:szCs w:val="16"/>
              </w:rPr>
            </w:pPr>
          </w:p>
        </w:tc>
        <w:tc>
          <w:tcPr>
            <w:tcW w:w="810" w:type="dxa"/>
            <w:noWrap/>
            <w:vAlign w:val="center"/>
            <w:hideMark/>
          </w:tcPr>
          <w:p w14:paraId="7594302E" w14:textId="77777777" w:rsidR="005A5051" w:rsidRPr="00D53E0D" w:rsidRDefault="005A5051">
            <w:pPr>
              <w:spacing w:after="0" w:line="240" w:lineRule="auto"/>
              <w:jc w:val="center"/>
              <w:rPr>
                <w:rFonts w:eastAsia="Times New Roman" w:cstheme="minorHAnsi"/>
                <w:bCs/>
                <w:color w:val="000000"/>
                <w:sz w:val="16"/>
                <w:szCs w:val="16"/>
              </w:rPr>
            </w:pPr>
          </w:p>
        </w:tc>
        <w:tc>
          <w:tcPr>
            <w:tcW w:w="810" w:type="dxa"/>
            <w:noWrap/>
            <w:vAlign w:val="center"/>
            <w:hideMark/>
          </w:tcPr>
          <w:p w14:paraId="510953F0" w14:textId="77777777" w:rsidR="005A5051" w:rsidRPr="00D53E0D" w:rsidRDefault="005A5051">
            <w:pPr>
              <w:spacing w:after="0" w:line="240" w:lineRule="auto"/>
              <w:jc w:val="center"/>
              <w:rPr>
                <w:rFonts w:eastAsia="Times New Roman" w:cstheme="minorHAnsi"/>
                <w:bCs/>
                <w:sz w:val="16"/>
                <w:szCs w:val="16"/>
              </w:rPr>
            </w:pPr>
          </w:p>
        </w:tc>
        <w:tc>
          <w:tcPr>
            <w:tcW w:w="691" w:type="dxa"/>
            <w:noWrap/>
            <w:vAlign w:val="center"/>
            <w:hideMark/>
          </w:tcPr>
          <w:p w14:paraId="6DE60882" w14:textId="77777777" w:rsidR="005A5051" w:rsidRPr="00D53E0D" w:rsidRDefault="005A5051">
            <w:pPr>
              <w:spacing w:after="0" w:line="240" w:lineRule="auto"/>
              <w:jc w:val="center"/>
              <w:rPr>
                <w:rFonts w:eastAsia="Times New Roman" w:cstheme="minorHAnsi"/>
                <w:bCs/>
                <w:color w:val="000000" w:themeColor="text1"/>
                <w:sz w:val="16"/>
                <w:szCs w:val="16"/>
              </w:rPr>
            </w:pPr>
            <w:r w:rsidRPr="00D53E0D">
              <w:rPr>
                <w:rFonts w:eastAsia="Times New Roman" w:cstheme="minorHAnsi"/>
                <w:bCs/>
                <w:color w:val="000000" w:themeColor="text1"/>
                <w:sz w:val="16"/>
                <w:szCs w:val="16"/>
              </w:rPr>
              <w:t xml:space="preserve"> WB:</w:t>
            </w:r>
          </w:p>
          <w:p w14:paraId="2CE159C4"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themeColor="text1"/>
                <w:sz w:val="16"/>
                <w:szCs w:val="16"/>
              </w:rPr>
              <w:t>1,538</w:t>
            </w:r>
          </w:p>
        </w:tc>
        <w:tc>
          <w:tcPr>
            <w:tcW w:w="630" w:type="dxa"/>
          </w:tcPr>
          <w:p w14:paraId="5C3D7577"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May 2025</w:t>
            </w:r>
          </w:p>
          <w:p w14:paraId="3CD03816"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(Phase 1)</w:t>
            </w:r>
          </w:p>
        </w:tc>
        <w:tc>
          <w:tcPr>
            <w:tcW w:w="1350" w:type="dxa"/>
          </w:tcPr>
          <w:p w14:paraId="1B048660"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Sep. 2025</w:t>
            </w:r>
          </w:p>
        </w:tc>
      </w:tr>
      <w:tr w:rsidR="005A5051" w:rsidRPr="00D53E0D" w14:paraId="75FF760A" w14:textId="77777777" w:rsidTr="00D40A77">
        <w:trPr>
          <w:cantSplit/>
          <w:trHeight w:val="720"/>
        </w:trPr>
        <w:tc>
          <w:tcPr>
            <w:tcW w:w="1440" w:type="dxa"/>
            <w:vMerge/>
            <w:vAlign w:val="center"/>
            <w:hideMark/>
          </w:tcPr>
          <w:p w14:paraId="0387C1A7" w14:textId="77777777" w:rsidR="005A5051" w:rsidRPr="00D53E0D" w:rsidRDefault="005A5051">
            <w:pPr>
              <w:spacing w:after="0" w:line="240" w:lineRule="auto"/>
              <w:jc w:val="left"/>
              <w:rPr>
                <w:rFonts w:eastAsia="Times New Roman" w:cstheme="minorHAnsi"/>
                <w:color w:val="000000"/>
                <w:sz w:val="16"/>
                <w:szCs w:val="16"/>
              </w:rPr>
            </w:pPr>
          </w:p>
        </w:tc>
        <w:tc>
          <w:tcPr>
            <w:tcW w:w="2700" w:type="dxa"/>
            <w:noWrap/>
            <w:vAlign w:val="center"/>
            <w:hideMark/>
          </w:tcPr>
          <w:p w14:paraId="0A1CCFE1" w14:textId="77777777" w:rsidR="005A5051" w:rsidRPr="00D53E0D" w:rsidRDefault="005A5051">
            <w:pPr>
              <w:spacing w:after="0" w:line="240" w:lineRule="auto"/>
              <w:rPr>
                <w:rFonts w:eastAsia="Times New Roman" w:cstheme="minorHAnsi"/>
                <w:bCs/>
                <w:color w:val="000000"/>
                <w:sz w:val="16"/>
                <w:szCs w:val="16"/>
              </w:rPr>
            </w:pPr>
            <w:r w:rsidRPr="00D53E0D">
              <w:rPr>
                <w:rFonts w:eastAsia="Times New Roman" w:cstheme="minorHAnsi"/>
                <w:bCs/>
                <w:color w:val="000000"/>
                <w:sz w:val="16"/>
                <w:szCs w:val="16"/>
              </w:rPr>
              <w:t xml:space="preserve">Sub-component 4: Technical Assistance and Capacity Building </w:t>
            </w:r>
          </w:p>
        </w:tc>
        <w:tc>
          <w:tcPr>
            <w:tcW w:w="725" w:type="dxa"/>
            <w:shd w:val="clear" w:color="auto" w:fill="FFFFFF" w:themeFill="background1"/>
            <w:vAlign w:val="center"/>
            <w:hideMark/>
          </w:tcPr>
          <w:p w14:paraId="0E5FA4A9"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TA</w:t>
            </w:r>
          </w:p>
        </w:tc>
        <w:tc>
          <w:tcPr>
            <w:tcW w:w="861" w:type="dxa"/>
            <w:noWrap/>
            <w:vAlign w:val="center"/>
            <w:hideMark/>
          </w:tcPr>
          <w:p w14:paraId="063CAA89"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WB</w:t>
            </w:r>
          </w:p>
        </w:tc>
        <w:tc>
          <w:tcPr>
            <w:tcW w:w="1043" w:type="dxa"/>
            <w:noWrap/>
            <w:vAlign w:val="center"/>
            <w:hideMark/>
          </w:tcPr>
          <w:p w14:paraId="6066F3A7" w14:textId="77777777" w:rsidR="005A5051" w:rsidRPr="00D53E0D" w:rsidRDefault="005A5051">
            <w:pPr>
              <w:spacing w:after="0" w:line="240" w:lineRule="auto"/>
              <w:jc w:val="center"/>
              <w:rPr>
                <w:rFonts w:eastAsia="Times New Roman" w:cstheme="minorHAnsi"/>
                <w:bCs/>
                <w:color w:val="000000"/>
                <w:sz w:val="16"/>
                <w:szCs w:val="16"/>
              </w:rPr>
            </w:pPr>
          </w:p>
        </w:tc>
        <w:tc>
          <w:tcPr>
            <w:tcW w:w="976" w:type="dxa"/>
            <w:noWrap/>
            <w:vAlign w:val="center"/>
            <w:hideMark/>
          </w:tcPr>
          <w:p w14:paraId="689E3C1C" w14:textId="77777777" w:rsidR="005A5051" w:rsidRPr="00D53E0D" w:rsidRDefault="005A5051">
            <w:pPr>
              <w:spacing w:after="0" w:line="240" w:lineRule="auto"/>
              <w:jc w:val="center"/>
              <w:rPr>
                <w:rFonts w:eastAsia="Times New Roman" w:cstheme="minorHAnsi"/>
                <w:bCs/>
                <w:color w:val="000000"/>
                <w:sz w:val="16"/>
                <w:szCs w:val="16"/>
              </w:rPr>
            </w:pPr>
          </w:p>
        </w:tc>
        <w:tc>
          <w:tcPr>
            <w:tcW w:w="929" w:type="dxa"/>
          </w:tcPr>
          <w:p w14:paraId="1974F456" w14:textId="77777777" w:rsidR="005A5051" w:rsidRPr="00D53E0D" w:rsidRDefault="005A5051">
            <w:pPr>
              <w:spacing w:after="0" w:line="240" w:lineRule="auto"/>
              <w:jc w:val="center"/>
              <w:rPr>
                <w:rFonts w:eastAsia="Times New Roman" w:cstheme="minorHAnsi"/>
                <w:bCs/>
                <w:color w:val="000000"/>
                <w:sz w:val="16"/>
                <w:szCs w:val="16"/>
              </w:rPr>
            </w:pPr>
          </w:p>
          <w:p w14:paraId="36CE4BE1"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themeColor="text1"/>
                <w:sz w:val="16"/>
                <w:szCs w:val="16"/>
              </w:rPr>
              <w:t>2</w:t>
            </w:r>
          </w:p>
        </w:tc>
        <w:tc>
          <w:tcPr>
            <w:tcW w:w="810" w:type="dxa"/>
            <w:noWrap/>
            <w:vAlign w:val="center"/>
            <w:hideMark/>
          </w:tcPr>
          <w:p w14:paraId="2341B8E7" w14:textId="77777777" w:rsidR="005A5051" w:rsidRPr="00D53E0D" w:rsidRDefault="005A5051">
            <w:pPr>
              <w:spacing w:after="0" w:line="240" w:lineRule="auto"/>
              <w:jc w:val="center"/>
              <w:rPr>
                <w:rFonts w:eastAsia="Times New Roman" w:cstheme="minorHAnsi"/>
                <w:bCs/>
                <w:color w:val="000000"/>
                <w:sz w:val="16"/>
                <w:szCs w:val="16"/>
              </w:rPr>
            </w:pPr>
          </w:p>
        </w:tc>
        <w:tc>
          <w:tcPr>
            <w:tcW w:w="810" w:type="dxa"/>
            <w:noWrap/>
            <w:vAlign w:val="center"/>
            <w:hideMark/>
          </w:tcPr>
          <w:p w14:paraId="2B5F384E" w14:textId="77777777" w:rsidR="005A5051" w:rsidRPr="00D53E0D" w:rsidRDefault="005A5051">
            <w:pPr>
              <w:spacing w:after="0" w:line="240" w:lineRule="auto"/>
              <w:jc w:val="center"/>
              <w:rPr>
                <w:rFonts w:eastAsia="Times New Roman" w:cstheme="minorHAnsi"/>
                <w:bCs/>
                <w:sz w:val="16"/>
                <w:szCs w:val="16"/>
              </w:rPr>
            </w:pPr>
          </w:p>
        </w:tc>
        <w:tc>
          <w:tcPr>
            <w:tcW w:w="691" w:type="dxa"/>
            <w:noWrap/>
            <w:vAlign w:val="center"/>
            <w:hideMark/>
          </w:tcPr>
          <w:p w14:paraId="7EFFDFA0" w14:textId="77777777" w:rsidR="005A5051" w:rsidRPr="00D53E0D" w:rsidRDefault="005A5051">
            <w:pPr>
              <w:spacing w:after="0" w:line="240" w:lineRule="auto"/>
              <w:jc w:val="center"/>
              <w:rPr>
                <w:rFonts w:eastAsia="Times New Roman" w:cstheme="minorHAnsi"/>
                <w:bCs/>
                <w:sz w:val="16"/>
                <w:szCs w:val="16"/>
              </w:rPr>
            </w:pPr>
            <w:r w:rsidRPr="00D53E0D">
              <w:rPr>
                <w:rFonts w:eastAsia="Times New Roman" w:cstheme="minorHAnsi"/>
                <w:bCs/>
                <w:sz w:val="16"/>
                <w:szCs w:val="16"/>
              </w:rPr>
              <w:t>2</w:t>
            </w:r>
          </w:p>
        </w:tc>
        <w:tc>
          <w:tcPr>
            <w:tcW w:w="630" w:type="dxa"/>
          </w:tcPr>
          <w:p w14:paraId="3932EE6B" w14:textId="77777777" w:rsidR="005A5051" w:rsidRPr="00D53E0D" w:rsidRDefault="005A5051">
            <w:pPr>
              <w:spacing w:after="0" w:line="240" w:lineRule="auto"/>
              <w:jc w:val="center"/>
              <w:rPr>
                <w:rFonts w:eastAsia="Times New Roman" w:cstheme="minorHAnsi"/>
                <w:bCs/>
                <w:sz w:val="16"/>
                <w:szCs w:val="16"/>
              </w:rPr>
            </w:pPr>
            <w:r w:rsidRPr="00D53E0D">
              <w:rPr>
                <w:rFonts w:eastAsia="Times New Roman" w:cstheme="minorHAnsi"/>
                <w:bCs/>
                <w:sz w:val="16"/>
                <w:szCs w:val="16"/>
              </w:rPr>
              <w:t>May 2025</w:t>
            </w:r>
          </w:p>
          <w:p w14:paraId="71F14AEC" w14:textId="77777777" w:rsidR="005A5051" w:rsidRPr="00D53E0D" w:rsidRDefault="005A5051">
            <w:pPr>
              <w:spacing w:after="0" w:line="240" w:lineRule="auto"/>
              <w:jc w:val="center"/>
              <w:rPr>
                <w:rFonts w:eastAsia="Times New Roman" w:cstheme="minorHAnsi"/>
                <w:bCs/>
                <w:sz w:val="16"/>
                <w:szCs w:val="16"/>
              </w:rPr>
            </w:pPr>
            <w:r w:rsidRPr="00D53E0D">
              <w:rPr>
                <w:rFonts w:eastAsia="Times New Roman" w:cstheme="minorHAnsi"/>
                <w:bCs/>
                <w:sz w:val="16"/>
                <w:szCs w:val="16"/>
              </w:rPr>
              <w:t>(Phase 1)</w:t>
            </w:r>
          </w:p>
        </w:tc>
        <w:tc>
          <w:tcPr>
            <w:tcW w:w="1350" w:type="dxa"/>
          </w:tcPr>
          <w:p w14:paraId="50D42796" w14:textId="77777777" w:rsidR="005A5051" w:rsidRPr="00D53E0D" w:rsidRDefault="005A5051">
            <w:pPr>
              <w:spacing w:after="0" w:line="240" w:lineRule="auto"/>
              <w:jc w:val="center"/>
              <w:rPr>
                <w:rFonts w:eastAsia="Times New Roman" w:cstheme="minorHAnsi"/>
                <w:bCs/>
                <w:sz w:val="16"/>
                <w:szCs w:val="16"/>
              </w:rPr>
            </w:pPr>
            <w:r w:rsidRPr="00D53E0D">
              <w:rPr>
                <w:rFonts w:eastAsia="Times New Roman" w:cstheme="minorHAnsi"/>
                <w:bCs/>
                <w:sz w:val="16"/>
                <w:szCs w:val="16"/>
              </w:rPr>
              <w:t>Sep. 2025</w:t>
            </w:r>
          </w:p>
        </w:tc>
      </w:tr>
      <w:tr w:rsidR="005A5051" w:rsidRPr="00D53E0D" w14:paraId="75EAF81E" w14:textId="77777777" w:rsidTr="00D40A77">
        <w:trPr>
          <w:cantSplit/>
          <w:trHeight w:val="330"/>
        </w:trPr>
        <w:tc>
          <w:tcPr>
            <w:tcW w:w="10985" w:type="dxa"/>
            <w:gridSpan w:val="10"/>
            <w:shd w:val="clear" w:color="auto" w:fill="D9E1F2"/>
          </w:tcPr>
          <w:p w14:paraId="64604196" w14:textId="77777777" w:rsidR="005A5051" w:rsidRPr="00D53E0D" w:rsidRDefault="005A5051">
            <w:pPr>
              <w:spacing w:after="0" w:line="240" w:lineRule="auto"/>
              <w:jc w:val="left"/>
              <w:rPr>
                <w:rFonts w:eastAsia="Times New Roman" w:cstheme="minorHAnsi"/>
                <w:b/>
                <w:color w:val="000000"/>
                <w:sz w:val="16"/>
                <w:szCs w:val="16"/>
              </w:rPr>
            </w:pPr>
            <w:r w:rsidRPr="00D53E0D">
              <w:rPr>
                <w:rFonts w:eastAsia="Times New Roman" w:cstheme="minorHAnsi"/>
                <w:b/>
                <w:color w:val="000000"/>
                <w:sz w:val="16"/>
                <w:szCs w:val="16"/>
              </w:rPr>
              <w:t>Component 2: System Flexibility, Balancing, Stabilization and Strengthening Power Infrastructure</w:t>
            </w:r>
          </w:p>
        </w:tc>
        <w:tc>
          <w:tcPr>
            <w:tcW w:w="630" w:type="dxa"/>
            <w:shd w:val="clear" w:color="auto" w:fill="D9E1F2"/>
          </w:tcPr>
          <w:p w14:paraId="5BC0FD52" w14:textId="77777777" w:rsidR="005A5051" w:rsidRPr="00D53E0D" w:rsidRDefault="005A5051">
            <w:pPr>
              <w:spacing w:after="0" w:line="240" w:lineRule="auto"/>
              <w:jc w:val="left"/>
              <w:rPr>
                <w:rFonts w:eastAsia="Times New Roman" w:cstheme="minorHAnsi"/>
                <w:b/>
                <w:color w:val="000000"/>
                <w:sz w:val="16"/>
                <w:szCs w:val="16"/>
              </w:rPr>
            </w:pPr>
          </w:p>
        </w:tc>
        <w:tc>
          <w:tcPr>
            <w:tcW w:w="1350" w:type="dxa"/>
            <w:shd w:val="clear" w:color="auto" w:fill="D9E1F2"/>
          </w:tcPr>
          <w:p w14:paraId="15C306DD" w14:textId="77777777" w:rsidR="005A5051" w:rsidRPr="00D53E0D" w:rsidRDefault="005A5051">
            <w:pPr>
              <w:spacing w:after="0" w:line="240" w:lineRule="auto"/>
              <w:jc w:val="left"/>
              <w:rPr>
                <w:rFonts w:eastAsia="Times New Roman" w:cstheme="minorHAnsi"/>
                <w:b/>
                <w:color w:val="000000"/>
                <w:sz w:val="16"/>
                <w:szCs w:val="16"/>
              </w:rPr>
            </w:pPr>
          </w:p>
        </w:tc>
      </w:tr>
      <w:tr w:rsidR="005A5051" w:rsidRPr="00D53E0D" w14:paraId="07156FA2" w14:textId="77777777" w:rsidTr="005A5051">
        <w:trPr>
          <w:cantSplit/>
          <w:trHeight w:val="300"/>
        </w:trPr>
        <w:tc>
          <w:tcPr>
            <w:tcW w:w="1440" w:type="dxa"/>
            <w:shd w:val="clear" w:color="auto" w:fill="FFFFFF" w:themeFill="background1"/>
            <w:noWrap/>
            <w:vAlign w:val="bottom"/>
            <w:hideMark/>
          </w:tcPr>
          <w:p w14:paraId="523D7AB4" w14:textId="77777777" w:rsidR="005A5051" w:rsidRPr="00D53E0D" w:rsidRDefault="005A5051">
            <w:pPr>
              <w:spacing w:after="0" w:line="240" w:lineRule="auto"/>
              <w:jc w:val="left"/>
              <w:rPr>
                <w:rFonts w:eastAsia="Times New Roman" w:cstheme="minorHAnsi"/>
                <w:b/>
                <w:color w:val="000000"/>
                <w:sz w:val="16"/>
                <w:szCs w:val="16"/>
              </w:rPr>
            </w:pPr>
            <w:r w:rsidRPr="00D53E0D">
              <w:rPr>
                <w:rFonts w:eastAsia="Times New Roman" w:cstheme="minorHAnsi"/>
                <w:b/>
                <w:color w:val="000000"/>
                <w:sz w:val="16"/>
                <w:szCs w:val="16"/>
              </w:rPr>
              <w:t>System Flexibility, Balancing, Stabilization and Strengthening Power Infrastructure</w:t>
            </w:r>
            <w:r w:rsidRPr="00D53E0D" w:rsidDel="00167226">
              <w:rPr>
                <w:rFonts w:eastAsia="Times New Roman" w:cstheme="minorHAnsi"/>
                <w:b/>
                <w:color w:val="000000"/>
                <w:sz w:val="16"/>
                <w:szCs w:val="16"/>
              </w:rPr>
              <w:t xml:space="preserve"> </w:t>
            </w:r>
          </w:p>
          <w:p w14:paraId="1B992322" w14:textId="77777777" w:rsidR="005A5051" w:rsidRPr="00D53E0D" w:rsidRDefault="005A5051">
            <w:pPr>
              <w:spacing w:after="0" w:line="240" w:lineRule="auto"/>
              <w:jc w:val="left"/>
              <w:rPr>
                <w:rFonts w:eastAsia="Times New Roman" w:cstheme="minorHAnsi"/>
                <w:b/>
                <w:color w:val="000000"/>
                <w:sz w:val="16"/>
                <w:szCs w:val="16"/>
              </w:rPr>
            </w:pPr>
          </w:p>
        </w:tc>
        <w:tc>
          <w:tcPr>
            <w:tcW w:w="2700" w:type="dxa"/>
            <w:shd w:val="clear" w:color="auto" w:fill="FFFFFF" w:themeFill="background1"/>
            <w:vAlign w:val="bottom"/>
          </w:tcPr>
          <w:p w14:paraId="5CE59DBA" w14:textId="77777777" w:rsidR="005A5051" w:rsidRPr="00D53E0D" w:rsidRDefault="005A5051">
            <w:pPr>
              <w:spacing w:after="0" w:line="240" w:lineRule="auto"/>
              <w:jc w:val="left"/>
              <w:rPr>
                <w:rFonts w:eastAsia="Times New Roman" w:cstheme="minorHAnsi"/>
                <w:bCs/>
                <w:color w:val="000000"/>
                <w:sz w:val="16"/>
                <w:szCs w:val="16"/>
              </w:rPr>
            </w:pPr>
            <w:r w:rsidRPr="00D53E0D">
              <w:rPr>
                <w:rFonts w:eastAsia="Times New Roman" w:cstheme="minorHAnsi"/>
                <w:bCs/>
                <w:color w:val="000000"/>
                <w:sz w:val="16"/>
                <w:szCs w:val="16"/>
              </w:rPr>
              <w:t>Component 2A: Battery Storage</w:t>
            </w:r>
          </w:p>
          <w:p w14:paraId="6FE0C242" w14:textId="77777777" w:rsidR="005A5051" w:rsidRPr="00D53E0D" w:rsidRDefault="005A5051">
            <w:pPr>
              <w:spacing w:after="0" w:line="240" w:lineRule="auto"/>
              <w:jc w:val="left"/>
              <w:rPr>
                <w:rFonts w:eastAsia="Times New Roman" w:cstheme="minorHAnsi"/>
                <w:bCs/>
                <w:color w:val="000000"/>
                <w:sz w:val="16"/>
                <w:szCs w:val="16"/>
              </w:rPr>
            </w:pPr>
            <w:r w:rsidRPr="00D53E0D">
              <w:rPr>
                <w:rFonts w:eastAsia="Times New Roman" w:cstheme="minorHAnsi"/>
                <w:bCs/>
                <w:color w:val="000000"/>
                <w:sz w:val="16"/>
                <w:szCs w:val="16"/>
              </w:rPr>
              <w:t xml:space="preserve"> </w:t>
            </w:r>
          </w:p>
          <w:p w14:paraId="1C894814" w14:textId="77777777" w:rsidR="005A5051" w:rsidRPr="00D53E0D" w:rsidRDefault="005A5051">
            <w:pPr>
              <w:spacing w:after="0" w:line="240" w:lineRule="auto"/>
              <w:jc w:val="left"/>
              <w:rPr>
                <w:rFonts w:eastAsia="Times New Roman" w:cstheme="minorHAnsi"/>
                <w:bCs/>
                <w:color w:val="000000"/>
                <w:sz w:val="16"/>
                <w:szCs w:val="16"/>
              </w:rPr>
            </w:pPr>
            <w:r w:rsidRPr="00D53E0D">
              <w:rPr>
                <w:rFonts w:eastAsia="Times New Roman" w:cstheme="minorHAnsi"/>
                <w:bCs/>
                <w:color w:val="000000"/>
                <w:sz w:val="16"/>
                <w:szCs w:val="16"/>
              </w:rPr>
              <w:t>Component 2B: E-Mobility (EV Charging Stations)</w:t>
            </w:r>
          </w:p>
          <w:p w14:paraId="599EE288" w14:textId="77777777" w:rsidR="005A5051" w:rsidRPr="00D53E0D" w:rsidRDefault="005A5051">
            <w:pPr>
              <w:spacing w:after="0" w:line="240" w:lineRule="auto"/>
              <w:jc w:val="left"/>
              <w:rPr>
                <w:rFonts w:eastAsia="Times New Roman" w:cstheme="minorHAnsi"/>
                <w:bCs/>
                <w:color w:val="000000"/>
                <w:sz w:val="16"/>
                <w:szCs w:val="16"/>
              </w:rPr>
            </w:pPr>
          </w:p>
          <w:p w14:paraId="3F656F3F" w14:textId="77777777" w:rsidR="005A5051" w:rsidRPr="00D53E0D" w:rsidRDefault="005A5051">
            <w:pPr>
              <w:spacing w:after="0" w:line="240" w:lineRule="auto"/>
              <w:jc w:val="left"/>
              <w:rPr>
                <w:rFonts w:eastAsia="Times New Roman" w:cstheme="minorHAnsi"/>
                <w:bCs/>
                <w:color w:val="000000"/>
                <w:sz w:val="16"/>
                <w:szCs w:val="16"/>
              </w:rPr>
            </w:pPr>
            <w:r w:rsidRPr="00D53E0D">
              <w:rPr>
                <w:rFonts w:eastAsia="Times New Roman" w:cstheme="minorHAnsi"/>
                <w:bCs/>
                <w:color w:val="000000"/>
                <w:sz w:val="16"/>
                <w:szCs w:val="16"/>
              </w:rPr>
              <w:t>Component 2C: Digitalization of the Power Distribution Grid</w:t>
            </w:r>
          </w:p>
        </w:tc>
        <w:tc>
          <w:tcPr>
            <w:tcW w:w="725" w:type="dxa"/>
            <w:shd w:val="clear" w:color="auto" w:fill="FFFFFF" w:themeFill="background1"/>
            <w:noWrap/>
            <w:vAlign w:val="center"/>
            <w:hideMark/>
          </w:tcPr>
          <w:p w14:paraId="316996AF"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Investment</w:t>
            </w:r>
          </w:p>
        </w:tc>
        <w:tc>
          <w:tcPr>
            <w:tcW w:w="861" w:type="dxa"/>
            <w:noWrap/>
            <w:vAlign w:val="center"/>
            <w:hideMark/>
          </w:tcPr>
          <w:p w14:paraId="3AC68666"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EBRD &amp; IFC</w:t>
            </w:r>
          </w:p>
        </w:tc>
        <w:tc>
          <w:tcPr>
            <w:tcW w:w="1043" w:type="dxa"/>
            <w:noWrap/>
            <w:vAlign w:val="center"/>
            <w:hideMark/>
          </w:tcPr>
          <w:p w14:paraId="6D1ED430"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EBRD: 150</w:t>
            </w:r>
            <w:r w:rsidRPr="00D53E0D">
              <w:rPr>
                <w:rFonts w:eastAsia="Times New Roman" w:cstheme="minorHAnsi"/>
                <w:bCs/>
                <w:color w:val="000000"/>
                <w:sz w:val="16"/>
                <w:szCs w:val="16"/>
              </w:rPr>
              <w:br/>
            </w:r>
            <w:r w:rsidRPr="00D53E0D">
              <w:rPr>
                <w:rFonts w:eastAsia="Times New Roman" w:cstheme="minorHAnsi"/>
                <w:bCs/>
                <w:color w:val="000000"/>
                <w:sz w:val="16"/>
                <w:szCs w:val="16"/>
              </w:rPr>
              <w:br/>
              <w:t>IFC: 150</w:t>
            </w:r>
          </w:p>
        </w:tc>
        <w:tc>
          <w:tcPr>
            <w:tcW w:w="976" w:type="dxa"/>
            <w:shd w:val="clear" w:color="auto" w:fill="auto"/>
            <w:noWrap/>
            <w:vAlign w:val="center"/>
            <w:hideMark/>
          </w:tcPr>
          <w:p w14:paraId="52BF2D2C"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themeColor="text1"/>
                <w:sz w:val="16"/>
                <w:szCs w:val="16"/>
              </w:rPr>
              <w:t>EBRD: 15</w:t>
            </w:r>
            <w:r w:rsidRPr="00D53E0D">
              <w:rPr>
                <w:rFonts w:cstheme="minorHAnsi"/>
                <w:bCs/>
                <w:sz w:val="16"/>
                <w:szCs w:val="16"/>
              </w:rPr>
              <w:br/>
            </w:r>
            <w:r w:rsidRPr="00D53E0D">
              <w:rPr>
                <w:rFonts w:cstheme="minorHAnsi"/>
                <w:bCs/>
                <w:sz w:val="16"/>
                <w:szCs w:val="16"/>
              </w:rPr>
              <w:br/>
            </w:r>
            <w:r w:rsidRPr="00D53E0D">
              <w:rPr>
                <w:rFonts w:eastAsia="Times New Roman" w:cstheme="minorHAnsi"/>
                <w:bCs/>
                <w:color w:val="000000" w:themeColor="text1"/>
                <w:sz w:val="16"/>
                <w:szCs w:val="16"/>
              </w:rPr>
              <w:t>IFC: 15</w:t>
            </w:r>
          </w:p>
        </w:tc>
        <w:tc>
          <w:tcPr>
            <w:tcW w:w="929" w:type="dxa"/>
            <w:shd w:val="clear" w:color="auto" w:fill="auto"/>
          </w:tcPr>
          <w:p w14:paraId="0B34D504" w14:textId="77777777" w:rsidR="005A5051" w:rsidRPr="005A5051" w:rsidRDefault="005A5051">
            <w:pPr>
              <w:spacing w:after="0" w:line="240" w:lineRule="auto"/>
              <w:jc w:val="center"/>
              <w:rPr>
                <w:rFonts w:eastAsia="Times New Roman" w:cstheme="minorHAnsi"/>
                <w:bCs/>
                <w:color w:val="000000"/>
                <w:sz w:val="16"/>
                <w:szCs w:val="16"/>
              </w:rPr>
            </w:pPr>
          </w:p>
        </w:tc>
        <w:tc>
          <w:tcPr>
            <w:tcW w:w="810" w:type="dxa"/>
            <w:shd w:val="clear" w:color="auto" w:fill="auto"/>
            <w:noWrap/>
            <w:vAlign w:val="center"/>
            <w:hideMark/>
          </w:tcPr>
          <w:p w14:paraId="04DCC0BD" w14:textId="77777777" w:rsidR="005A5051" w:rsidRPr="005A5051" w:rsidRDefault="005A5051">
            <w:pPr>
              <w:spacing w:after="0" w:line="240" w:lineRule="auto"/>
              <w:jc w:val="center"/>
              <w:rPr>
                <w:rFonts w:eastAsia="Times New Roman" w:cstheme="minorHAnsi"/>
                <w:bCs/>
                <w:color w:val="000000"/>
                <w:sz w:val="16"/>
                <w:szCs w:val="16"/>
              </w:rPr>
            </w:pPr>
            <w:r w:rsidRPr="005A5051">
              <w:rPr>
                <w:rFonts w:eastAsia="Times New Roman" w:cstheme="minorHAnsi"/>
                <w:bCs/>
                <w:color w:val="000000"/>
                <w:sz w:val="16"/>
                <w:szCs w:val="16"/>
              </w:rPr>
              <w:t>TBD</w:t>
            </w:r>
            <w:r w:rsidRPr="005A5051">
              <w:rPr>
                <w:rStyle w:val="FootnoteReference"/>
                <w:rFonts w:eastAsia="Times New Roman" w:cstheme="minorHAnsi"/>
                <w:bCs/>
                <w:color w:val="000000"/>
                <w:sz w:val="16"/>
                <w:szCs w:val="16"/>
              </w:rPr>
              <w:footnoteReference w:id="29"/>
            </w:r>
          </w:p>
        </w:tc>
        <w:tc>
          <w:tcPr>
            <w:tcW w:w="810" w:type="dxa"/>
            <w:shd w:val="clear" w:color="auto" w:fill="auto"/>
            <w:noWrap/>
            <w:vAlign w:val="center"/>
            <w:hideMark/>
          </w:tcPr>
          <w:p w14:paraId="23DAD4AD" w14:textId="77777777" w:rsidR="005A5051" w:rsidRPr="005A5051" w:rsidRDefault="005A5051">
            <w:pPr>
              <w:spacing w:after="0" w:line="240" w:lineRule="auto"/>
              <w:jc w:val="center"/>
              <w:rPr>
                <w:rFonts w:eastAsia="Times New Roman" w:cstheme="minorHAnsi"/>
                <w:bCs/>
                <w:color w:val="000000"/>
                <w:sz w:val="16"/>
                <w:szCs w:val="16"/>
              </w:rPr>
            </w:pPr>
            <w:r w:rsidRPr="005A5051">
              <w:rPr>
                <w:rFonts w:eastAsia="Times New Roman" w:cstheme="minorHAnsi"/>
                <w:bCs/>
                <w:color w:val="000000"/>
                <w:sz w:val="16"/>
                <w:szCs w:val="16"/>
              </w:rPr>
              <w:t>TBD</w:t>
            </w:r>
          </w:p>
        </w:tc>
        <w:tc>
          <w:tcPr>
            <w:tcW w:w="691" w:type="dxa"/>
            <w:shd w:val="clear" w:color="auto" w:fill="auto"/>
            <w:noWrap/>
            <w:vAlign w:val="center"/>
            <w:hideMark/>
          </w:tcPr>
          <w:p w14:paraId="1D1DA54D" w14:textId="77777777" w:rsidR="005A5051" w:rsidRPr="005A5051" w:rsidRDefault="005A5051">
            <w:pPr>
              <w:spacing w:after="0" w:line="240" w:lineRule="auto"/>
              <w:jc w:val="center"/>
              <w:rPr>
                <w:rFonts w:eastAsia="Times New Roman" w:cstheme="minorHAnsi"/>
                <w:bCs/>
                <w:color w:val="000000"/>
                <w:sz w:val="16"/>
                <w:szCs w:val="16"/>
              </w:rPr>
            </w:pPr>
            <w:r w:rsidRPr="005A5051">
              <w:rPr>
                <w:rFonts w:eastAsia="Times New Roman" w:cstheme="minorHAnsi"/>
                <w:bCs/>
                <w:color w:val="000000"/>
                <w:sz w:val="16"/>
                <w:szCs w:val="16"/>
              </w:rPr>
              <w:t>EBRD: 165</w:t>
            </w:r>
          </w:p>
          <w:p w14:paraId="155B3425" w14:textId="77777777" w:rsidR="005A5051" w:rsidRPr="005A5051" w:rsidRDefault="005A5051">
            <w:pPr>
              <w:spacing w:after="0" w:line="240" w:lineRule="auto"/>
              <w:jc w:val="center"/>
              <w:rPr>
                <w:rFonts w:eastAsia="Times New Roman" w:cstheme="minorHAnsi"/>
                <w:bCs/>
                <w:color w:val="000000"/>
                <w:sz w:val="16"/>
                <w:szCs w:val="16"/>
              </w:rPr>
            </w:pPr>
          </w:p>
          <w:p w14:paraId="66EC399E" w14:textId="77777777" w:rsidR="005A5051" w:rsidRPr="005A5051" w:rsidRDefault="005A5051">
            <w:pPr>
              <w:spacing w:after="0" w:line="240" w:lineRule="auto"/>
              <w:jc w:val="center"/>
              <w:rPr>
                <w:rFonts w:eastAsia="Times New Roman" w:cstheme="minorHAnsi"/>
                <w:bCs/>
                <w:color w:val="000000"/>
                <w:sz w:val="16"/>
                <w:szCs w:val="16"/>
              </w:rPr>
            </w:pPr>
            <w:r w:rsidRPr="005A5051">
              <w:rPr>
                <w:rFonts w:eastAsia="Times New Roman" w:cstheme="minorHAnsi"/>
                <w:bCs/>
                <w:color w:val="000000"/>
                <w:sz w:val="16"/>
                <w:szCs w:val="16"/>
              </w:rPr>
              <w:t>IFC: 165</w:t>
            </w:r>
          </w:p>
        </w:tc>
        <w:tc>
          <w:tcPr>
            <w:tcW w:w="630" w:type="dxa"/>
            <w:shd w:val="clear" w:color="auto" w:fill="auto"/>
          </w:tcPr>
          <w:p w14:paraId="0F6B5BDC" w14:textId="77777777" w:rsidR="005A5051" w:rsidRPr="005A5051" w:rsidRDefault="005A5051">
            <w:pPr>
              <w:spacing w:after="0" w:line="240" w:lineRule="auto"/>
              <w:jc w:val="center"/>
              <w:rPr>
                <w:rFonts w:eastAsia="Times New Roman" w:cstheme="minorHAnsi"/>
                <w:bCs/>
                <w:color w:val="000000"/>
                <w:sz w:val="16"/>
                <w:szCs w:val="16"/>
              </w:rPr>
            </w:pPr>
          </w:p>
        </w:tc>
        <w:tc>
          <w:tcPr>
            <w:tcW w:w="1350" w:type="dxa"/>
            <w:shd w:val="clear" w:color="auto" w:fill="auto"/>
          </w:tcPr>
          <w:p w14:paraId="24AFCB42" w14:textId="77777777" w:rsidR="005A5051" w:rsidRPr="00D53E0D" w:rsidRDefault="005A5051">
            <w:pPr>
              <w:spacing w:after="0" w:line="240" w:lineRule="auto"/>
              <w:jc w:val="center"/>
              <w:rPr>
                <w:rFonts w:eastAsia="Times New Roman" w:cstheme="minorHAnsi"/>
                <w:b/>
                <w:color w:val="000000"/>
                <w:sz w:val="16"/>
                <w:szCs w:val="16"/>
              </w:rPr>
            </w:pPr>
          </w:p>
        </w:tc>
      </w:tr>
      <w:tr w:rsidR="005A5051" w:rsidRPr="00D53E0D" w14:paraId="1A233B63" w14:textId="77777777" w:rsidTr="00D40A77">
        <w:trPr>
          <w:cantSplit/>
          <w:trHeight w:val="300"/>
        </w:trPr>
        <w:tc>
          <w:tcPr>
            <w:tcW w:w="10985" w:type="dxa"/>
            <w:gridSpan w:val="10"/>
            <w:shd w:val="clear" w:color="auto" w:fill="D9E1F2"/>
          </w:tcPr>
          <w:p w14:paraId="5C68465C" w14:textId="77777777" w:rsidR="005A5051" w:rsidRPr="00D53E0D" w:rsidRDefault="005A5051">
            <w:pPr>
              <w:spacing w:after="0" w:line="240" w:lineRule="auto"/>
              <w:jc w:val="left"/>
              <w:rPr>
                <w:rFonts w:eastAsia="Times New Roman" w:cstheme="minorHAnsi"/>
                <w:b/>
                <w:color w:val="000000"/>
                <w:sz w:val="16"/>
                <w:szCs w:val="16"/>
              </w:rPr>
            </w:pPr>
            <w:r w:rsidRPr="00D53E0D">
              <w:rPr>
                <w:rFonts w:eastAsia="Times New Roman" w:cstheme="minorHAnsi"/>
                <w:b/>
                <w:color w:val="000000"/>
                <w:sz w:val="16"/>
                <w:szCs w:val="16"/>
              </w:rPr>
              <w:t>Component 3: Technical Assistance*</w:t>
            </w:r>
            <w:r w:rsidRPr="00D53E0D">
              <w:rPr>
                <w:rStyle w:val="FootnoteReference"/>
                <w:rFonts w:eastAsia="Times New Roman" w:cstheme="minorHAnsi"/>
                <w:b/>
                <w:color w:val="000000"/>
                <w:sz w:val="16"/>
                <w:szCs w:val="16"/>
              </w:rPr>
              <w:footnoteReference w:id="30"/>
            </w:r>
          </w:p>
        </w:tc>
        <w:tc>
          <w:tcPr>
            <w:tcW w:w="630" w:type="dxa"/>
            <w:shd w:val="clear" w:color="auto" w:fill="D9E1F2"/>
          </w:tcPr>
          <w:p w14:paraId="27600D37" w14:textId="77777777" w:rsidR="005A5051" w:rsidRPr="00D53E0D" w:rsidRDefault="005A5051">
            <w:pPr>
              <w:spacing w:after="0" w:line="240" w:lineRule="auto"/>
              <w:jc w:val="left"/>
              <w:rPr>
                <w:rFonts w:eastAsia="Times New Roman" w:cstheme="minorHAnsi"/>
                <w:b/>
                <w:color w:val="000000"/>
                <w:sz w:val="16"/>
                <w:szCs w:val="16"/>
              </w:rPr>
            </w:pPr>
          </w:p>
        </w:tc>
        <w:tc>
          <w:tcPr>
            <w:tcW w:w="1350" w:type="dxa"/>
            <w:shd w:val="clear" w:color="auto" w:fill="D9E1F2"/>
          </w:tcPr>
          <w:p w14:paraId="2AE7CFFF" w14:textId="77777777" w:rsidR="005A5051" w:rsidRPr="00D53E0D" w:rsidRDefault="005A5051">
            <w:pPr>
              <w:spacing w:after="0" w:line="240" w:lineRule="auto"/>
              <w:jc w:val="left"/>
              <w:rPr>
                <w:rFonts w:eastAsia="Times New Roman" w:cstheme="minorHAnsi"/>
                <w:b/>
                <w:color w:val="000000"/>
                <w:sz w:val="16"/>
                <w:szCs w:val="16"/>
              </w:rPr>
            </w:pPr>
          </w:p>
        </w:tc>
      </w:tr>
      <w:tr w:rsidR="005A5051" w:rsidRPr="00D53E0D" w14:paraId="42138DED" w14:textId="77777777" w:rsidTr="00D40A77">
        <w:trPr>
          <w:cantSplit/>
          <w:trHeight w:val="330"/>
        </w:trPr>
        <w:tc>
          <w:tcPr>
            <w:tcW w:w="1440" w:type="dxa"/>
            <w:vMerge w:val="restart"/>
            <w:shd w:val="clear" w:color="auto" w:fill="FFFFFF" w:themeFill="background1"/>
            <w:noWrap/>
            <w:vAlign w:val="bottom"/>
            <w:hideMark/>
          </w:tcPr>
          <w:p w14:paraId="54A9FEF5" w14:textId="77777777" w:rsidR="005A5051" w:rsidRPr="00D53E0D" w:rsidRDefault="005A5051">
            <w:pPr>
              <w:spacing w:after="0" w:line="240" w:lineRule="auto"/>
              <w:jc w:val="left"/>
              <w:rPr>
                <w:rFonts w:eastAsia="Times New Roman" w:cstheme="minorHAnsi"/>
                <w:b/>
                <w:color w:val="000000"/>
                <w:sz w:val="16"/>
                <w:szCs w:val="16"/>
              </w:rPr>
            </w:pPr>
            <w:r w:rsidRPr="00D53E0D">
              <w:rPr>
                <w:rFonts w:eastAsia="Times New Roman" w:cstheme="minorHAnsi"/>
                <w:b/>
                <w:color w:val="000000"/>
                <w:sz w:val="16"/>
                <w:szCs w:val="16"/>
              </w:rPr>
              <w:t>System Flexibility, Balancing and Security of Supply</w:t>
            </w:r>
          </w:p>
          <w:p w14:paraId="18A6ED79" w14:textId="77777777" w:rsidR="005A5051" w:rsidRPr="00D53E0D" w:rsidRDefault="005A5051">
            <w:pPr>
              <w:spacing w:after="0" w:line="240" w:lineRule="auto"/>
              <w:jc w:val="left"/>
              <w:rPr>
                <w:rFonts w:eastAsia="Times New Roman" w:cstheme="minorHAnsi"/>
                <w:b/>
                <w:color w:val="000000"/>
                <w:sz w:val="16"/>
                <w:szCs w:val="16"/>
              </w:rPr>
            </w:pPr>
          </w:p>
        </w:tc>
        <w:tc>
          <w:tcPr>
            <w:tcW w:w="2700" w:type="dxa"/>
            <w:shd w:val="clear" w:color="auto" w:fill="FFFFFF" w:themeFill="background1"/>
            <w:noWrap/>
            <w:vAlign w:val="bottom"/>
            <w:hideMark/>
          </w:tcPr>
          <w:p w14:paraId="56F10715" w14:textId="77777777" w:rsidR="005A5051" w:rsidRPr="00D53E0D" w:rsidRDefault="005A5051">
            <w:pPr>
              <w:spacing w:after="0" w:line="240" w:lineRule="auto"/>
              <w:jc w:val="left"/>
              <w:rPr>
                <w:rFonts w:eastAsia="Times New Roman" w:cstheme="minorHAnsi"/>
                <w:bCs/>
                <w:color w:val="000000"/>
                <w:sz w:val="16"/>
                <w:szCs w:val="16"/>
              </w:rPr>
            </w:pPr>
            <w:r w:rsidRPr="00D53E0D">
              <w:rPr>
                <w:rFonts w:eastAsia="Times New Roman" w:cstheme="minorHAnsi"/>
                <w:bCs/>
                <w:color w:val="000000"/>
                <w:sz w:val="16"/>
                <w:szCs w:val="16"/>
              </w:rPr>
              <w:t>Component 3A: Pumped Hydro Storage</w:t>
            </w:r>
          </w:p>
        </w:tc>
        <w:tc>
          <w:tcPr>
            <w:tcW w:w="725" w:type="dxa"/>
            <w:shd w:val="clear" w:color="auto" w:fill="FFFFFF" w:themeFill="background1"/>
            <w:noWrap/>
            <w:vAlign w:val="center"/>
            <w:hideMark/>
          </w:tcPr>
          <w:p w14:paraId="77A99F72"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TA</w:t>
            </w:r>
          </w:p>
        </w:tc>
        <w:tc>
          <w:tcPr>
            <w:tcW w:w="861" w:type="dxa"/>
            <w:noWrap/>
            <w:vAlign w:val="center"/>
            <w:hideMark/>
          </w:tcPr>
          <w:p w14:paraId="4156CB0E"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WB</w:t>
            </w:r>
          </w:p>
        </w:tc>
        <w:tc>
          <w:tcPr>
            <w:tcW w:w="1043" w:type="dxa"/>
            <w:noWrap/>
            <w:vAlign w:val="center"/>
            <w:hideMark/>
          </w:tcPr>
          <w:p w14:paraId="39B8AEA1"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themeColor="text1"/>
                <w:sz w:val="16"/>
                <w:szCs w:val="16"/>
              </w:rPr>
              <w:t>600</w:t>
            </w:r>
          </w:p>
        </w:tc>
        <w:tc>
          <w:tcPr>
            <w:tcW w:w="976" w:type="dxa"/>
            <w:shd w:val="clear" w:color="auto" w:fill="auto"/>
            <w:noWrap/>
            <w:vAlign w:val="center"/>
            <w:hideMark/>
          </w:tcPr>
          <w:p w14:paraId="7D102875"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w:t>
            </w:r>
          </w:p>
        </w:tc>
        <w:tc>
          <w:tcPr>
            <w:tcW w:w="929" w:type="dxa"/>
            <w:shd w:val="clear" w:color="auto" w:fill="auto"/>
          </w:tcPr>
          <w:p w14:paraId="6FED05C4" w14:textId="77777777" w:rsidR="005A5051" w:rsidRPr="00D53E0D" w:rsidRDefault="005A5051">
            <w:pPr>
              <w:spacing w:after="0" w:line="240" w:lineRule="auto"/>
              <w:jc w:val="center"/>
              <w:rPr>
                <w:rFonts w:eastAsia="Times New Roman" w:cstheme="minorHAnsi"/>
                <w:bCs/>
                <w:color w:val="000000"/>
                <w:sz w:val="16"/>
                <w:szCs w:val="16"/>
              </w:rPr>
            </w:pPr>
          </w:p>
        </w:tc>
        <w:tc>
          <w:tcPr>
            <w:tcW w:w="810" w:type="dxa"/>
            <w:shd w:val="clear" w:color="auto" w:fill="auto"/>
            <w:noWrap/>
            <w:vAlign w:val="center"/>
            <w:hideMark/>
          </w:tcPr>
          <w:p w14:paraId="73031461" w14:textId="77777777" w:rsidR="005A5051" w:rsidRPr="00D53E0D" w:rsidRDefault="005A5051">
            <w:pPr>
              <w:spacing w:after="0" w:line="240" w:lineRule="auto"/>
              <w:jc w:val="center"/>
              <w:rPr>
                <w:rFonts w:eastAsia="Times New Roman" w:cstheme="minorHAnsi"/>
                <w:bCs/>
                <w:color w:val="000000"/>
                <w:sz w:val="16"/>
                <w:szCs w:val="16"/>
              </w:rPr>
            </w:pPr>
          </w:p>
        </w:tc>
        <w:tc>
          <w:tcPr>
            <w:tcW w:w="810" w:type="dxa"/>
            <w:shd w:val="clear" w:color="auto" w:fill="auto"/>
            <w:noWrap/>
            <w:vAlign w:val="center"/>
            <w:hideMark/>
          </w:tcPr>
          <w:p w14:paraId="5831C7E5" w14:textId="77777777" w:rsidR="005A5051" w:rsidRPr="00D53E0D" w:rsidRDefault="005A5051">
            <w:pPr>
              <w:spacing w:after="0" w:line="240" w:lineRule="auto"/>
              <w:jc w:val="center"/>
              <w:rPr>
                <w:rFonts w:eastAsia="Times New Roman" w:cstheme="minorHAnsi"/>
                <w:bCs/>
                <w:sz w:val="16"/>
                <w:szCs w:val="16"/>
              </w:rPr>
            </w:pPr>
          </w:p>
        </w:tc>
        <w:tc>
          <w:tcPr>
            <w:tcW w:w="691" w:type="dxa"/>
            <w:shd w:val="clear" w:color="auto" w:fill="auto"/>
            <w:noWrap/>
            <w:vAlign w:val="center"/>
            <w:hideMark/>
          </w:tcPr>
          <w:p w14:paraId="08CE835F"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600</w:t>
            </w:r>
          </w:p>
        </w:tc>
        <w:tc>
          <w:tcPr>
            <w:tcW w:w="630" w:type="dxa"/>
          </w:tcPr>
          <w:p w14:paraId="75928B8E"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Jan. 2028</w:t>
            </w:r>
          </w:p>
        </w:tc>
        <w:tc>
          <w:tcPr>
            <w:tcW w:w="1350" w:type="dxa"/>
          </w:tcPr>
          <w:p w14:paraId="1200C1B2"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Mar. 2028</w:t>
            </w:r>
          </w:p>
        </w:tc>
      </w:tr>
      <w:tr w:rsidR="005A5051" w:rsidRPr="00D53E0D" w14:paraId="0D58C29B" w14:textId="77777777" w:rsidTr="00D40A77">
        <w:trPr>
          <w:cantSplit/>
          <w:trHeight w:val="255"/>
        </w:trPr>
        <w:tc>
          <w:tcPr>
            <w:tcW w:w="1440" w:type="dxa"/>
            <w:vMerge/>
            <w:shd w:val="clear" w:color="auto" w:fill="FFFFFF" w:themeFill="background1"/>
            <w:noWrap/>
            <w:vAlign w:val="bottom"/>
            <w:hideMark/>
          </w:tcPr>
          <w:p w14:paraId="033882C9" w14:textId="77777777" w:rsidR="005A5051" w:rsidRPr="00D53E0D" w:rsidRDefault="005A5051">
            <w:pPr>
              <w:spacing w:after="0" w:line="240" w:lineRule="auto"/>
              <w:jc w:val="left"/>
              <w:rPr>
                <w:rFonts w:eastAsia="Times New Roman" w:cstheme="minorHAnsi"/>
                <w:b/>
                <w:color w:val="000000"/>
                <w:sz w:val="16"/>
                <w:szCs w:val="16"/>
              </w:rPr>
            </w:pPr>
          </w:p>
        </w:tc>
        <w:tc>
          <w:tcPr>
            <w:tcW w:w="2700" w:type="dxa"/>
            <w:shd w:val="clear" w:color="auto" w:fill="FFFFFF" w:themeFill="background1"/>
            <w:noWrap/>
            <w:vAlign w:val="bottom"/>
            <w:hideMark/>
          </w:tcPr>
          <w:p w14:paraId="29FE09A6" w14:textId="77777777" w:rsidR="005A5051" w:rsidRPr="00D53E0D" w:rsidRDefault="005A5051">
            <w:pPr>
              <w:spacing w:after="0" w:line="240" w:lineRule="auto"/>
              <w:jc w:val="left"/>
              <w:rPr>
                <w:rFonts w:eastAsia="Times New Roman" w:cstheme="minorHAnsi"/>
                <w:bCs/>
                <w:color w:val="000000"/>
                <w:sz w:val="16"/>
                <w:szCs w:val="16"/>
              </w:rPr>
            </w:pPr>
            <w:r w:rsidRPr="00D53E0D">
              <w:rPr>
                <w:rFonts w:eastAsia="Times New Roman" w:cstheme="minorHAnsi"/>
                <w:bCs/>
                <w:color w:val="000000"/>
                <w:sz w:val="16"/>
                <w:szCs w:val="16"/>
              </w:rPr>
              <w:t>Component 3B: Hydropower energy efficiency</w:t>
            </w:r>
          </w:p>
        </w:tc>
        <w:tc>
          <w:tcPr>
            <w:tcW w:w="725" w:type="dxa"/>
            <w:shd w:val="clear" w:color="auto" w:fill="FFFFFF" w:themeFill="background1"/>
            <w:noWrap/>
            <w:vAlign w:val="center"/>
            <w:hideMark/>
          </w:tcPr>
          <w:p w14:paraId="11C4FABA"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TA</w:t>
            </w:r>
          </w:p>
        </w:tc>
        <w:tc>
          <w:tcPr>
            <w:tcW w:w="861" w:type="dxa"/>
            <w:noWrap/>
            <w:vAlign w:val="center"/>
            <w:hideMark/>
          </w:tcPr>
          <w:p w14:paraId="4CD37EBF"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WB</w:t>
            </w:r>
          </w:p>
        </w:tc>
        <w:tc>
          <w:tcPr>
            <w:tcW w:w="1043" w:type="dxa"/>
            <w:noWrap/>
            <w:vAlign w:val="center"/>
            <w:hideMark/>
          </w:tcPr>
          <w:p w14:paraId="68B242AC"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themeColor="text1"/>
                <w:sz w:val="16"/>
                <w:szCs w:val="16"/>
              </w:rPr>
              <w:t>300</w:t>
            </w:r>
          </w:p>
        </w:tc>
        <w:tc>
          <w:tcPr>
            <w:tcW w:w="976" w:type="dxa"/>
            <w:shd w:val="clear" w:color="auto" w:fill="auto"/>
            <w:noWrap/>
            <w:vAlign w:val="center"/>
            <w:hideMark/>
          </w:tcPr>
          <w:p w14:paraId="19B49FCC"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w:t>
            </w:r>
          </w:p>
        </w:tc>
        <w:tc>
          <w:tcPr>
            <w:tcW w:w="929" w:type="dxa"/>
            <w:shd w:val="clear" w:color="auto" w:fill="auto"/>
          </w:tcPr>
          <w:p w14:paraId="41630A62" w14:textId="77777777" w:rsidR="005A5051" w:rsidRPr="00D53E0D" w:rsidRDefault="005A5051">
            <w:pPr>
              <w:spacing w:after="0" w:line="240" w:lineRule="auto"/>
              <w:jc w:val="center"/>
              <w:rPr>
                <w:rFonts w:eastAsia="Times New Roman" w:cstheme="minorHAnsi"/>
                <w:bCs/>
                <w:color w:val="000000"/>
                <w:sz w:val="16"/>
                <w:szCs w:val="16"/>
              </w:rPr>
            </w:pPr>
          </w:p>
        </w:tc>
        <w:tc>
          <w:tcPr>
            <w:tcW w:w="810" w:type="dxa"/>
            <w:shd w:val="clear" w:color="auto" w:fill="auto"/>
            <w:noWrap/>
            <w:vAlign w:val="center"/>
            <w:hideMark/>
          </w:tcPr>
          <w:p w14:paraId="0F923110" w14:textId="77777777" w:rsidR="005A5051" w:rsidRPr="00D53E0D" w:rsidRDefault="005A5051">
            <w:pPr>
              <w:spacing w:after="0" w:line="240" w:lineRule="auto"/>
              <w:jc w:val="center"/>
              <w:rPr>
                <w:rFonts w:eastAsia="Times New Roman" w:cstheme="minorHAnsi"/>
                <w:bCs/>
                <w:color w:val="000000"/>
                <w:sz w:val="16"/>
                <w:szCs w:val="16"/>
              </w:rPr>
            </w:pPr>
          </w:p>
        </w:tc>
        <w:tc>
          <w:tcPr>
            <w:tcW w:w="810" w:type="dxa"/>
            <w:shd w:val="clear" w:color="auto" w:fill="auto"/>
            <w:noWrap/>
            <w:vAlign w:val="center"/>
            <w:hideMark/>
          </w:tcPr>
          <w:p w14:paraId="7670F605" w14:textId="77777777" w:rsidR="005A5051" w:rsidRPr="00D53E0D" w:rsidRDefault="005A5051">
            <w:pPr>
              <w:spacing w:after="0" w:line="240" w:lineRule="auto"/>
              <w:jc w:val="center"/>
              <w:rPr>
                <w:rFonts w:eastAsia="Times New Roman" w:cstheme="minorHAnsi"/>
                <w:bCs/>
                <w:sz w:val="16"/>
                <w:szCs w:val="16"/>
              </w:rPr>
            </w:pPr>
          </w:p>
        </w:tc>
        <w:tc>
          <w:tcPr>
            <w:tcW w:w="691" w:type="dxa"/>
            <w:shd w:val="clear" w:color="auto" w:fill="auto"/>
            <w:noWrap/>
            <w:vAlign w:val="center"/>
            <w:hideMark/>
          </w:tcPr>
          <w:p w14:paraId="669B1B65"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300</w:t>
            </w:r>
          </w:p>
        </w:tc>
        <w:tc>
          <w:tcPr>
            <w:tcW w:w="630" w:type="dxa"/>
          </w:tcPr>
          <w:p w14:paraId="6776DC03"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Jan. 2026</w:t>
            </w:r>
          </w:p>
        </w:tc>
        <w:tc>
          <w:tcPr>
            <w:tcW w:w="1350" w:type="dxa"/>
          </w:tcPr>
          <w:p w14:paraId="55E355A0" w14:textId="77777777" w:rsidR="005A5051" w:rsidRPr="00D53E0D" w:rsidRDefault="005A5051">
            <w:pPr>
              <w:spacing w:after="0" w:line="240" w:lineRule="auto"/>
              <w:jc w:val="center"/>
              <w:rPr>
                <w:rFonts w:eastAsia="Times New Roman" w:cstheme="minorHAnsi"/>
                <w:bCs/>
                <w:color w:val="000000"/>
                <w:sz w:val="16"/>
                <w:szCs w:val="16"/>
              </w:rPr>
            </w:pPr>
            <w:r w:rsidRPr="00D53E0D">
              <w:rPr>
                <w:rFonts w:eastAsia="Times New Roman" w:cstheme="minorHAnsi"/>
                <w:bCs/>
                <w:color w:val="000000"/>
                <w:sz w:val="16"/>
                <w:szCs w:val="16"/>
              </w:rPr>
              <w:t>Mar. 2026</w:t>
            </w:r>
          </w:p>
        </w:tc>
      </w:tr>
      <w:tr w:rsidR="005A5051" w:rsidRPr="00D53E0D" w14:paraId="6CD73C66" w14:textId="77777777" w:rsidTr="00D40A77">
        <w:trPr>
          <w:cantSplit/>
          <w:trHeight w:val="375"/>
        </w:trPr>
        <w:tc>
          <w:tcPr>
            <w:tcW w:w="1440" w:type="dxa"/>
            <w:shd w:val="clear" w:color="auto" w:fill="FFF2CC" w:themeFill="accent4" w:themeFillTint="33"/>
            <w:noWrap/>
            <w:vAlign w:val="bottom"/>
            <w:hideMark/>
          </w:tcPr>
          <w:p w14:paraId="212E61DE" w14:textId="77777777" w:rsidR="005A5051" w:rsidRPr="00D53E0D" w:rsidRDefault="005A5051">
            <w:pPr>
              <w:spacing w:after="0" w:line="240" w:lineRule="auto"/>
              <w:jc w:val="left"/>
              <w:rPr>
                <w:rFonts w:eastAsia="Times New Roman" w:cstheme="minorHAnsi"/>
                <w:b/>
                <w:color w:val="000000"/>
                <w:sz w:val="16"/>
                <w:szCs w:val="16"/>
              </w:rPr>
            </w:pPr>
            <w:r w:rsidRPr="00D53E0D">
              <w:rPr>
                <w:rFonts w:eastAsia="Times New Roman" w:cstheme="minorHAnsi"/>
                <w:b/>
                <w:color w:val="000000"/>
                <w:sz w:val="16"/>
                <w:szCs w:val="16"/>
              </w:rPr>
              <w:t>IP TOTAL</w:t>
            </w:r>
          </w:p>
        </w:tc>
        <w:tc>
          <w:tcPr>
            <w:tcW w:w="2700" w:type="dxa"/>
            <w:shd w:val="clear" w:color="auto" w:fill="FFF2CC" w:themeFill="accent4" w:themeFillTint="33"/>
            <w:noWrap/>
            <w:vAlign w:val="bottom"/>
            <w:hideMark/>
          </w:tcPr>
          <w:p w14:paraId="0B6D45E9" w14:textId="77777777" w:rsidR="005A5051" w:rsidRPr="00D53E0D" w:rsidRDefault="005A5051">
            <w:pPr>
              <w:spacing w:after="0" w:line="240" w:lineRule="auto"/>
              <w:jc w:val="left"/>
              <w:rPr>
                <w:rFonts w:eastAsia="Times New Roman" w:cstheme="minorHAnsi"/>
                <w:b/>
                <w:color w:val="000000"/>
                <w:sz w:val="16"/>
                <w:szCs w:val="16"/>
              </w:rPr>
            </w:pPr>
          </w:p>
        </w:tc>
        <w:tc>
          <w:tcPr>
            <w:tcW w:w="725" w:type="dxa"/>
            <w:shd w:val="clear" w:color="auto" w:fill="FFF2CC" w:themeFill="accent4" w:themeFillTint="33"/>
            <w:noWrap/>
            <w:vAlign w:val="bottom"/>
            <w:hideMark/>
          </w:tcPr>
          <w:p w14:paraId="7A1FC153" w14:textId="77777777" w:rsidR="005A5051" w:rsidRPr="00D53E0D" w:rsidRDefault="005A5051">
            <w:pPr>
              <w:spacing w:after="0" w:line="240" w:lineRule="auto"/>
              <w:jc w:val="center"/>
              <w:rPr>
                <w:rFonts w:eastAsia="Times New Roman" w:cstheme="minorHAnsi"/>
                <w:b/>
                <w:sz w:val="16"/>
                <w:szCs w:val="16"/>
              </w:rPr>
            </w:pPr>
          </w:p>
        </w:tc>
        <w:tc>
          <w:tcPr>
            <w:tcW w:w="861" w:type="dxa"/>
            <w:shd w:val="clear" w:color="auto" w:fill="FFF2CC" w:themeFill="accent4" w:themeFillTint="33"/>
            <w:noWrap/>
            <w:vAlign w:val="bottom"/>
            <w:hideMark/>
          </w:tcPr>
          <w:p w14:paraId="2F488A82" w14:textId="77777777" w:rsidR="005A5051" w:rsidRPr="00D53E0D" w:rsidRDefault="005A5051">
            <w:pPr>
              <w:spacing w:after="0" w:line="240" w:lineRule="auto"/>
              <w:jc w:val="center"/>
              <w:rPr>
                <w:rFonts w:eastAsia="Times New Roman" w:cstheme="minorHAnsi"/>
                <w:b/>
                <w:sz w:val="16"/>
                <w:szCs w:val="16"/>
              </w:rPr>
            </w:pPr>
          </w:p>
        </w:tc>
        <w:tc>
          <w:tcPr>
            <w:tcW w:w="1043" w:type="dxa"/>
            <w:shd w:val="clear" w:color="auto" w:fill="FFF2CC" w:themeFill="accent4" w:themeFillTint="33"/>
            <w:noWrap/>
            <w:vAlign w:val="bottom"/>
            <w:hideMark/>
          </w:tcPr>
          <w:p w14:paraId="0CF672B9" w14:textId="77777777" w:rsidR="005A5051" w:rsidRPr="00D53E0D" w:rsidRDefault="005A5051">
            <w:pPr>
              <w:spacing w:after="0" w:line="240" w:lineRule="auto"/>
              <w:jc w:val="center"/>
              <w:rPr>
                <w:rFonts w:eastAsia="Times New Roman" w:cstheme="minorHAnsi"/>
                <w:b/>
                <w:sz w:val="16"/>
                <w:szCs w:val="16"/>
              </w:rPr>
            </w:pPr>
            <w:r w:rsidRPr="00D53E0D">
              <w:rPr>
                <w:rFonts w:eastAsia="Times New Roman" w:cstheme="minorHAnsi"/>
                <w:b/>
                <w:sz w:val="16"/>
                <w:szCs w:val="16"/>
              </w:rPr>
              <w:t>2,700</w:t>
            </w:r>
          </w:p>
        </w:tc>
        <w:tc>
          <w:tcPr>
            <w:tcW w:w="976" w:type="dxa"/>
            <w:shd w:val="clear" w:color="auto" w:fill="FFF2CC" w:themeFill="accent4" w:themeFillTint="33"/>
            <w:noWrap/>
            <w:vAlign w:val="bottom"/>
            <w:hideMark/>
          </w:tcPr>
          <w:p w14:paraId="659BE059" w14:textId="77777777" w:rsidR="005A5051" w:rsidRPr="00D53E0D" w:rsidRDefault="005A5051">
            <w:pPr>
              <w:spacing w:after="0" w:line="240" w:lineRule="auto"/>
              <w:jc w:val="center"/>
              <w:rPr>
                <w:rFonts w:eastAsia="Times New Roman" w:cstheme="minorHAnsi"/>
                <w:b/>
                <w:sz w:val="16"/>
                <w:szCs w:val="16"/>
              </w:rPr>
            </w:pPr>
            <w:r w:rsidRPr="00D53E0D">
              <w:rPr>
                <w:rFonts w:eastAsia="Times New Roman" w:cstheme="minorHAnsi"/>
                <w:b/>
                <w:sz w:val="16"/>
                <w:szCs w:val="16"/>
              </w:rPr>
              <w:t>68</w:t>
            </w:r>
          </w:p>
        </w:tc>
        <w:tc>
          <w:tcPr>
            <w:tcW w:w="929" w:type="dxa"/>
            <w:shd w:val="clear" w:color="auto" w:fill="FFF2CC" w:themeFill="accent4" w:themeFillTint="33"/>
          </w:tcPr>
          <w:p w14:paraId="27FA9891" w14:textId="77777777" w:rsidR="005A5051" w:rsidRPr="00D53E0D" w:rsidRDefault="005A5051">
            <w:pPr>
              <w:spacing w:after="0" w:line="240" w:lineRule="auto"/>
              <w:jc w:val="center"/>
              <w:rPr>
                <w:rFonts w:eastAsia="Times New Roman" w:cstheme="minorHAnsi"/>
                <w:b/>
                <w:sz w:val="16"/>
                <w:szCs w:val="16"/>
              </w:rPr>
            </w:pPr>
          </w:p>
          <w:p w14:paraId="53BBAB2C" w14:textId="77777777" w:rsidR="005A5051" w:rsidRPr="00D53E0D" w:rsidRDefault="005A5051">
            <w:pPr>
              <w:spacing w:after="0" w:line="240" w:lineRule="auto"/>
              <w:jc w:val="center"/>
              <w:rPr>
                <w:rFonts w:eastAsia="Times New Roman" w:cstheme="minorHAnsi"/>
                <w:b/>
                <w:sz w:val="16"/>
                <w:szCs w:val="16"/>
              </w:rPr>
            </w:pPr>
            <w:r w:rsidRPr="00D53E0D">
              <w:rPr>
                <w:rFonts w:eastAsia="Times New Roman" w:cstheme="minorHAnsi"/>
                <w:b/>
                <w:sz w:val="16"/>
                <w:szCs w:val="16"/>
              </w:rPr>
              <w:t>2</w:t>
            </w:r>
          </w:p>
        </w:tc>
        <w:tc>
          <w:tcPr>
            <w:tcW w:w="810" w:type="dxa"/>
            <w:shd w:val="clear" w:color="auto" w:fill="FFF2CC" w:themeFill="accent4" w:themeFillTint="33"/>
            <w:noWrap/>
            <w:vAlign w:val="bottom"/>
            <w:hideMark/>
          </w:tcPr>
          <w:p w14:paraId="61A28F2C" w14:textId="77777777" w:rsidR="005A5051" w:rsidRPr="00D53E0D" w:rsidRDefault="005A5051">
            <w:pPr>
              <w:spacing w:after="0" w:line="240" w:lineRule="auto"/>
              <w:jc w:val="center"/>
              <w:rPr>
                <w:rFonts w:eastAsia="Times New Roman" w:cstheme="minorHAnsi"/>
                <w:b/>
                <w:sz w:val="16"/>
                <w:szCs w:val="16"/>
              </w:rPr>
            </w:pPr>
          </w:p>
        </w:tc>
        <w:tc>
          <w:tcPr>
            <w:tcW w:w="810" w:type="dxa"/>
            <w:shd w:val="clear" w:color="auto" w:fill="FFF2CC" w:themeFill="accent4" w:themeFillTint="33"/>
            <w:noWrap/>
            <w:vAlign w:val="bottom"/>
            <w:hideMark/>
          </w:tcPr>
          <w:p w14:paraId="345B832C" w14:textId="77777777" w:rsidR="005A5051" w:rsidRPr="00D53E0D" w:rsidRDefault="005A5051">
            <w:pPr>
              <w:spacing w:after="0" w:line="240" w:lineRule="auto"/>
              <w:jc w:val="center"/>
              <w:rPr>
                <w:rFonts w:eastAsia="Times New Roman" w:cstheme="minorHAnsi"/>
                <w:b/>
                <w:sz w:val="16"/>
                <w:szCs w:val="16"/>
              </w:rPr>
            </w:pPr>
          </w:p>
        </w:tc>
        <w:tc>
          <w:tcPr>
            <w:tcW w:w="691" w:type="dxa"/>
            <w:shd w:val="clear" w:color="auto" w:fill="FFF2CC" w:themeFill="accent4" w:themeFillTint="33"/>
            <w:noWrap/>
            <w:vAlign w:val="bottom"/>
            <w:hideMark/>
          </w:tcPr>
          <w:p w14:paraId="35C3EFF3" w14:textId="77777777" w:rsidR="005A5051" w:rsidRPr="00D53E0D" w:rsidRDefault="005A5051">
            <w:pPr>
              <w:spacing w:after="0" w:line="240" w:lineRule="auto"/>
              <w:jc w:val="center"/>
              <w:rPr>
                <w:rFonts w:eastAsia="Times New Roman" w:cstheme="minorHAnsi"/>
                <w:b/>
                <w:sz w:val="16"/>
                <w:szCs w:val="16"/>
              </w:rPr>
            </w:pPr>
            <w:r w:rsidRPr="00D53E0D">
              <w:rPr>
                <w:rFonts w:eastAsia="Times New Roman" w:cstheme="minorHAnsi"/>
                <w:b/>
                <w:sz w:val="16"/>
                <w:szCs w:val="16"/>
              </w:rPr>
              <w:t>2,770</w:t>
            </w:r>
          </w:p>
        </w:tc>
        <w:tc>
          <w:tcPr>
            <w:tcW w:w="630" w:type="dxa"/>
            <w:shd w:val="clear" w:color="auto" w:fill="FFF2CC" w:themeFill="accent4" w:themeFillTint="33"/>
          </w:tcPr>
          <w:p w14:paraId="38D90343" w14:textId="77777777" w:rsidR="005A5051" w:rsidRPr="00D53E0D" w:rsidRDefault="005A5051">
            <w:pPr>
              <w:spacing w:after="0" w:line="240" w:lineRule="auto"/>
              <w:jc w:val="center"/>
              <w:rPr>
                <w:rFonts w:eastAsia="Times New Roman" w:cstheme="minorHAnsi"/>
                <w:b/>
                <w:sz w:val="16"/>
                <w:szCs w:val="16"/>
              </w:rPr>
            </w:pPr>
          </w:p>
        </w:tc>
        <w:tc>
          <w:tcPr>
            <w:tcW w:w="1350" w:type="dxa"/>
            <w:shd w:val="clear" w:color="auto" w:fill="FFF2CC" w:themeFill="accent4" w:themeFillTint="33"/>
          </w:tcPr>
          <w:p w14:paraId="785EEDD7" w14:textId="77777777" w:rsidR="005A5051" w:rsidRPr="00D53E0D" w:rsidRDefault="005A5051">
            <w:pPr>
              <w:spacing w:after="0" w:line="240" w:lineRule="auto"/>
              <w:jc w:val="center"/>
              <w:rPr>
                <w:rFonts w:eastAsia="Times New Roman" w:cstheme="minorHAnsi"/>
                <w:b/>
                <w:sz w:val="16"/>
                <w:szCs w:val="16"/>
              </w:rPr>
            </w:pPr>
          </w:p>
        </w:tc>
      </w:tr>
    </w:tbl>
    <w:p w14:paraId="18351975" w14:textId="77777777" w:rsidR="005A5051" w:rsidRPr="00D53E0D" w:rsidRDefault="005A5051" w:rsidP="005A5051">
      <w:pPr>
        <w:pStyle w:val="Default"/>
        <w:rPr>
          <w:rFonts w:asciiTheme="minorHAnsi" w:hAnsiTheme="minorHAnsi" w:cstheme="minorHAnsi"/>
          <w:b/>
          <w:sz w:val="16"/>
          <w:szCs w:val="16"/>
        </w:rPr>
      </w:pPr>
    </w:p>
    <w:p w14:paraId="06415B0B" w14:textId="1B06D3A8" w:rsidR="11E545B9" w:rsidRPr="0043215C" w:rsidRDefault="11E545B9" w:rsidP="11E545B9">
      <w:pPr>
        <w:pStyle w:val="Default"/>
        <w:rPr>
          <w:rFonts w:asciiTheme="minorHAnsi" w:hAnsiTheme="minorHAnsi" w:cstheme="minorHAnsi"/>
          <w:b/>
          <w:bCs/>
          <w:sz w:val="20"/>
          <w:szCs w:val="20"/>
        </w:rPr>
      </w:pPr>
    </w:p>
    <w:p w14:paraId="32F6F59E" w14:textId="77777777" w:rsidR="00ED1E03" w:rsidRPr="0043215C" w:rsidRDefault="00ED1E03" w:rsidP="11E545B9">
      <w:pPr>
        <w:pStyle w:val="Default"/>
        <w:rPr>
          <w:rFonts w:asciiTheme="minorHAnsi" w:hAnsiTheme="minorHAnsi" w:cstheme="minorHAnsi"/>
          <w:b/>
          <w:bCs/>
          <w:sz w:val="20"/>
          <w:szCs w:val="20"/>
        </w:rPr>
      </w:pPr>
    </w:p>
    <w:p w14:paraId="33033C80" w14:textId="77777777" w:rsidR="00D40A77" w:rsidRDefault="00D40A77" w:rsidP="00E47AF3">
      <w:pPr>
        <w:pStyle w:val="Heading2"/>
        <w:rPr>
          <w:rFonts w:cstheme="minorHAnsi"/>
          <w:sz w:val="20"/>
          <w:szCs w:val="20"/>
        </w:rPr>
        <w:sectPr w:rsidR="00D40A77" w:rsidSect="00ED1E03">
          <w:pgSz w:w="15840" w:h="12240" w:orient="landscape"/>
          <w:pgMar w:top="1440" w:right="1440" w:bottom="1440" w:left="1526" w:header="720" w:footer="720" w:gutter="0"/>
          <w:cols w:space="720"/>
          <w:docGrid w:linePitch="360"/>
        </w:sectPr>
      </w:pPr>
      <w:bookmarkStart w:id="90" w:name="_Toc162898769"/>
      <w:bookmarkStart w:id="91" w:name="_Toc162898831"/>
      <w:bookmarkStart w:id="92" w:name="_Toc162962953"/>
      <w:bookmarkStart w:id="93" w:name="_Toc162964135"/>
    </w:p>
    <w:p w14:paraId="2FFAA05F" w14:textId="51DAEE86" w:rsidR="003753D3" w:rsidRPr="0043215C" w:rsidRDefault="00900F19" w:rsidP="00E47AF3">
      <w:pPr>
        <w:pStyle w:val="Heading2"/>
        <w:rPr>
          <w:rFonts w:cstheme="minorHAnsi"/>
          <w:sz w:val="20"/>
          <w:szCs w:val="20"/>
        </w:rPr>
      </w:pPr>
      <w:bookmarkStart w:id="94" w:name="_Toc170319834"/>
      <w:r w:rsidRPr="0043215C">
        <w:rPr>
          <w:rFonts w:cstheme="minorHAnsi"/>
          <w:sz w:val="20"/>
          <w:szCs w:val="20"/>
        </w:rPr>
        <w:lastRenderedPageBreak/>
        <w:t>Costs and Sources of Funding</w:t>
      </w:r>
      <w:bookmarkEnd w:id="90"/>
      <w:bookmarkEnd w:id="91"/>
      <w:bookmarkEnd w:id="92"/>
      <w:bookmarkEnd w:id="93"/>
      <w:bookmarkEnd w:id="94"/>
    </w:p>
    <w:p w14:paraId="6E238B32" w14:textId="59DF8A5C" w:rsidR="003753D3" w:rsidRPr="0043215C" w:rsidRDefault="00900F19" w:rsidP="006B197A">
      <w:pPr>
        <w:pStyle w:val="Default"/>
        <w:jc w:val="both"/>
        <w:rPr>
          <w:rFonts w:asciiTheme="minorHAnsi" w:hAnsiTheme="minorHAnsi" w:cstheme="minorBidi"/>
          <w:sz w:val="20"/>
          <w:szCs w:val="20"/>
          <w:highlight w:val="yellow"/>
          <w:lang w:val="en-GB"/>
        </w:rPr>
      </w:pPr>
      <w:r w:rsidRPr="1575B655">
        <w:rPr>
          <w:rFonts w:asciiTheme="minorHAnsi" w:hAnsiTheme="minorHAnsi" w:cstheme="minorBidi"/>
          <w:sz w:val="20"/>
          <w:szCs w:val="20"/>
          <w:lang w:val="en-GB"/>
        </w:rPr>
        <w:t xml:space="preserve">CIF-REI resources will be allocated through the World Bank, IFC and EBRD and </w:t>
      </w:r>
      <w:r w:rsidR="2FBDE613" w:rsidRPr="1575B655">
        <w:rPr>
          <w:rFonts w:asciiTheme="minorHAnsi" w:hAnsiTheme="minorHAnsi" w:cstheme="minorBidi"/>
          <w:sz w:val="20"/>
          <w:szCs w:val="20"/>
          <w:lang w:val="en-GB"/>
        </w:rPr>
        <w:t>channelled</w:t>
      </w:r>
      <w:r w:rsidRPr="1575B655">
        <w:rPr>
          <w:rFonts w:asciiTheme="minorHAnsi" w:hAnsiTheme="minorHAnsi" w:cstheme="minorBidi"/>
          <w:sz w:val="20"/>
          <w:szCs w:val="20"/>
          <w:lang w:val="en-GB"/>
        </w:rPr>
        <w:t xml:space="preserve"> t</w:t>
      </w:r>
      <w:r w:rsidR="6E096141" w:rsidRPr="1575B655">
        <w:rPr>
          <w:rFonts w:asciiTheme="minorHAnsi" w:hAnsiTheme="minorHAnsi" w:cstheme="minorBidi"/>
          <w:sz w:val="20"/>
          <w:szCs w:val="20"/>
          <w:lang w:val="en-GB"/>
        </w:rPr>
        <w:t>o</w:t>
      </w:r>
      <w:r w:rsidRPr="1575B655">
        <w:rPr>
          <w:rFonts w:asciiTheme="minorHAnsi" w:hAnsiTheme="minorHAnsi" w:cstheme="minorBidi"/>
          <w:sz w:val="20"/>
          <w:szCs w:val="20"/>
          <w:lang w:val="en-GB"/>
        </w:rPr>
        <w:t xml:space="preserve"> </w:t>
      </w:r>
      <w:r w:rsidR="002B50C9" w:rsidRPr="1575B655">
        <w:rPr>
          <w:rFonts w:asciiTheme="minorHAnsi" w:hAnsiTheme="minorHAnsi" w:cstheme="minorBidi"/>
          <w:sz w:val="20"/>
          <w:szCs w:val="20"/>
          <w:lang w:val="en-GB"/>
        </w:rPr>
        <w:t>TEİAŞ</w:t>
      </w:r>
      <w:r w:rsidRPr="1575B655">
        <w:rPr>
          <w:rFonts w:asciiTheme="minorHAnsi" w:hAnsiTheme="minorHAnsi" w:cstheme="minorBidi"/>
          <w:sz w:val="20"/>
          <w:szCs w:val="20"/>
          <w:lang w:val="en-GB"/>
        </w:rPr>
        <w:t xml:space="preserve"> and</w:t>
      </w:r>
      <w:r w:rsidR="00B630B3" w:rsidRPr="1575B655">
        <w:rPr>
          <w:rFonts w:asciiTheme="minorHAnsi" w:hAnsiTheme="minorHAnsi" w:cstheme="minorBidi"/>
          <w:sz w:val="20"/>
          <w:szCs w:val="20"/>
          <w:lang w:val="en-GB"/>
        </w:rPr>
        <w:t xml:space="preserve"> private sector clients</w:t>
      </w:r>
      <w:r w:rsidR="003B30D6" w:rsidRPr="1575B655">
        <w:rPr>
          <w:rFonts w:asciiTheme="minorHAnsi" w:hAnsiTheme="minorHAnsi" w:cstheme="minorBidi"/>
          <w:color w:val="FF0000"/>
          <w:sz w:val="20"/>
          <w:szCs w:val="20"/>
          <w:lang w:val="en-GB"/>
        </w:rPr>
        <w:t xml:space="preserve">. </w:t>
      </w:r>
    </w:p>
    <w:p w14:paraId="5096895F" w14:textId="7F138624" w:rsidR="0DEFC92B" w:rsidRPr="0043215C" w:rsidRDefault="0DEFC92B" w:rsidP="006B197A">
      <w:pPr>
        <w:pStyle w:val="Default"/>
        <w:jc w:val="both"/>
        <w:rPr>
          <w:rFonts w:asciiTheme="minorHAnsi" w:hAnsiTheme="minorHAnsi" w:cstheme="minorBidi"/>
          <w:b/>
          <w:sz w:val="20"/>
          <w:szCs w:val="20"/>
          <w:highlight w:val="yellow"/>
          <w:lang w:val="en-GB"/>
        </w:rPr>
      </w:pPr>
    </w:p>
    <w:p w14:paraId="4074B9FE" w14:textId="2F05450D" w:rsidR="42319611" w:rsidRPr="0043215C" w:rsidRDefault="42319611" w:rsidP="24898233">
      <w:pPr>
        <w:spacing w:after="0"/>
        <w:ind w:right="-20"/>
        <w:rPr>
          <w:sz w:val="20"/>
          <w:szCs w:val="20"/>
          <w:lang w:val="en-GB"/>
        </w:rPr>
      </w:pPr>
      <w:r w:rsidRPr="1575B655">
        <w:rPr>
          <w:rFonts w:eastAsia="Times New Roman"/>
          <w:b/>
          <w:sz w:val="20"/>
          <w:szCs w:val="20"/>
          <w:lang w:val="en-GB"/>
        </w:rPr>
        <w:t>Component</w:t>
      </w:r>
      <w:r w:rsidR="00792FDE" w:rsidRPr="1575B655">
        <w:rPr>
          <w:rFonts w:eastAsia="Times New Roman"/>
          <w:b/>
          <w:sz w:val="20"/>
          <w:szCs w:val="20"/>
          <w:lang w:val="en-GB"/>
        </w:rPr>
        <w:t>s</w:t>
      </w:r>
      <w:r w:rsidRPr="1575B655">
        <w:rPr>
          <w:rFonts w:eastAsia="Times New Roman"/>
          <w:b/>
          <w:sz w:val="20"/>
          <w:szCs w:val="20"/>
          <w:lang w:val="en-GB"/>
        </w:rPr>
        <w:t xml:space="preserve"> 1: Transforming the Power Transmission System for REI (</w:t>
      </w:r>
      <w:r w:rsidR="00636124" w:rsidRPr="1575B655">
        <w:rPr>
          <w:b/>
          <w:sz w:val="20"/>
          <w:szCs w:val="20"/>
          <w:lang w:val="en-GB"/>
        </w:rPr>
        <w:t>US$</w:t>
      </w:r>
      <w:r w:rsidR="00E32043" w:rsidRPr="1575B655">
        <w:rPr>
          <w:b/>
          <w:sz w:val="20"/>
          <w:szCs w:val="20"/>
          <w:lang w:val="en-GB"/>
        </w:rPr>
        <w:t xml:space="preserve"> 1,500</w:t>
      </w:r>
      <w:r w:rsidR="009E2A9E" w:rsidRPr="1575B655">
        <w:rPr>
          <w:b/>
          <w:sz w:val="20"/>
          <w:szCs w:val="20"/>
          <w:lang w:val="en-GB"/>
        </w:rPr>
        <w:t xml:space="preserve"> </w:t>
      </w:r>
      <w:r w:rsidRPr="1575B655">
        <w:rPr>
          <w:b/>
          <w:sz w:val="20"/>
          <w:szCs w:val="20"/>
          <w:lang w:val="en-GB"/>
        </w:rPr>
        <w:t xml:space="preserve">m. World Bank, </w:t>
      </w:r>
      <w:r w:rsidR="00636124" w:rsidRPr="1575B655">
        <w:rPr>
          <w:b/>
          <w:sz w:val="20"/>
          <w:szCs w:val="20"/>
          <w:lang w:val="en-GB"/>
        </w:rPr>
        <w:t>US$</w:t>
      </w:r>
      <w:r w:rsidRPr="1575B655">
        <w:rPr>
          <w:b/>
          <w:sz w:val="20"/>
          <w:szCs w:val="20"/>
          <w:lang w:val="en-GB"/>
        </w:rPr>
        <w:t xml:space="preserve"> </w:t>
      </w:r>
      <w:r w:rsidR="000B083D" w:rsidRPr="1575B655">
        <w:rPr>
          <w:b/>
          <w:sz w:val="20"/>
          <w:szCs w:val="20"/>
          <w:lang w:val="en-GB"/>
        </w:rPr>
        <w:t>38</w:t>
      </w:r>
      <w:r w:rsidRPr="1575B655">
        <w:rPr>
          <w:b/>
          <w:sz w:val="20"/>
          <w:szCs w:val="20"/>
          <w:lang w:val="en-GB"/>
        </w:rPr>
        <w:t xml:space="preserve"> m </w:t>
      </w:r>
      <w:r w:rsidR="0023236C" w:rsidRPr="1575B655">
        <w:rPr>
          <w:b/>
          <w:sz w:val="20"/>
          <w:szCs w:val="20"/>
          <w:lang w:val="en-GB"/>
        </w:rPr>
        <w:t>CTF-REI</w:t>
      </w:r>
      <w:r w:rsidRPr="1575B655">
        <w:rPr>
          <w:b/>
          <w:sz w:val="20"/>
          <w:szCs w:val="20"/>
          <w:lang w:val="en-GB"/>
        </w:rPr>
        <w:t xml:space="preserve"> </w:t>
      </w:r>
      <w:r w:rsidR="003D48F8" w:rsidRPr="1575B655">
        <w:rPr>
          <w:b/>
          <w:sz w:val="20"/>
          <w:szCs w:val="20"/>
          <w:lang w:val="en-GB"/>
        </w:rPr>
        <w:t xml:space="preserve">financing </w:t>
      </w:r>
      <w:r w:rsidRPr="1575B655">
        <w:rPr>
          <w:b/>
          <w:sz w:val="20"/>
          <w:szCs w:val="20"/>
          <w:lang w:val="en-GB"/>
        </w:rPr>
        <w:t xml:space="preserve">for investments and </w:t>
      </w:r>
      <w:r w:rsidR="00636124" w:rsidRPr="1575B655">
        <w:rPr>
          <w:b/>
          <w:sz w:val="20"/>
          <w:szCs w:val="20"/>
          <w:lang w:val="en-GB"/>
        </w:rPr>
        <w:t>US$</w:t>
      </w:r>
      <w:r w:rsidR="004C0255" w:rsidRPr="1575B655">
        <w:rPr>
          <w:b/>
          <w:sz w:val="20"/>
          <w:szCs w:val="20"/>
          <w:lang w:val="en-GB"/>
        </w:rPr>
        <w:t>2</w:t>
      </w:r>
      <w:r w:rsidRPr="1575B655">
        <w:rPr>
          <w:b/>
          <w:sz w:val="20"/>
          <w:szCs w:val="20"/>
          <w:lang w:val="en-GB"/>
        </w:rPr>
        <w:t xml:space="preserve"> m </w:t>
      </w:r>
      <w:r w:rsidR="0023236C" w:rsidRPr="1575B655">
        <w:rPr>
          <w:b/>
          <w:sz w:val="20"/>
          <w:szCs w:val="20"/>
          <w:lang w:val="en-GB"/>
        </w:rPr>
        <w:t>CTF-REI</w:t>
      </w:r>
      <w:r w:rsidRPr="1575B655">
        <w:rPr>
          <w:b/>
          <w:sz w:val="20"/>
          <w:szCs w:val="20"/>
          <w:lang w:val="en-GB"/>
        </w:rPr>
        <w:t xml:space="preserve"> </w:t>
      </w:r>
      <w:r w:rsidR="003D48F8" w:rsidRPr="1575B655">
        <w:rPr>
          <w:b/>
          <w:sz w:val="20"/>
          <w:szCs w:val="20"/>
          <w:lang w:val="en-GB"/>
        </w:rPr>
        <w:t xml:space="preserve">grant </w:t>
      </w:r>
      <w:r w:rsidRPr="1575B655">
        <w:rPr>
          <w:b/>
          <w:sz w:val="20"/>
          <w:szCs w:val="20"/>
          <w:lang w:val="en-GB"/>
        </w:rPr>
        <w:t>for TA).</w:t>
      </w:r>
      <w:r w:rsidR="00900F19" w:rsidRPr="1575B655">
        <w:rPr>
          <w:b/>
          <w:sz w:val="20"/>
          <w:szCs w:val="20"/>
          <w:lang w:val="en-GB"/>
        </w:rPr>
        <w:t xml:space="preserve"> </w:t>
      </w:r>
      <w:r w:rsidR="00900F19" w:rsidRPr="1575B655">
        <w:rPr>
          <w:sz w:val="20"/>
          <w:szCs w:val="20"/>
          <w:lang w:val="en-GB"/>
        </w:rPr>
        <w:t xml:space="preserve">Financing from </w:t>
      </w:r>
      <w:r w:rsidR="0023236C" w:rsidRPr="1575B655">
        <w:rPr>
          <w:sz w:val="20"/>
          <w:szCs w:val="20"/>
          <w:lang w:val="en-GB"/>
        </w:rPr>
        <w:t>CTF-REI</w:t>
      </w:r>
      <w:r w:rsidR="00900F19" w:rsidRPr="1575B655">
        <w:rPr>
          <w:sz w:val="20"/>
          <w:szCs w:val="20"/>
          <w:lang w:val="en-GB"/>
        </w:rPr>
        <w:t xml:space="preserve"> is proposed to co-finance </w:t>
      </w:r>
      <w:r w:rsidR="750E613D" w:rsidRPr="1575B655">
        <w:rPr>
          <w:sz w:val="20"/>
          <w:szCs w:val="20"/>
          <w:lang w:val="en-GB"/>
        </w:rPr>
        <w:t xml:space="preserve">Transforming Power Transmission System Project, that will be financed by the World Bank in an amount of </w:t>
      </w:r>
      <w:r w:rsidR="00636124" w:rsidRPr="1575B655">
        <w:rPr>
          <w:sz w:val="20"/>
          <w:szCs w:val="20"/>
          <w:lang w:val="en-GB"/>
        </w:rPr>
        <w:t>US$</w:t>
      </w:r>
      <w:r w:rsidR="00805B0E" w:rsidRPr="1575B655">
        <w:rPr>
          <w:sz w:val="20"/>
          <w:szCs w:val="20"/>
          <w:lang w:val="en-GB"/>
        </w:rPr>
        <w:t xml:space="preserve"> 1,500</w:t>
      </w:r>
      <w:r w:rsidR="750E613D" w:rsidRPr="1575B655">
        <w:rPr>
          <w:sz w:val="20"/>
          <w:szCs w:val="20"/>
          <w:lang w:val="en-GB"/>
        </w:rPr>
        <w:t xml:space="preserve"> </w:t>
      </w:r>
      <w:r w:rsidR="00DE7EA1" w:rsidRPr="1575B655">
        <w:rPr>
          <w:sz w:val="20"/>
          <w:szCs w:val="20"/>
          <w:lang w:val="en-GB"/>
        </w:rPr>
        <w:t>m.</w:t>
      </w:r>
      <w:r w:rsidR="00B5773F" w:rsidRPr="1575B655">
        <w:rPr>
          <w:sz w:val="20"/>
          <w:szCs w:val="20"/>
          <w:lang w:val="en-GB"/>
        </w:rPr>
        <w:t xml:space="preserve"> World Bank </w:t>
      </w:r>
      <w:r w:rsidR="004A17FB" w:rsidRPr="1575B655">
        <w:rPr>
          <w:sz w:val="20"/>
          <w:szCs w:val="20"/>
          <w:lang w:val="en-GB"/>
        </w:rPr>
        <w:t>and</w:t>
      </w:r>
      <w:r w:rsidR="00B5773F" w:rsidRPr="1575B655">
        <w:rPr>
          <w:sz w:val="20"/>
          <w:szCs w:val="20"/>
          <w:lang w:val="en-GB"/>
        </w:rPr>
        <w:t xml:space="preserve"> </w:t>
      </w:r>
      <w:r w:rsidR="00636124" w:rsidRPr="1575B655">
        <w:rPr>
          <w:sz w:val="20"/>
          <w:szCs w:val="20"/>
          <w:lang w:val="en-GB"/>
        </w:rPr>
        <w:t>US$</w:t>
      </w:r>
      <w:r w:rsidR="00D319F2" w:rsidRPr="1575B655">
        <w:rPr>
          <w:sz w:val="20"/>
          <w:szCs w:val="20"/>
          <w:lang w:val="en-GB"/>
        </w:rPr>
        <w:t>38</w:t>
      </w:r>
      <w:r w:rsidR="004A17FB" w:rsidRPr="1575B655">
        <w:rPr>
          <w:sz w:val="20"/>
          <w:szCs w:val="20"/>
          <w:lang w:val="en-GB"/>
        </w:rPr>
        <w:t xml:space="preserve"> m.</w:t>
      </w:r>
      <w:r w:rsidR="00B5773F" w:rsidRPr="1575B655">
        <w:rPr>
          <w:sz w:val="20"/>
          <w:szCs w:val="20"/>
          <w:lang w:val="en-GB"/>
        </w:rPr>
        <w:t xml:space="preserve"> CTF REI </w:t>
      </w:r>
      <w:r w:rsidR="00D319F2" w:rsidRPr="1575B655">
        <w:rPr>
          <w:sz w:val="20"/>
          <w:szCs w:val="20"/>
          <w:lang w:val="en-GB"/>
        </w:rPr>
        <w:t>loan</w:t>
      </w:r>
      <w:r w:rsidR="00B5773F" w:rsidRPr="1575B655">
        <w:rPr>
          <w:sz w:val="20"/>
          <w:szCs w:val="20"/>
          <w:lang w:val="en-GB"/>
        </w:rPr>
        <w:t xml:space="preserve"> financing</w:t>
      </w:r>
      <w:r w:rsidR="763AF46E" w:rsidRPr="1575B655">
        <w:rPr>
          <w:sz w:val="20"/>
          <w:szCs w:val="20"/>
          <w:lang w:val="en-GB"/>
        </w:rPr>
        <w:t xml:space="preserve"> proposed to </w:t>
      </w:r>
      <w:r w:rsidR="00900F19" w:rsidRPr="1575B655">
        <w:rPr>
          <w:sz w:val="20"/>
          <w:szCs w:val="20"/>
          <w:lang w:val="en-GB"/>
        </w:rPr>
        <w:t xml:space="preserve">lower financing costs </w:t>
      </w:r>
      <w:r w:rsidR="2A93F9A5" w:rsidRPr="1575B655">
        <w:rPr>
          <w:sz w:val="20"/>
          <w:szCs w:val="20"/>
          <w:lang w:val="en-GB"/>
        </w:rPr>
        <w:t>of this sizable project</w:t>
      </w:r>
      <w:r w:rsidR="00993D35" w:rsidRPr="1575B655">
        <w:rPr>
          <w:sz w:val="20"/>
          <w:szCs w:val="20"/>
          <w:lang w:val="en-GB"/>
        </w:rPr>
        <w:t xml:space="preserve"> including REI and innovative investments</w:t>
      </w:r>
      <w:r w:rsidR="00F24AF4" w:rsidRPr="1575B655">
        <w:rPr>
          <w:sz w:val="20"/>
          <w:szCs w:val="20"/>
          <w:lang w:val="en-GB"/>
        </w:rPr>
        <w:t xml:space="preserve"> and technical assistance projects</w:t>
      </w:r>
      <w:r w:rsidR="62412840" w:rsidRPr="1575B655">
        <w:rPr>
          <w:sz w:val="20"/>
          <w:szCs w:val="20"/>
          <w:lang w:val="en-GB"/>
        </w:rPr>
        <w:t xml:space="preserve">, </w:t>
      </w:r>
      <w:r w:rsidR="00900F19" w:rsidRPr="1575B655">
        <w:rPr>
          <w:sz w:val="20"/>
          <w:szCs w:val="20"/>
          <w:lang w:val="en-GB"/>
        </w:rPr>
        <w:t xml:space="preserve">lengthen the loan periods and diversify its funding sources, thus better responding to the financing needs of private and public investors in sustainable energy </w:t>
      </w:r>
      <w:r w:rsidR="5E9F7E4C" w:rsidRPr="1575B655">
        <w:rPr>
          <w:sz w:val="20"/>
          <w:szCs w:val="20"/>
          <w:lang w:val="en-GB"/>
        </w:rPr>
        <w:t xml:space="preserve">in </w:t>
      </w:r>
      <w:r w:rsidR="00FD6F69" w:rsidRPr="1575B655">
        <w:rPr>
          <w:sz w:val="20"/>
          <w:szCs w:val="20"/>
          <w:lang w:val="en-GB"/>
        </w:rPr>
        <w:t>Türkiye</w:t>
      </w:r>
      <w:r w:rsidR="00900F19" w:rsidRPr="1575B655">
        <w:rPr>
          <w:sz w:val="20"/>
          <w:szCs w:val="20"/>
          <w:lang w:val="en-GB"/>
        </w:rPr>
        <w:t>.</w:t>
      </w:r>
      <w:r w:rsidR="6CA1B85D" w:rsidRPr="1575B655">
        <w:rPr>
          <w:sz w:val="20"/>
          <w:szCs w:val="20"/>
          <w:lang w:val="en-GB"/>
        </w:rPr>
        <w:t xml:space="preserve"> In addition, a </w:t>
      </w:r>
      <w:r w:rsidR="00636124" w:rsidRPr="1575B655">
        <w:rPr>
          <w:sz w:val="20"/>
          <w:szCs w:val="20"/>
          <w:lang w:val="en-GB"/>
        </w:rPr>
        <w:t>US$</w:t>
      </w:r>
      <w:r w:rsidR="00931D56" w:rsidRPr="1575B655">
        <w:rPr>
          <w:sz w:val="20"/>
          <w:szCs w:val="20"/>
          <w:lang w:val="en-GB"/>
        </w:rPr>
        <w:t>2</w:t>
      </w:r>
      <w:r w:rsidR="6CA1B85D" w:rsidRPr="1575B655">
        <w:rPr>
          <w:sz w:val="20"/>
          <w:szCs w:val="20"/>
          <w:lang w:val="en-GB"/>
        </w:rPr>
        <w:t xml:space="preserve"> m CTF grant financing </w:t>
      </w:r>
      <w:r w:rsidR="003B30D6" w:rsidRPr="1575B655">
        <w:rPr>
          <w:sz w:val="20"/>
          <w:szCs w:val="20"/>
          <w:lang w:val="en-GB"/>
        </w:rPr>
        <w:t>will</w:t>
      </w:r>
      <w:r w:rsidR="04BBF42A" w:rsidRPr="1575B655">
        <w:rPr>
          <w:sz w:val="20"/>
          <w:szCs w:val="20"/>
          <w:lang w:val="en-GB"/>
        </w:rPr>
        <w:t xml:space="preserve"> finance the </w:t>
      </w:r>
      <w:r w:rsidR="00AC61B5" w:rsidRPr="1575B655">
        <w:rPr>
          <w:sz w:val="20"/>
          <w:szCs w:val="20"/>
          <w:lang w:val="en-GB"/>
        </w:rPr>
        <w:t xml:space="preserve">TA </w:t>
      </w:r>
      <w:r w:rsidR="04BBF42A" w:rsidRPr="1575B655">
        <w:rPr>
          <w:sz w:val="20"/>
          <w:szCs w:val="20"/>
          <w:lang w:val="en-GB"/>
        </w:rPr>
        <w:t>activities under the sub-component 4 of the project</w:t>
      </w:r>
      <w:r w:rsidR="6CA1B85D" w:rsidRPr="1575B655">
        <w:rPr>
          <w:sz w:val="20"/>
          <w:szCs w:val="20"/>
          <w:lang w:val="en-GB"/>
        </w:rPr>
        <w:t xml:space="preserve">. </w:t>
      </w:r>
    </w:p>
    <w:p w14:paraId="5CA5D6DA" w14:textId="12CDFC20" w:rsidR="24898233" w:rsidRPr="0043215C" w:rsidRDefault="24898233" w:rsidP="24898233">
      <w:pPr>
        <w:spacing w:after="0"/>
        <w:ind w:right="-20"/>
        <w:rPr>
          <w:sz w:val="20"/>
          <w:szCs w:val="20"/>
          <w:lang w:val="en-GB"/>
        </w:rPr>
      </w:pPr>
    </w:p>
    <w:p w14:paraId="0FF675CA" w14:textId="4F184BB7" w:rsidR="003753D3" w:rsidRPr="0043215C" w:rsidRDefault="6DD04E9E" w:rsidP="24898233">
      <w:pPr>
        <w:pStyle w:val="Default"/>
        <w:jc w:val="both"/>
        <w:rPr>
          <w:rFonts w:asciiTheme="minorHAnsi" w:hAnsiTheme="minorHAnsi" w:cstheme="minorBidi"/>
          <w:sz w:val="20"/>
          <w:szCs w:val="20"/>
          <w:lang w:val="en-GB"/>
        </w:rPr>
      </w:pPr>
      <w:r w:rsidRPr="1575B655">
        <w:rPr>
          <w:rFonts w:asciiTheme="minorHAnsi" w:hAnsiTheme="minorHAnsi" w:cstheme="minorBidi"/>
          <w:sz w:val="20"/>
          <w:szCs w:val="20"/>
          <w:lang w:val="en-GB"/>
        </w:rPr>
        <w:t>The r</w:t>
      </w:r>
      <w:r w:rsidR="00900F19" w:rsidRPr="1575B655">
        <w:rPr>
          <w:rFonts w:asciiTheme="minorHAnsi" w:hAnsiTheme="minorHAnsi" w:cstheme="minorBidi"/>
          <w:sz w:val="20"/>
          <w:szCs w:val="20"/>
          <w:lang w:val="en-GB"/>
        </w:rPr>
        <w:t xml:space="preserve">ecipients of funding under this </w:t>
      </w:r>
      <w:r w:rsidR="11E11255" w:rsidRPr="1575B655">
        <w:rPr>
          <w:rFonts w:asciiTheme="minorHAnsi" w:hAnsiTheme="minorHAnsi" w:cstheme="minorBidi"/>
          <w:sz w:val="20"/>
          <w:szCs w:val="20"/>
          <w:lang w:val="en-GB"/>
        </w:rPr>
        <w:t xml:space="preserve">component </w:t>
      </w:r>
      <w:r w:rsidR="00900F19" w:rsidRPr="1575B655">
        <w:rPr>
          <w:rFonts w:asciiTheme="minorHAnsi" w:hAnsiTheme="minorHAnsi" w:cstheme="minorBidi"/>
          <w:sz w:val="20"/>
          <w:szCs w:val="20"/>
          <w:lang w:val="en-GB"/>
        </w:rPr>
        <w:t xml:space="preserve">will be </w:t>
      </w:r>
      <w:r w:rsidR="002B50C9" w:rsidRPr="1575B655">
        <w:rPr>
          <w:rFonts w:asciiTheme="minorHAnsi" w:hAnsiTheme="minorHAnsi" w:cstheme="minorBidi"/>
          <w:sz w:val="20"/>
          <w:szCs w:val="20"/>
          <w:lang w:val="en-GB"/>
        </w:rPr>
        <w:t>TEİAŞ</w:t>
      </w:r>
      <w:r w:rsidR="717FF60F" w:rsidRPr="1575B655">
        <w:rPr>
          <w:rFonts w:asciiTheme="minorHAnsi" w:hAnsiTheme="minorHAnsi" w:cstheme="minorBidi"/>
          <w:sz w:val="20"/>
          <w:szCs w:val="20"/>
          <w:lang w:val="en-GB"/>
        </w:rPr>
        <w:t xml:space="preserve"> </w:t>
      </w:r>
      <w:r w:rsidR="00900F19" w:rsidRPr="1575B655">
        <w:rPr>
          <w:rFonts w:asciiTheme="minorHAnsi" w:hAnsiTheme="minorHAnsi" w:cstheme="minorBidi"/>
          <w:sz w:val="20"/>
          <w:szCs w:val="20"/>
          <w:lang w:val="en-GB"/>
        </w:rPr>
        <w:t>complying with the program’s eligibility criteria</w:t>
      </w:r>
      <w:r w:rsidR="24C7AB09" w:rsidRPr="1575B655">
        <w:rPr>
          <w:rFonts w:asciiTheme="minorHAnsi" w:hAnsiTheme="minorHAnsi" w:cstheme="minorBidi"/>
          <w:sz w:val="20"/>
          <w:szCs w:val="20"/>
          <w:lang w:val="en-GB"/>
        </w:rPr>
        <w:t xml:space="preserve">, fiduciary </w:t>
      </w:r>
      <w:proofErr w:type="gramStart"/>
      <w:r w:rsidR="24C7AB09" w:rsidRPr="1575B655">
        <w:rPr>
          <w:rFonts w:asciiTheme="minorHAnsi" w:hAnsiTheme="minorHAnsi" w:cstheme="minorBidi"/>
          <w:sz w:val="20"/>
          <w:szCs w:val="20"/>
          <w:lang w:val="en-GB"/>
        </w:rPr>
        <w:t>requirements</w:t>
      </w:r>
      <w:proofErr w:type="gramEnd"/>
      <w:r w:rsidR="00900F19" w:rsidRPr="1575B655">
        <w:rPr>
          <w:rFonts w:asciiTheme="minorHAnsi" w:hAnsiTheme="minorHAnsi" w:cstheme="minorBidi"/>
          <w:sz w:val="20"/>
          <w:szCs w:val="20"/>
          <w:lang w:val="en-GB"/>
        </w:rPr>
        <w:t xml:space="preserve"> and the environmental and social s</w:t>
      </w:r>
      <w:r w:rsidR="746DECAC" w:rsidRPr="1575B655">
        <w:rPr>
          <w:rFonts w:asciiTheme="minorHAnsi" w:hAnsiTheme="minorHAnsi" w:cstheme="minorBidi"/>
          <w:sz w:val="20"/>
          <w:szCs w:val="20"/>
          <w:lang w:val="en-GB"/>
        </w:rPr>
        <w:t>tandard</w:t>
      </w:r>
      <w:r w:rsidR="00900F19" w:rsidRPr="1575B655">
        <w:rPr>
          <w:rFonts w:asciiTheme="minorHAnsi" w:hAnsiTheme="minorHAnsi" w:cstheme="minorBidi"/>
          <w:sz w:val="20"/>
          <w:szCs w:val="20"/>
          <w:lang w:val="en-GB"/>
        </w:rPr>
        <w:t xml:space="preserve">s of the </w:t>
      </w:r>
      <w:r w:rsidR="60BAEE68" w:rsidRPr="1575B655">
        <w:rPr>
          <w:rFonts w:asciiTheme="minorHAnsi" w:hAnsiTheme="minorHAnsi" w:cstheme="minorBidi"/>
          <w:sz w:val="20"/>
          <w:szCs w:val="20"/>
          <w:lang w:val="en-GB"/>
        </w:rPr>
        <w:t>World Bank</w:t>
      </w:r>
      <w:r w:rsidR="00900F19" w:rsidRPr="1575B655">
        <w:rPr>
          <w:rFonts w:asciiTheme="minorHAnsi" w:hAnsiTheme="minorHAnsi" w:cstheme="minorBidi"/>
          <w:sz w:val="20"/>
          <w:szCs w:val="20"/>
          <w:lang w:val="en-GB"/>
        </w:rPr>
        <w:t>.</w:t>
      </w:r>
    </w:p>
    <w:p w14:paraId="02A2F140" w14:textId="77777777" w:rsidR="004F6F0F" w:rsidRPr="0043215C" w:rsidRDefault="004F6F0F" w:rsidP="006B197A">
      <w:pPr>
        <w:pStyle w:val="Default"/>
        <w:jc w:val="both"/>
        <w:rPr>
          <w:rFonts w:asciiTheme="minorHAnsi" w:hAnsiTheme="minorHAnsi" w:cstheme="minorBidi"/>
          <w:sz w:val="20"/>
          <w:szCs w:val="20"/>
          <w:lang w:val="en-GB"/>
        </w:rPr>
      </w:pPr>
    </w:p>
    <w:p w14:paraId="3A3C7589" w14:textId="752E02D1" w:rsidR="003753D3" w:rsidRPr="0043215C" w:rsidRDefault="00900F19" w:rsidP="24898233">
      <w:pPr>
        <w:pStyle w:val="Default"/>
        <w:jc w:val="both"/>
        <w:rPr>
          <w:rFonts w:asciiTheme="minorHAnsi" w:hAnsiTheme="minorHAnsi" w:cstheme="minorBidi"/>
          <w:sz w:val="20"/>
          <w:szCs w:val="20"/>
          <w:lang w:val="en-GB"/>
        </w:rPr>
      </w:pPr>
      <w:r w:rsidRPr="1575B655">
        <w:rPr>
          <w:rFonts w:asciiTheme="minorHAnsi" w:hAnsiTheme="minorHAnsi" w:cstheme="minorBidi"/>
          <w:sz w:val="20"/>
          <w:szCs w:val="20"/>
          <w:lang w:val="en-GB"/>
        </w:rPr>
        <w:t xml:space="preserve">Costs, </w:t>
      </w:r>
      <w:proofErr w:type="gramStart"/>
      <w:r w:rsidRPr="1575B655">
        <w:rPr>
          <w:rFonts w:asciiTheme="minorHAnsi" w:hAnsiTheme="minorHAnsi" w:cstheme="minorBidi"/>
          <w:sz w:val="20"/>
          <w:szCs w:val="20"/>
          <w:lang w:val="en-GB"/>
        </w:rPr>
        <w:t>fees</w:t>
      </w:r>
      <w:proofErr w:type="gramEnd"/>
      <w:r w:rsidRPr="1575B655">
        <w:rPr>
          <w:rFonts w:asciiTheme="minorHAnsi" w:hAnsiTheme="minorHAnsi" w:cstheme="minorBidi"/>
          <w:sz w:val="20"/>
          <w:szCs w:val="20"/>
          <w:lang w:val="en-GB"/>
        </w:rPr>
        <w:t xml:space="preserve"> and financial conditions applicable to </w:t>
      </w:r>
      <w:r w:rsidR="0023236C" w:rsidRPr="1575B655">
        <w:rPr>
          <w:rFonts w:asciiTheme="minorHAnsi" w:hAnsiTheme="minorHAnsi" w:cstheme="minorBidi"/>
          <w:sz w:val="20"/>
          <w:szCs w:val="20"/>
          <w:lang w:val="en-GB"/>
        </w:rPr>
        <w:t>CTF-REI</w:t>
      </w:r>
      <w:r w:rsidR="75DABAF5" w:rsidRPr="1575B655">
        <w:rPr>
          <w:rFonts w:asciiTheme="minorHAnsi" w:hAnsiTheme="minorHAnsi" w:cstheme="minorBidi"/>
          <w:sz w:val="20"/>
          <w:szCs w:val="20"/>
          <w:lang w:val="en-GB"/>
        </w:rPr>
        <w:t xml:space="preserve"> </w:t>
      </w:r>
      <w:r w:rsidRPr="1575B655">
        <w:rPr>
          <w:rFonts w:asciiTheme="minorHAnsi" w:hAnsiTheme="minorHAnsi" w:cstheme="minorBidi"/>
          <w:sz w:val="20"/>
          <w:szCs w:val="20"/>
          <w:lang w:val="en-GB"/>
        </w:rPr>
        <w:t xml:space="preserve">resources upon disbursement to </w:t>
      </w:r>
      <w:r w:rsidR="002B50C9" w:rsidRPr="1575B655">
        <w:rPr>
          <w:rFonts w:asciiTheme="minorHAnsi" w:hAnsiTheme="minorHAnsi" w:cstheme="minorBidi"/>
          <w:sz w:val="20"/>
          <w:szCs w:val="20"/>
          <w:lang w:val="en-GB"/>
        </w:rPr>
        <w:t>TEİAŞ</w:t>
      </w:r>
      <w:r w:rsidRPr="1575B655">
        <w:rPr>
          <w:rFonts w:asciiTheme="minorHAnsi" w:hAnsiTheme="minorHAnsi" w:cstheme="minorBidi"/>
          <w:sz w:val="20"/>
          <w:szCs w:val="20"/>
          <w:lang w:val="en-GB"/>
        </w:rPr>
        <w:t>, correspond to CIF funds</w:t>
      </w:r>
      <w:r w:rsidR="003B30D6" w:rsidRPr="1575B655">
        <w:rPr>
          <w:rFonts w:asciiTheme="minorHAnsi" w:hAnsiTheme="minorHAnsi" w:cstheme="minorBidi"/>
          <w:sz w:val="20"/>
          <w:szCs w:val="20"/>
          <w:lang w:val="en-GB"/>
        </w:rPr>
        <w:t>’ FY24</w:t>
      </w:r>
      <w:r w:rsidRPr="1575B655">
        <w:rPr>
          <w:rFonts w:asciiTheme="minorHAnsi" w:hAnsiTheme="minorHAnsi" w:cstheme="minorBidi"/>
          <w:sz w:val="20"/>
          <w:szCs w:val="20"/>
          <w:lang w:val="en-GB"/>
        </w:rPr>
        <w:t xml:space="preserve"> Financial Terms and Conditions</w:t>
      </w:r>
      <w:r w:rsidR="003B30D6" w:rsidRPr="1575B655">
        <w:rPr>
          <w:rFonts w:asciiTheme="minorHAnsi" w:hAnsiTheme="minorHAnsi" w:cstheme="minorBidi"/>
          <w:sz w:val="20"/>
          <w:szCs w:val="20"/>
          <w:lang w:val="en-GB"/>
        </w:rPr>
        <w:t xml:space="preserve">. </w:t>
      </w:r>
    </w:p>
    <w:p w14:paraId="2318FEA5" w14:textId="7BF65D5F" w:rsidR="009C71FE" w:rsidRPr="0043215C" w:rsidRDefault="009C71FE" w:rsidP="006B197A">
      <w:pPr>
        <w:pStyle w:val="Default"/>
        <w:jc w:val="both"/>
        <w:rPr>
          <w:rFonts w:asciiTheme="minorHAnsi" w:hAnsiTheme="minorHAnsi" w:cstheme="minorBidi"/>
          <w:sz w:val="20"/>
          <w:szCs w:val="20"/>
          <w:lang w:val="en-GB"/>
        </w:rPr>
      </w:pPr>
    </w:p>
    <w:p w14:paraId="79014CAE" w14:textId="5310E694" w:rsidR="003B30D6" w:rsidRPr="0043215C" w:rsidRDefault="5731CEAE" w:rsidP="003B30D6">
      <w:pPr>
        <w:spacing w:after="0"/>
        <w:ind w:right="-20"/>
        <w:rPr>
          <w:b/>
          <w:sz w:val="20"/>
          <w:szCs w:val="20"/>
          <w:lang w:val="en-GB"/>
        </w:rPr>
      </w:pPr>
      <w:r w:rsidRPr="1575B655">
        <w:rPr>
          <w:rFonts w:eastAsia="Times New Roman"/>
          <w:b/>
          <w:sz w:val="20"/>
          <w:szCs w:val="20"/>
          <w:lang w:val="en-GB"/>
        </w:rPr>
        <w:t>Component 2: S</w:t>
      </w:r>
      <w:r w:rsidRPr="1575B655">
        <w:rPr>
          <w:rFonts w:eastAsia="Times New Roman"/>
          <w:b/>
          <w:color w:val="000000" w:themeColor="text1"/>
          <w:sz w:val="20"/>
          <w:szCs w:val="20"/>
          <w:lang w:val="en-GB"/>
        </w:rPr>
        <w:t>ystem Flexibility, Balancing and Stabilization</w:t>
      </w:r>
      <w:r w:rsidR="005B0508" w:rsidRPr="1575B655">
        <w:rPr>
          <w:rFonts w:eastAsia="Times New Roman"/>
          <w:b/>
          <w:color w:val="000000" w:themeColor="text1"/>
          <w:sz w:val="20"/>
          <w:szCs w:val="20"/>
          <w:lang w:val="en-GB"/>
        </w:rPr>
        <w:t xml:space="preserve"> and Strengthening Power Infrastructure</w:t>
      </w:r>
      <w:r w:rsidRPr="1575B655">
        <w:rPr>
          <w:rFonts w:eastAsia="Times New Roman"/>
          <w:b/>
          <w:color w:val="000000" w:themeColor="text1"/>
          <w:sz w:val="20"/>
          <w:szCs w:val="20"/>
          <w:lang w:val="en-GB"/>
        </w:rPr>
        <w:t xml:space="preserve"> </w:t>
      </w:r>
      <w:r w:rsidRPr="1575B655">
        <w:rPr>
          <w:rFonts w:eastAsia="Times New Roman"/>
          <w:b/>
          <w:sz w:val="20"/>
          <w:szCs w:val="20"/>
          <w:lang w:val="en-GB"/>
        </w:rPr>
        <w:t>(</w:t>
      </w:r>
      <w:r w:rsidR="00636124" w:rsidRPr="1575B655">
        <w:rPr>
          <w:b/>
          <w:sz w:val="20"/>
          <w:szCs w:val="20"/>
          <w:lang w:val="en-GB"/>
        </w:rPr>
        <w:t>US$</w:t>
      </w:r>
      <w:r w:rsidR="006548A2" w:rsidRPr="1575B655">
        <w:rPr>
          <w:b/>
          <w:sz w:val="20"/>
          <w:szCs w:val="20"/>
          <w:lang w:val="en-GB"/>
        </w:rPr>
        <w:t xml:space="preserve">150m </w:t>
      </w:r>
      <w:r w:rsidR="00AF55AF" w:rsidRPr="1575B655">
        <w:rPr>
          <w:b/>
          <w:sz w:val="20"/>
          <w:szCs w:val="20"/>
          <w:lang w:val="en-GB"/>
        </w:rPr>
        <w:t xml:space="preserve">EBRD, </w:t>
      </w:r>
      <w:r w:rsidR="00636124" w:rsidRPr="1575B655">
        <w:rPr>
          <w:b/>
          <w:sz w:val="20"/>
          <w:szCs w:val="20"/>
          <w:lang w:val="en-GB"/>
        </w:rPr>
        <w:t>US$</w:t>
      </w:r>
      <w:r w:rsidR="00147ADB" w:rsidRPr="1575B655">
        <w:rPr>
          <w:b/>
          <w:sz w:val="20"/>
          <w:szCs w:val="20"/>
          <w:lang w:val="en-GB"/>
        </w:rPr>
        <w:t xml:space="preserve">150m IFC, </w:t>
      </w:r>
      <w:r w:rsidR="00636124" w:rsidRPr="1575B655">
        <w:rPr>
          <w:b/>
          <w:sz w:val="20"/>
          <w:szCs w:val="20"/>
          <w:lang w:val="en-GB"/>
        </w:rPr>
        <w:t>US$</w:t>
      </w:r>
      <w:r w:rsidR="00AF55AF" w:rsidRPr="1575B655">
        <w:rPr>
          <w:b/>
          <w:sz w:val="20"/>
          <w:szCs w:val="20"/>
          <w:lang w:val="en-GB"/>
        </w:rPr>
        <w:t xml:space="preserve"> </w:t>
      </w:r>
      <w:r w:rsidR="00147ADB" w:rsidRPr="1575B655">
        <w:rPr>
          <w:b/>
          <w:sz w:val="20"/>
          <w:szCs w:val="20"/>
          <w:lang w:val="en-GB"/>
        </w:rPr>
        <w:t>30</w:t>
      </w:r>
      <w:r w:rsidR="00AF55AF" w:rsidRPr="1575B655">
        <w:rPr>
          <w:b/>
          <w:sz w:val="20"/>
          <w:szCs w:val="20"/>
          <w:lang w:val="en-GB"/>
        </w:rPr>
        <w:t>m CTF</w:t>
      </w:r>
      <w:r w:rsidRPr="1575B655">
        <w:rPr>
          <w:b/>
          <w:sz w:val="20"/>
          <w:szCs w:val="20"/>
          <w:lang w:val="en-GB"/>
        </w:rPr>
        <w:t xml:space="preserve">). </w:t>
      </w:r>
    </w:p>
    <w:p w14:paraId="27B090CF" w14:textId="77777777" w:rsidR="003D48F8" w:rsidRPr="0043215C" w:rsidRDefault="003D48F8" w:rsidP="003D48F8">
      <w:pPr>
        <w:spacing w:after="0"/>
        <w:ind w:right="-20"/>
        <w:rPr>
          <w:b/>
          <w:sz w:val="20"/>
          <w:szCs w:val="20"/>
          <w:lang w:val="en-GB"/>
        </w:rPr>
      </w:pPr>
    </w:p>
    <w:p w14:paraId="702DA07F" w14:textId="436C1E88" w:rsidR="00416E91" w:rsidRDefault="00F71AB5" w:rsidP="5E57ED61">
      <w:pPr>
        <w:spacing w:after="0"/>
        <w:ind w:right="-20"/>
        <w:rPr>
          <w:rFonts w:eastAsia="Times New Roman"/>
          <w:color w:val="000000" w:themeColor="text1"/>
          <w:sz w:val="20"/>
          <w:szCs w:val="20"/>
          <w:lang w:val="en-GB"/>
        </w:rPr>
      </w:pPr>
      <w:r w:rsidRPr="1575B655">
        <w:rPr>
          <w:rFonts w:eastAsia="Times New Roman"/>
          <w:color w:val="000000" w:themeColor="text1"/>
          <w:sz w:val="20"/>
          <w:szCs w:val="20"/>
          <w:lang w:val="en-GB"/>
        </w:rPr>
        <w:t xml:space="preserve">EBRD will provide </w:t>
      </w:r>
      <w:r w:rsidR="00636124" w:rsidRPr="1575B655">
        <w:rPr>
          <w:rFonts w:eastAsia="Times New Roman"/>
          <w:color w:val="000000" w:themeColor="text1"/>
          <w:sz w:val="20"/>
          <w:szCs w:val="20"/>
          <w:lang w:val="en-GB"/>
        </w:rPr>
        <w:t>US$</w:t>
      </w:r>
      <w:r w:rsidRPr="1575B655">
        <w:rPr>
          <w:rFonts w:eastAsia="Times New Roman"/>
          <w:color w:val="000000" w:themeColor="text1"/>
          <w:sz w:val="20"/>
          <w:szCs w:val="20"/>
          <w:lang w:val="en-GB"/>
        </w:rPr>
        <w:t xml:space="preserve"> 50m in financing in addition to </w:t>
      </w:r>
      <w:r w:rsidR="00636124" w:rsidRPr="1575B655">
        <w:rPr>
          <w:rFonts w:eastAsia="Times New Roman"/>
          <w:color w:val="000000" w:themeColor="text1"/>
          <w:sz w:val="20"/>
          <w:szCs w:val="20"/>
          <w:lang w:val="en-GB"/>
        </w:rPr>
        <w:t>US$</w:t>
      </w:r>
      <w:r w:rsidRPr="1575B655">
        <w:rPr>
          <w:rFonts w:eastAsia="Times New Roman"/>
          <w:color w:val="000000" w:themeColor="text1"/>
          <w:sz w:val="20"/>
          <w:szCs w:val="20"/>
          <w:lang w:val="en-GB"/>
        </w:rPr>
        <w:t xml:space="preserve"> 5m CTF funds for </w:t>
      </w:r>
      <w:r w:rsidR="00AE48E2" w:rsidRPr="1575B655">
        <w:rPr>
          <w:rFonts w:eastAsia="Times New Roman"/>
          <w:color w:val="000000" w:themeColor="text1"/>
          <w:sz w:val="20"/>
          <w:szCs w:val="20"/>
          <w:lang w:val="en-GB"/>
        </w:rPr>
        <w:t>B</w:t>
      </w:r>
      <w:r w:rsidRPr="1575B655">
        <w:rPr>
          <w:rFonts w:eastAsia="Times New Roman"/>
          <w:color w:val="000000" w:themeColor="text1"/>
          <w:sz w:val="20"/>
          <w:szCs w:val="20"/>
          <w:lang w:val="en-GB"/>
        </w:rPr>
        <w:t>attery Storage.</w:t>
      </w:r>
      <w:r w:rsidR="003B30D6" w:rsidRPr="1575B655">
        <w:rPr>
          <w:rFonts w:eastAsia="Times New Roman"/>
          <w:color w:val="000000" w:themeColor="text1"/>
          <w:sz w:val="20"/>
          <w:szCs w:val="20"/>
          <w:lang w:val="en-GB"/>
        </w:rPr>
        <w:t xml:space="preserve"> </w:t>
      </w:r>
      <w:r w:rsidR="00714405" w:rsidRPr="1575B655">
        <w:rPr>
          <w:rFonts w:eastAsia="Times New Roman"/>
          <w:color w:val="000000" w:themeColor="text1"/>
          <w:sz w:val="20"/>
          <w:szCs w:val="20"/>
          <w:lang w:val="en-GB"/>
        </w:rPr>
        <w:t xml:space="preserve">EBRD will provide </w:t>
      </w:r>
      <w:r w:rsidR="00636124" w:rsidRPr="1575B655">
        <w:rPr>
          <w:rFonts w:eastAsia="Times New Roman"/>
          <w:color w:val="000000" w:themeColor="text1"/>
          <w:sz w:val="20"/>
          <w:szCs w:val="20"/>
          <w:lang w:val="en-GB"/>
        </w:rPr>
        <w:t>US$</w:t>
      </w:r>
      <w:r w:rsidR="00714405" w:rsidRPr="1575B655">
        <w:rPr>
          <w:rFonts w:eastAsia="Times New Roman"/>
          <w:color w:val="000000" w:themeColor="text1"/>
          <w:sz w:val="20"/>
          <w:szCs w:val="20"/>
          <w:lang w:val="en-GB"/>
        </w:rPr>
        <w:t xml:space="preserve"> 50m in financing in addition to </w:t>
      </w:r>
      <w:r w:rsidR="00636124" w:rsidRPr="1575B655">
        <w:rPr>
          <w:rFonts w:eastAsia="Times New Roman"/>
          <w:color w:val="000000" w:themeColor="text1"/>
          <w:sz w:val="20"/>
          <w:szCs w:val="20"/>
          <w:lang w:val="en-GB"/>
        </w:rPr>
        <w:t>US$</w:t>
      </w:r>
      <w:r w:rsidR="00714405" w:rsidRPr="1575B655">
        <w:rPr>
          <w:rFonts w:eastAsia="Times New Roman"/>
          <w:color w:val="000000" w:themeColor="text1"/>
          <w:sz w:val="20"/>
          <w:szCs w:val="20"/>
          <w:lang w:val="en-GB"/>
        </w:rPr>
        <w:t xml:space="preserve"> 5m CTF funds for E-Mobility (EV Charging Stations) and Digitalization of the Power Distribution Grid, respectively.</w:t>
      </w:r>
      <w:r w:rsidR="006A18E9" w:rsidRPr="1575B655">
        <w:rPr>
          <w:rFonts w:eastAsia="Times New Roman"/>
          <w:color w:val="000000" w:themeColor="text1"/>
          <w:sz w:val="20"/>
          <w:szCs w:val="20"/>
          <w:lang w:val="en-GB"/>
        </w:rPr>
        <w:t xml:space="preserve"> </w:t>
      </w:r>
      <w:r w:rsidR="00DA6175" w:rsidRPr="1575B655">
        <w:rPr>
          <w:rFonts w:eastAsia="Times New Roman"/>
          <w:color w:val="000000" w:themeColor="text1"/>
          <w:sz w:val="20"/>
          <w:szCs w:val="20"/>
          <w:lang w:val="en-GB"/>
        </w:rPr>
        <w:t xml:space="preserve">IFC will deploy </w:t>
      </w:r>
      <w:r w:rsidR="00636124" w:rsidRPr="1575B655">
        <w:rPr>
          <w:rFonts w:eastAsia="Times New Roman"/>
          <w:color w:val="000000" w:themeColor="text1"/>
          <w:sz w:val="20"/>
          <w:szCs w:val="20"/>
          <w:lang w:val="en-GB"/>
        </w:rPr>
        <w:t>US$</w:t>
      </w:r>
      <w:r w:rsidR="00DA6175" w:rsidRPr="1575B655">
        <w:rPr>
          <w:rFonts w:eastAsia="Times New Roman"/>
          <w:color w:val="000000" w:themeColor="text1"/>
          <w:sz w:val="20"/>
          <w:szCs w:val="20"/>
          <w:lang w:val="en-GB"/>
        </w:rPr>
        <w:t xml:space="preserve">15m CTF-REI concessional resources in </w:t>
      </w:r>
      <w:r w:rsidR="006A18E9" w:rsidRPr="1575B655">
        <w:rPr>
          <w:rFonts w:eastAsia="Times New Roman"/>
          <w:color w:val="000000" w:themeColor="text1"/>
          <w:sz w:val="20"/>
          <w:szCs w:val="20"/>
          <w:lang w:val="en-GB"/>
        </w:rPr>
        <w:t xml:space="preserve">support </w:t>
      </w:r>
      <w:r w:rsidR="00DA6175" w:rsidRPr="1575B655">
        <w:rPr>
          <w:rFonts w:eastAsia="Times New Roman"/>
          <w:color w:val="000000" w:themeColor="text1"/>
          <w:sz w:val="20"/>
          <w:szCs w:val="20"/>
          <w:lang w:val="en-GB"/>
        </w:rPr>
        <w:t xml:space="preserve">of </w:t>
      </w:r>
      <w:r w:rsidR="006A18E9" w:rsidRPr="1575B655">
        <w:rPr>
          <w:rFonts w:eastAsia="Times New Roman"/>
          <w:color w:val="000000" w:themeColor="text1"/>
          <w:sz w:val="20"/>
          <w:szCs w:val="20"/>
          <w:lang w:val="en-GB"/>
        </w:rPr>
        <w:t xml:space="preserve">battery storage </w:t>
      </w:r>
      <w:r w:rsidR="00DA6175" w:rsidRPr="1575B655">
        <w:rPr>
          <w:rFonts w:eastAsia="Times New Roman"/>
          <w:color w:val="000000" w:themeColor="text1"/>
          <w:sz w:val="20"/>
          <w:szCs w:val="20"/>
          <w:lang w:val="en-GB"/>
        </w:rPr>
        <w:t>and E-Mobility (EV Charging Stations)</w:t>
      </w:r>
      <w:r w:rsidR="002C4B01" w:rsidRPr="1575B655">
        <w:rPr>
          <w:rFonts w:eastAsia="Times New Roman"/>
          <w:color w:val="000000" w:themeColor="text1"/>
          <w:sz w:val="20"/>
          <w:szCs w:val="20"/>
          <w:lang w:val="en-GB"/>
        </w:rPr>
        <w:t xml:space="preserve"> </w:t>
      </w:r>
      <w:r w:rsidR="00E25D8C" w:rsidRPr="1575B655">
        <w:rPr>
          <w:rFonts w:eastAsia="Times New Roman"/>
          <w:color w:val="000000" w:themeColor="text1"/>
          <w:sz w:val="20"/>
          <w:szCs w:val="20"/>
          <w:lang w:val="en-GB"/>
        </w:rPr>
        <w:t xml:space="preserve">and aim to leverage at least </w:t>
      </w:r>
      <w:r w:rsidR="00636124" w:rsidRPr="1575B655">
        <w:rPr>
          <w:rFonts w:eastAsia="Times New Roman"/>
          <w:color w:val="000000" w:themeColor="text1"/>
          <w:sz w:val="20"/>
          <w:szCs w:val="20"/>
          <w:lang w:val="en-GB"/>
        </w:rPr>
        <w:t>US$</w:t>
      </w:r>
      <w:r w:rsidR="0087380F" w:rsidRPr="1575B655">
        <w:rPr>
          <w:rFonts w:eastAsia="Times New Roman"/>
          <w:color w:val="000000" w:themeColor="text1"/>
          <w:sz w:val="20"/>
          <w:szCs w:val="20"/>
          <w:lang w:val="en-GB"/>
        </w:rPr>
        <w:t>150</w:t>
      </w:r>
      <w:r w:rsidR="002C4B01" w:rsidRPr="1575B655">
        <w:rPr>
          <w:rFonts w:eastAsia="Times New Roman"/>
          <w:color w:val="000000" w:themeColor="text1"/>
          <w:sz w:val="20"/>
          <w:szCs w:val="20"/>
          <w:lang w:val="en-GB"/>
        </w:rPr>
        <w:t>m in own account financing</w:t>
      </w:r>
      <w:r w:rsidR="00C71982" w:rsidRPr="1575B655">
        <w:rPr>
          <w:rFonts w:eastAsia="Times New Roman"/>
          <w:color w:val="000000" w:themeColor="text1"/>
          <w:sz w:val="20"/>
          <w:szCs w:val="20"/>
          <w:lang w:val="en-GB"/>
        </w:rPr>
        <w:t xml:space="preserve">. IFC will also seek to </w:t>
      </w:r>
      <w:r w:rsidR="002C4B01" w:rsidRPr="1575B655">
        <w:rPr>
          <w:rFonts w:eastAsia="Times New Roman"/>
          <w:color w:val="000000" w:themeColor="text1"/>
          <w:sz w:val="20"/>
          <w:szCs w:val="20"/>
          <w:lang w:val="en-GB"/>
        </w:rPr>
        <w:t xml:space="preserve">mobilize additional </w:t>
      </w:r>
      <w:r w:rsidR="00892F83" w:rsidRPr="1575B655">
        <w:rPr>
          <w:rFonts w:eastAsia="Times New Roman"/>
          <w:color w:val="000000" w:themeColor="text1"/>
          <w:sz w:val="20"/>
          <w:szCs w:val="20"/>
          <w:lang w:val="en-GB"/>
        </w:rPr>
        <w:t>resources from private sector players</w:t>
      </w:r>
      <w:r w:rsidR="00020E94" w:rsidRPr="1575B655">
        <w:rPr>
          <w:rFonts w:eastAsia="Times New Roman"/>
          <w:color w:val="000000" w:themeColor="text1"/>
          <w:sz w:val="20"/>
          <w:szCs w:val="20"/>
          <w:lang w:val="en-GB"/>
        </w:rPr>
        <w:t xml:space="preserve"> and other partners</w:t>
      </w:r>
      <w:r w:rsidR="00DA6175" w:rsidRPr="1575B655">
        <w:rPr>
          <w:rFonts w:eastAsia="Times New Roman"/>
          <w:color w:val="000000" w:themeColor="text1"/>
          <w:sz w:val="20"/>
          <w:szCs w:val="20"/>
          <w:lang w:val="en-GB"/>
        </w:rPr>
        <w:t xml:space="preserve">. </w:t>
      </w:r>
      <w:bookmarkStart w:id="95" w:name="_Toc162449730"/>
      <w:bookmarkStart w:id="96" w:name="_Toc162898771"/>
      <w:bookmarkStart w:id="97" w:name="_Toc162898833"/>
      <w:bookmarkStart w:id="98" w:name="_Toc162962955"/>
      <w:bookmarkStart w:id="99" w:name="_Toc162964137"/>
    </w:p>
    <w:p w14:paraId="2387A2F3" w14:textId="5B55725B" w:rsidR="00F15A02" w:rsidRPr="0043215C" w:rsidRDefault="00FE641D" w:rsidP="5F8BA742">
      <w:pPr>
        <w:pStyle w:val="Heading1"/>
        <w:rPr>
          <w:rFonts w:asciiTheme="minorHAnsi" w:hAnsiTheme="minorHAnsi" w:cstheme="minorBidi"/>
          <w:sz w:val="20"/>
          <w:szCs w:val="20"/>
          <w:lang w:val="en-GB"/>
        </w:rPr>
      </w:pPr>
      <w:bookmarkStart w:id="100" w:name="_Toc170319835"/>
      <w:r w:rsidRPr="1575B655">
        <w:rPr>
          <w:rFonts w:asciiTheme="minorHAnsi" w:hAnsiTheme="minorHAnsi" w:cstheme="minorBidi"/>
          <w:sz w:val="20"/>
          <w:szCs w:val="20"/>
          <w:lang w:val="en-GB"/>
        </w:rPr>
        <w:t>VI. Implementation Potential with Risk Assessment</w:t>
      </w:r>
      <w:bookmarkEnd w:id="95"/>
      <w:bookmarkEnd w:id="96"/>
      <w:bookmarkEnd w:id="97"/>
      <w:bookmarkEnd w:id="98"/>
      <w:bookmarkEnd w:id="99"/>
      <w:bookmarkEnd w:id="100"/>
    </w:p>
    <w:p w14:paraId="6817493E" w14:textId="7BB7FC59" w:rsidR="00F15A02" w:rsidRPr="0043215C" w:rsidRDefault="003E7CCB" w:rsidP="000D401E">
      <w:pPr>
        <w:pStyle w:val="Default"/>
        <w:spacing w:after="46"/>
        <w:jc w:val="both"/>
        <w:rPr>
          <w:rFonts w:asciiTheme="minorHAnsi" w:hAnsiTheme="minorHAnsi" w:cstheme="minorBidi"/>
          <w:sz w:val="20"/>
          <w:szCs w:val="20"/>
          <w:lang w:val="en-GB"/>
        </w:rPr>
      </w:pPr>
      <w:r w:rsidRPr="1575B655">
        <w:rPr>
          <w:rFonts w:asciiTheme="minorHAnsi" w:hAnsiTheme="minorHAnsi" w:cstheme="minorBidi"/>
          <w:sz w:val="20"/>
          <w:szCs w:val="20"/>
          <w:lang w:val="en-GB"/>
        </w:rPr>
        <w:t xml:space="preserve">Per </w:t>
      </w:r>
      <w:r w:rsidR="000D63EB" w:rsidRPr="1575B655">
        <w:rPr>
          <w:rFonts w:asciiTheme="minorHAnsi" w:hAnsiTheme="minorHAnsi" w:cstheme="minorBidi"/>
          <w:sz w:val="20"/>
          <w:szCs w:val="20"/>
          <w:lang w:val="en-GB"/>
        </w:rPr>
        <w:t>the</w:t>
      </w:r>
      <w:r w:rsidRPr="1575B655">
        <w:rPr>
          <w:rFonts w:asciiTheme="minorHAnsi" w:hAnsiTheme="minorHAnsi" w:cstheme="minorBidi"/>
          <w:sz w:val="20"/>
          <w:szCs w:val="20"/>
          <w:lang w:val="en-GB"/>
        </w:rPr>
        <w:t xml:space="preserve"> </w:t>
      </w:r>
      <w:r w:rsidR="00671D8E" w:rsidRPr="1575B655">
        <w:rPr>
          <w:rFonts w:asciiTheme="minorHAnsi" w:hAnsiTheme="minorHAnsi" w:cstheme="minorBidi"/>
          <w:sz w:val="20"/>
          <w:szCs w:val="20"/>
          <w:lang w:val="en-GB"/>
        </w:rPr>
        <w:t>IP</w:t>
      </w:r>
      <w:r w:rsidR="00DD38B7" w:rsidRPr="1575B655">
        <w:rPr>
          <w:rFonts w:asciiTheme="minorHAnsi" w:hAnsiTheme="minorHAnsi" w:cstheme="minorBidi"/>
          <w:sz w:val="20"/>
          <w:szCs w:val="20"/>
          <w:lang w:val="en-GB"/>
        </w:rPr>
        <w:t xml:space="preserve"> preparation guidelines</w:t>
      </w:r>
      <w:r w:rsidRPr="1575B655">
        <w:rPr>
          <w:rFonts w:asciiTheme="minorHAnsi" w:hAnsiTheme="minorHAnsi" w:cstheme="minorBidi"/>
          <w:sz w:val="20"/>
          <w:szCs w:val="20"/>
          <w:lang w:val="en-GB"/>
        </w:rPr>
        <w:t>,</w:t>
      </w:r>
      <w:r w:rsidR="00DD38B7" w:rsidRPr="1575B655">
        <w:rPr>
          <w:rFonts w:asciiTheme="minorHAnsi" w:hAnsiTheme="minorHAnsi" w:cstheme="minorBidi"/>
          <w:sz w:val="20"/>
          <w:szCs w:val="20"/>
          <w:lang w:val="en-GB"/>
        </w:rPr>
        <w:t xml:space="preserve"> assess</w:t>
      </w:r>
      <w:r w:rsidRPr="1575B655">
        <w:rPr>
          <w:rFonts w:asciiTheme="minorHAnsi" w:hAnsiTheme="minorHAnsi" w:cstheme="minorBidi"/>
          <w:sz w:val="20"/>
          <w:szCs w:val="20"/>
          <w:lang w:val="en-GB"/>
        </w:rPr>
        <w:t>ed</w:t>
      </w:r>
      <w:r w:rsidR="00DD38B7" w:rsidRPr="1575B655">
        <w:rPr>
          <w:rFonts w:asciiTheme="minorHAnsi" w:hAnsiTheme="minorHAnsi" w:cstheme="minorBidi"/>
          <w:sz w:val="20"/>
          <w:szCs w:val="20"/>
          <w:lang w:val="en-GB"/>
        </w:rPr>
        <w:t xml:space="preserve"> c</w:t>
      </w:r>
      <w:r w:rsidR="00FE641D" w:rsidRPr="1575B655">
        <w:rPr>
          <w:rFonts w:asciiTheme="minorHAnsi" w:hAnsiTheme="minorHAnsi" w:cstheme="minorBidi"/>
          <w:sz w:val="20"/>
          <w:szCs w:val="20"/>
          <w:lang w:val="en-GB"/>
        </w:rPr>
        <w:t>ountry/regional risks</w:t>
      </w:r>
      <w:r w:rsidRPr="1575B655">
        <w:rPr>
          <w:rFonts w:asciiTheme="minorHAnsi" w:hAnsiTheme="minorHAnsi" w:cstheme="minorBidi"/>
          <w:sz w:val="20"/>
          <w:szCs w:val="20"/>
          <w:lang w:val="en-GB"/>
        </w:rPr>
        <w:t xml:space="preserve"> include</w:t>
      </w:r>
      <w:r w:rsidR="00DD38B7" w:rsidRPr="1575B655">
        <w:rPr>
          <w:rFonts w:asciiTheme="minorHAnsi" w:hAnsiTheme="minorHAnsi" w:cstheme="minorBidi"/>
          <w:sz w:val="20"/>
          <w:szCs w:val="20"/>
          <w:lang w:val="en-GB"/>
        </w:rPr>
        <w:t xml:space="preserve"> </w:t>
      </w:r>
      <w:r w:rsidR="00FE641D" w:rsidRPr="1575B655">
        <w:rPr>
          <w:rFonts w:asciiTheme="minorHAnsi" w:hAnsiTheme="minorHAnsi" w:cstheme="minorBidi"/>
          <w:sz w:val="20"/>
          <w:szCs w:val="20"/>
          <w:lang w:val="en-GB"/>
        </w:rPr>
        <w:t xml:space="preserve">institutional, technology, environmental, social, </w:t>
      </w:r>
      <w:r w:rsidR="00DD38B7" w:rsidRPr="1575B655">
        <w:rPr>
          <w:rFonts w:asciiTheme="minorHAnsi" w:hAnsiTheme="minorHAnsi" w:cstheme="minorBidi"/>
          <w:sz w:val="20"/>
          <w:szCs w:val="20"/>
          <w:lang w:val="en-GB"/>
        </w:rPr>
        <w:t xml:space="preserve">and </w:t>
      </w:r>
      <w:r w:rsidR="00FE641D" w:rsidRPr="1575B655">
        <w:rPr>
          <w:rFonts w:asciiTheme="minorHAnsi" w:hAnsiTheme="minorHAnsi" w:cstheme="minorBidi"/>
          <w:sz w:val="20"/>
          <w:szCs w:val="20"/>
          <w:lang w:val="en-GB"/>
        </w:rPr>
        <w:t>financial</w:t>
      </w:r>
      <w:r w:rsidR="007A4084" w:rsidRPr="1575B655">
        <w:rPr>
          <w:rFonts w:asciiTheme="minorHAnsi" w:hAnsiTheme="minorHAnsi" w:cstheme="minorBidi"/>
          <w:sz w:val="20"/>
          <w:szCs w:val="20"/>
          <w:lang w:val="en-GB"/>
        </w:rPr>
        <w:t>, as well as</w:t>
      </w:r>
      <w:r w:rsidRPr="1575B655">
        <w:rPr>
          <w:rFonts w:asciiTheme="minorHAnsi" w:hAnsiTheme="minorHAnsi" w:cstheme="minorBidi"/>
          <w:sz w:val="20"/>
          <w:szCs w:val="20"/>
          <w:lang w:val="en-GB"/>
        </w:rPr>
        <w:t xml:space="preserve"> </w:t>
      </w:r>
      <w:r w:rsidR="007A4084" w:rsidRPr="1575B655">
        <w:rPr>
          <w:rFonts w:asciiTheme="minorHAnsi" w:hAnsiTheme="minorHAnsi" w:cstheme="minorBidi"/>
          <w:sz w:val="20"/>
          <w:szCs w:val="20"/>
          <w:lang w:val="en-GB"/>
        </w:rPr>
        <w:t>a</w:t>
      </w:r>
      <w:r w:rsidR="00DD38B7" w:rsidRPr="1575B655">
        <w:rPr>
          <w:rFonts w:asciiTheme="minorHAnsi" w:hAnsiTheme="minorHAnsi" w:cstheme="minorBidi"/>
          <w:sz w:val="20"/>
          <w:szCs w:val="20"/>
          <w:lang w:val="en-GB"/>
        </w:rPr>
        <w:t>bsorptive capacity for REI Program and associated investments.</w:t>
      </w:r>
    </w:p>
    <w:p w14:paraId="3598D9EF" w14:textId="170E1711" w:rsidR="00CC2C8A" w:rsidRPr="0043215C" w:rsidRDefault="00FE641D" w:rsidP="5F8BA742">
      <w:pPr>
        <w:pStyle w:val="Heading2"/>
        <w:rPr>
          <w:sz w:val="20"/>
          <w:szCs w:val="20"/>
          <w:lang w:val="en-GB"/>
        </w:rPr>
      </w:pPr>
      <w:bookmarkStart w:id="101" w:name="_Toc162898772"/>
      <w:bookmarkStart w:id="102" w:name="_Toc162898834"/>
      <w:bookmarkStart w:id="103" w:name="_Toc162962956"/>
      <w:bookmarkStart w:id="104" w:name="_Toc162964138"/>
      <w:bookmarkStart w:id="105" w:name="_Toc170319836"/>
      <w:r w:rsidRPr="1575B655">
        <w:rPr>
          <w:sz w:val="20"/>
          <w:szCs w:val="20"/>
          <w:lang w:val="en-GB"/>
        </w:rPr>
        <w:t>Macroeconomic risk</w:t>
      </w:r>
      <w:bookmarkEnd w:id="101"/>
      <w:bookmarkEnd w:id="102"/>
      <w:bookmarkEnd w:id="103"/>
      <w:bookmarkEnd w:id="104"/>
      <w:bookmarkEnd w:id="105"/>
    </w:p>
    <w:p w14:paraId="64EEB957" w14:textId="7DE782FB" w:rsidR="00DD38B7" w:rsidRPr="0043215C" w:rsidRDefault="009112FD" w:rsidP="00DD38B7">
      <w:pPr>
        <w:rPr>
          <w:rFonts w:cstheme="minorHAnsi"/>
          <w:sz w:val="20"/>
          <w:szCs w:val="20"/>
        </w:rPr>
      </w:pPr>
      <w:r w:rsidRPr="0043215C">
        <w:rPr>
          <w:rFonts w:cstheme="minorHAnsi"/>
          <w:sz w:val="20"/>
          <w:szCs w:val="20"/>
        </w:rPr>
        <w:t xml:space="preserve">Macroeconomic risk is considered substantial. Key macroeconomic risks to the </w:t>
      </w:r>
      <w:r w:rsidR="00066A3C" w:rsidRPr="0043215C">
        <w:rPr>
          <w:rFonts w:cstheme="minorHAnsi"/>
          <w:sz w:val="20"/>
          <w:szCs w:val="20"/>
        </w:rPr>
        <w:t>IP</w:t>
      </w:r>
      <w:r w:rsidRPr="0043215C">
        <w:rPr>
          <w:rFonts w:cstheme="minorHAnsi"/>
          <w:sz w:val="20"/>
          <w:szCs w:val="20"/>
        </w:rPr>
        <w:t xml:space="preserve"> include: (a) any further significant depreciation of the currency and high inflation could raise construction costs and foreign exchange risk faced by sector entities; and (b) supply-side constraints due to a spike in imported intermediate goods and equipment price and as a result of the elevated pricing uncertainty could lead to delays in project implementation; and (c) geopolitical tensions in the region adversely affecting commodity and energy prices and causing a slowdown in the EU and other major markets also represent risks to the project. </w:t>
      </w:r>
      <w:r w:rsidR="007D0EF8" w:rsidRPr="0043215C">
        <w:rPr>
          <w:rFonts w:cstheme="minorHAnsi"/>
          <w:sz w:val="20"/>
          <w:szCs w:val="20"/>
        </w:rPr>
        <w:t xml:space="preserve">Sector entities </w:t>
      </w:r>
      <w:r w:rsidR="0002460C" w:rsidRPr="0043215C">
        <w:rPr>
          <w:rFonts w:cstheme="minorHAnsi"/>
          <w:sz w:val="20"/>
          <w:szCs w:val="20"/>
        </w:rPr>
        <w:t xml:space="preserve">generally </w:t>
      </w:r>
      <w:r w:rsidRPr="0043215C">
        <w:rPr>
          <w:rFonts w:cstheme="minorHAnsi"/>
          <w:sz w:val="20"/>
          <w:szCs w:val="20"/>
        </w:rPr>
        <w:t>have strong internal risk-based control systems and are well-placed to manage macroeconomic shocks</w:t>
      </w:r>
      <w:r w:rsidR="0002460C" w:rsidRPr="0043215C">
        <w:rPr>
          <w:rFonts w:cstheme="minorHAnsi"/>
          <w:sz w:val="20"/>
          <w:szCs w:val="20"/>
        </w:rPr>
        <w:t>. These characteristics will be considered for implementing entities yet to be selected</w:t>
      </w:r>
      <w:r w:rsidRPr="0043215C">
        <w:rPr>
          <w:rFonts w:cstheme="minorHAnsi"/>
          <w:sz w:val="20"/>
          <w:szCs w:val="20"/>
        </w:rPr>
        <w:t xml:space="preserve">. The World Bank will also continue to monitor macro-financial risk, engage with the authorities on economic policies, and offer technical assistance as requested by the </w:t>
      </w:r>
      <w:r w:rsidR="00B04034" w:rsidRPr="0043215C">
        <w:rPr>
          <w:rFonts w:cstheme="minorHAnsi"/>
          <w:sz w:val="20"/>
          <w:szCs w:val="20"/>
        </w:rPr>
        <w:t>Government</w:t>
      </w:r>
      <w:r w:rsidRPr="0043215C">
        <w:rPr>
          <w:rFonts w:cstheme="minorHAnsi"/>
          <w:sz w:val="20"/>
          <w:szCs w:val="20"/>
        </w:rPr>
        <w:t>.</w:t>
      </w:r>
    </w:p>
    <w:p w14:paraId="0A13C6A1" w14:textId="1C15753D" w:rsidR="00BA1BC1" w:rsidRPr="0043215C" w:rsidRDefault="00FE641D" w:rsidP="00B05E01">
      <w:pPr>
        <w:pStyle w:val="Heading2"/>
        <w:rPr>
          <w:rFonts w:cstheme="minorHAnsi"/>
          <w:sz w:val="20"/>
          <w:szCs w:val="20"/>
        </w:rPr>
      </w:pPr>
      <w:bookmarkStart w:id="106" w:name="_Toc162898773"/>
      <w:bookmarkStart w:id="107" w:name="_Toc162898835"/>
      <w:bookmarkStart w:id="108" w:name="_Toc162962957"/>
      <w:bookmarkStart w:id="109" w:name="_Toc162964139"/>
      <w:bookmarkStart w:id="110" w:name="_Toc170319837"/>
      <w:r w:rsidRPr="0043215C">
        <w:rPr>
          <w:rFonts w:cstheme="minorHAnsi"/>
          <w:sz w:val="20"/>
          <w:szCs w:val="20"/>
        </w:rPr>
        <w:t>Institutional capacity for implementation and sustainability risk</w:t>
      </w:r>
      <w:bookmarkEnd w:id="106"/>
      <w:bookmarkEnd w:id="107"/>
      <w:bookmarkEnd w:id="108"/>
      <w:bookmarkEnd w:id="109"/>
      <w:bookmarkEnd w:id="110"/>
    </w:p>
    <w:p w14:paraId="0521DF68" w14:textId="6097D320" w:rsidR="00382260" w:rsidRPr="0043215C" w:rsidRDefault="00382260" w:rsidP="00A743BA">
      <w:pPr>
        <w:widowControl w:val="0"/>
        <w:tabs>
          <w:tab w:val="left" w:pos="180"/>
        </w:tabs>
        <w:spacing w:before="120" w:after="120" w:line="240" w:lineRule="auto"/>
        <w:ind w:right="180"/>
      </w:pPr>
      <w:bookmarkStart w:id="111" w:name="_Toc162898774"/>
      <w:bookmarkStart w:id="112" w:name="_Toc162898836"/>
      <w:r w:rsidRPr="0043215C">
        <w:rPr>
          <w:rFonts w:cstheme="minorHAnsi"/>
          <w:sz w:val="20"/>
          <w:szCs w:val="20"/>
        </w:rPr>
        <w:t>TEİAŞ’ capacity has significantly</w:t>
      </w:r>
      <w:r w:rsidR="00C17E4B" w:rsidRPr="0043215C">
        <w:rPr>
          <w:rFonts w:cstheme="minorHAnsi"/>
          <w:sz w:val="20"/>
          <w:szCs w:val="20"/>
        </w:rPr>
        <w:t xml:space="preserve"> </w:t>
      </w:r>
      <w:r w:rsidRPr="0043215C">
        <w:rPr>
          <w:rFonts w:cstheme="minorHAnsi"/>
          <w:sz w:val="20"/>
          <w:szCs w:val="20"/>
        </w:rPr>
        <w:t>increased during the implementation of the on</w:t>
      </w:r>
      <w:r w:rsidR="002B5CE5" w:rsidRPr="0043215C">
        <w:rPr>
          <w:rFonts w:cstheme="minorHAnsi"/>
          <w:sz w:val="20"/>
          <w:szCs w:val="20"/>
        </w:rPr>
        <w:t>-</w:t>
      </w:r>
      <w:r w:rsidRPr="0043215C">
        <w:rPr>
          <w:rFonts w:cstheme="minorHAnsi"/>
          <w:sz w:val="20"/>
          <w:szCs w:val="20"/>
        </w:rPr>
        <w:t xml:space="preserve">going and previous </w:t>
      </w:r>
      <w:r w:rsidR="00A26192" w:rsidRPr="0043215C">
        <w:rPr>
          <w:rFonts w:cstheme="minorHAnsi"/>
          <w:sz w:val="20"/>
          <w:szCs w:val="20"/>
        </w:rPr>
        <w:t xml:space="preserve">World </w:t>
      </w:r>
      <w:r w:rsidRPr="0043215C">
        <w:rPr>
          <w:rFonts w:cstheme="minorHAnsi"/>
          <w:sz w:val="20"/>
          <w:szCs w:val="20"/>
        </w:rPr>
        <w:t>Bank</w:t>
      </w:r>
      <w:r w:rsidR="00A26192" w:rsidRPr="0043215C">
        <w:rPr>
          <w:rFonts w:cstheme="minorHAnsi"/>
          <w:sz w:val="20"/>
          <w:szCs w:val="20"/>
        </w:rPr>
        <w:t xml:space="preserve"> </w:t>
      </w:r>
      <w:r w:rsidRPr="0043215C">
        <w:rPr>
          <w:rFonts w:cstheme="minorHAnsi"/>
          <w:sz w:val="20"/>
          <w:szCs w:val="20"/>
        </w:rPr>
        <w:t>financed investment projects</w:t>
      </w:r>
      <w:r w:rsidR="00A26192" w:rsidRPr="0043215C">
        <w:rPr>
          <w:rFonts w:cstheme="minorHAnsi"/>
          <w:sz w:val="20"/>
          <w:szCs w:val="20"/>
        </w:rPr>
        <w:t xml:space="preserve"> and technical assistance activities</w:t>
      </w:r>
      <w:r w:rsidRPr="0043215C">
        <w:rPr>
          <w:rFonts w:cstheme="minorHAnsi"/>
          <w:sz w:val="20"/>
          <w:szCs w:val="20"/>
        </w:rPr>
        <w:t xml:space="preserve">. </w:t>
      </w:r>
      <w:r w:rsidR="00EA45B3" w:rsidRPr="0043215C">
        <w:rPr>
          <w:rFonts w:cstheme="minorHAnsi"/>
          <w:sz w:val="20"/>
          <w:szCs w:val="20"/>
        </w:rPr>
        <w:t>T</w:t>
      </w:r>
      <w:r w:rsidRPr="0043215C">
        <w:rPr>
          <w:rFonts w:cstheme="minorHAnsi"/>
          <w:sz w:val="20"/>
          <w:szCs w:val="20"/>
        </w:rPr>
        <w:t xml:space="preserve">he implementation of such large-scale </w:t>
      </w:r>
      <w:r w:rsidR="00CC64A5" w:rsidRPr="0043215C">
        <w:rPr>
          <w:rFonts w:cstheme="minorHAnsi"/>
          <w:sz w:val="20"/>
          <w:szCs w:val="20"/>
        </w:rPr>
        <w:t xml:space="preserve">REI </w:t>
      </w:r>
      <w:r w:rsidRPr="0043215C">
        <w:rPr>
          <w:rFonts w:cstheme="minorHAnsi"/>
          <w:sz w:val="20"/>
          <w:szCs w:val="20"/>
        </w:rPr>
        <w:t xml:space="preserve">investments requires a large and highly skilled team from TEİAŞ composed of technical, procurement and safeguards specialists. The Bank has </w:t>
      </w:r>
      <w:r w:rsidR="00743AB4" w:rsidRPr="0043215C">
        <w:rPr>
          <w:rFonts w:cstheme="minorHAnsi"/>
          <w:sz w:val="20"/>
          <w:szCs w:val="20"/>
        </w:rPr>
        <w:t>continuously</w:t>
      </w:r>
      <w:r w:rsidRPr="0043215C">
        <w:rPr>
          <w:rFonts w:cstheme="minorHAnsi"/>
          <w:sz w:val="20"/>
          <w:szCs w:val="20"/>
        </w:rPr>
        <w:t xml:space="preserve"> provided training on the </w:t>
      </w:r>
      <w:r w:rsidR="000655C0" w:rsidRPr="0043215C">
        <w:rPr>
          <w:rFonts w:cstheme="minorHAnsi"/>
          <w:sz w:val="20"/>
          <w:szCs w:val="20"/>
        </w:rPr>
        <w:t xml:space="preserve">new and updated policies and standards of the World Bank </w:t>
      </w:r>
      <w:r w:rsidR="0035143A" w:rsidRPr="0043215C">
        <w:rPr>
          <w:rFonts w:cstheme="minorHAnsi"/>
          <w:sz w:val="20"/>
          <w:szCs w:val="20"/>
        </w:rPr>
        <w:t>regarding</w:t>
      </w:r>
      <w:r w:rsidR="00FE3E25" w:rsidRPr="0043215C">
        <w:rPr>
          <w:rFonts w:cstheme="minorHAnsi"/>
          <w:sz w:val="20"/>
          <w:szCs w:val="20"/>
        </w:rPr>
        <w:t xml:space="preserve"> these </w:t>
      </w:r>
      <w:r w:rsidR="0035143A" w:rsidRPr="0043215C">
        <w:rPr>
          <w:rFonts w:cstheme="minorHAnsi"/>
          <w:sz w:val="20"/>
          <w:szCs w:val="20"/>
        </w:rPr>
        <w:t>fields</w:t>
      </w:r>
      <w:r w:rsidRPr="0043215C">
        <w:rPr>
          <w:rFonts w:cstheme="minorHAnsi"/>
          <w:sz w:val="20"/>
          <w:szCs w:val="20"/>
        </w:rPr>
        <w:t>. During the procurement and implementation of the sub-</w:t>
      </w:r>
      <w:r w:rsidRPr="0043215C">
        <w:rPr>
          <w:rFonts w:cstheme="minorHAnsi"/>
          <w:sz w:val="20"/>
          <w:szCs w:val="20"/>
        </w:rPr>
        <w:lastRenderedPageBreak/>
        <w:t xml:space="preserve">projects, the </w:t>
      </w:r>
      <w:r w:rsidR="00FB1E37" w:rsidRPr="0043215C">
        <w:rPr>
          <w:rFonts w:cstheme="minorHAnsi"/>
          <w:sz w:val="20"/>
          <w:szCs w:val="20"/>
        </w:rPr>
        <w:t xml:space="preserve">World </w:t>
      </w:r>
      <w:r w:rsidRPr="0043215C">
        <w:rPr>
          <w:rFonts w:cstheme="minorHAnsi"/>
          <w:sz w:val="20"/>
          <w:szCs w:val="20"/>
        </w:rPr>
        <w:t xml:space="preserve">Bank will continue to support TEİAŞ’ activities through the review of documents and necessary trainings.   </w:t>
      </w:r>
      <w:bookmarkStart w:id="113" w:name="_Toc162962958"/>
      <w:bookmarkStart w:id="114" w:name="_Toc162964140"/>
    </w:p>
    <w:p w14:paraId="6BCBE0B6" w14:textId="12A747C2" w:rsidR="00BA1BC1" w:rsidRPr="0043215C" w:rsidRDefault="00BB0B68" w:rsidP="5F8BA742">
      <w:pPr>
        <w:pStyle w:val="Heading2"/>
        <w:rPr>
          <w:sz w:val="20"/>
          <w:szCs w:val="20"/>
        </w:rPr>
      </w:pPr>
      <w:bookmarkStart w:id="115" w:name="_Toc170319838"/>
      <w:r w:rsidRPr="5F8BA742">
        <w:rPr>
          <w:sz w:val="20"/>
          <w:szCs w:val="20"/>
        </w:rPr>
        <w:t>Technology</w:t>
      </w:r>
      <w:bookmarkStart w:id="116" w:name="_Toc162898775"/>
      <w:bookmarkStart w:id="117" w:name="_Toc162898837"/>
      <w:bookmarkEnd w:id="111"/>
      <w:bookmarkEnd w:id="112"/>
      <w:bookmarkEnd w:id="113"/>
      <w:bookmarkEnd w:id="114"/>
      <w:bookmarkEnd w:id="115"/>
    </w:p>
    <w:p w14:paraId="1EF3F2A8" w14:textId="2A0E36F2" w:rsidR="00A32E8A" w:rsidRPr="0043215C" w:rsidRDefault="00884DDB" w:rsidP="00166691">
      <w:pPr>
        <w:pStyle w:val="Default"/>
        <w:jc w:val="both"/>
        <w:rPr>
          <w:rFonts w:asciiTheme="minorHAnsi" w:hAnsiTheme="minorHAnsi" w:cstheme="minorBidi"/>
          <w:color w:val="auto"/>
          <w:sz w:val="20"/>
          <w:szCs w:val="20"/>
          <w:lang w:val="en-US"/>
        </w:rPr>
      </w:pPr>
      <w:r w:rsidRPr="750A1AB6">
        <w:rPr>
          <w:rFonts w:asciiTheme="minorHAnsi" w:hAnsiTheme="minorHAnsi" w:cstheme="minorBidi"/>
          <w:color w:val="auto"/>
          <w:sz w:val="20"/>
          <w:szCs w:val="20"/>
          <w:lang w:val="en-US"/>
        </w:rPr>
        <w:t>Development of EV charging infrastructure</w:t>
      </w:r>
      <w:r w:rsidR="00CA35D6" w:rsidRPr="750A1AB6">
        <w:rPr>
          <w:rFonts w:asciiTheme="minorHAnsi" w:hAnsiTheme="minorHAnsi" w:cstheme="minorBidi"/>
          <w:color w:val="auto"/>
          <w:sz w:val="20"/>
          <w:szCs w:val="20"/>
          <w:lang w:val="en-US"/>
        </w:rPr>
        <w:t xml:space="preserve"> and </w:t>
      </w:r>
      <w:r w:rsidR="00DF42B7" w:rsidRPr="750A1AB6">
        <w:rPr>
          <w:rFonts w:asciiTheme="minorHAnsi" w:hAnsiTheme="minorHAnsi" w:cstheme="minorBidi"/>
          <w:color w:val="auto"/>
          <w:sz w:val="20"/>
          <w:szCs w:val="20"/>
          <w:lang w:val="en-US"/>
        </w:rPr>
        <w:t xml:space="preserve">digitization elements in the </w:t>
      </w:r>
      <w:r w:rsidR="00B147EB" w:rsidRPr="750A1AB6">
        <w:rPr>
          <w:rFonts w:asciiTheme="minorHAnsi" w:hAnsiTheme="minorHAnsi" w:cstheme="minorBidi"/>
          <w:color w:val="auto"/>
          <w:sz w:val="20"/>
          <w:szCs w:val="20"/>
          <w:lang w:val="en-US"/>
        </w:rPr>
        <w:t>power</w:t>
      </w:r>
      <w:r w:rsidR="00DF42B7" w:rsidRPr="750A1AB6">
        <w:rPr>
          <w:rFonts w:asciiTheme="minorHAnsi" w:hAnsiTheme="minorHAnsi" w:cstheme="minorBidi"/>
          <w:color w:val="auto"/>
          <w:sz w:val="20"/>
          <w:szCs w:val="20"/>
          <w:lang w:val="en-US"/>
        </w:rPr>
        <w:t xml:space="preserve"> distribution sector</w:t>
      </w:r>
      <w:r w:rsidRPr="750A1AB6">
        <w:rPr>
          <w:rFonts w:asciiTheme="minorHAnsi" w:hAnsiTheme="minorHAnsi" w:cstheme="minorBidi"/>
          <w:color w:val="auto"/>
          <w:sz w:val="20"/>
          <w:szCs w:val="20"/>
          <w:lang w:val="en-US"/>
        </w:rPr>
        <w:t xml:space="preserve"> do not represent a high technological risk based on international and local experience. However, </w:t>
      </w:r>
      <w:r w:rsidR="006E21E0" w:rsidRPr="750A1AB6">
        <w:rPr>
          <w:rFonts w:asciiTheme="minorHAnsi" w:hAnsiTheme="minorHAnsi" w:cstheme="minorBidi"/>
          <w:color w:val="auto"/>
          <w:sz w:val="20"/>
          <w:szCs w:val="20"/>
          <w:lang w:val="en-US"/>
        </w:rPr>
        <w:t>battery storage</w:t>
      </w:r>
      <w:r w:rsidRPr="750A1AB6">
        <w:rPr>
          <w:rFonts w:asciiTheme="minorHAnsi" w:hAnsiTheme="minorHAnsi" w:cstheme="minorBidi"/>
          <w:color w:val="auto"/>
          <w:sz w:val="20"/>
          <w:szCs w:val="20"/>
          <w:lang w:val="en-US"/>
        </w:rPr>
        <w:t xml:space="preserve"> technology so far known to few may carry a high technology risk when considering the current low track record, </w:t>
      </w:r>
      <w:r w:rsidR="00785ABC" w:rsidRPr="750A1AB6">
        <w:rPr>
          <w:rFonts w:asciiTheme="minorHAnsi" w:hAnsiTheme="minorHAnsi" w:cstheme="minorBidi"/>
          <w:color w:val="auto"/>
          <w:sz w:val="20"/>
          <w:szCs w:val="20"/>
          <w:lang w:val="en-US"/>
        </w:rPr>
        <w:t>lack of</w:t>
      </w:r>
      <w:r w:rsidR="0012333F" w:rsidRPr="750A1AB6">
        <w:rPr>
          <w:rFonts w:asciiTheme="minorHAnsi" w:hAnsiTheme="minorHAnsi" w:cstheme="minorBidi"/>
          <w:color w:val="auto"/>
          <w:sz w:val="20"/>
          <w:szCs w:val="20"/>
          <w:lang w:val="en-US"/>
        </w:rPr>
        <w:t xml:space="preserve"> e</w:t>
      </w:r>
      <w:r w:rsidR="00785ABC" w:rsidRPr="750A1AB6">
        <w:rPr>
          <w:rFonts w:asciiTheme="minorHAnsi" w:hAnsiTheme="minorHAnsi" w:cstheme="minorBidi"/>
          <w:color w:val="auto"/>
          <w:sz w:val="20"/>
          <w:szCs w:val="20"/>
          <w:lang w:val="en-US"/>
        </w:rPr>
        <w:t xml:space="preserve">conomic feasibility, </w:t>
      </w:r>
      <w:r w:rsidRPr="750A1AB6">
        <w:rPr>
          <w:rFonts w:asciiTheme="minorHAnsi" w:hAnsiTheme="minorHAnsi" w:cstheme="minorBidi"/>
          <w:color w:val="auto"/>
          <w:sz w:val="20"/>
          <w:szCs w:val="20"/>
          <w:lang w:val="en-US"/>
        </w:rPr>
        <w:t xml:space="preserve">commercial availability, uncertainty in overall performance and assets’ useful life. </w:t>
      </w:r>
      <w:r w:rsidR="006A38F9" w:rsidRPr="750A1AB6">
        <w:rPr>
          <w:rFonts w:asciiTheme="minorHAnsi" w:hAnsiTheme="minorHAnsi" w:cstheme="minorBidi"/>
          <w:color w:val="auto"/>
          <w:sz w:val="20"/>
          <w:szCs w:val="20"/>
          <w:lang w:val="en-US"/>
        </w:rPr>
        <w:t>In addition</w:t>
      </w:r>
      <w:r w:rsidR="00166691" w:rsidRPr="750A1AB6">
        <w:rPr>
          <w:rFonts w:asciiTheme="minorHAnsi" w:hAnsiTheme="minorHAnsi" w:cstheme="minorBidi"/>
          <w:color w:val="auto"/>
          <w:sz w:val="20"/>
          <w:szCs w:val="20"/>
          <w:lang w:val="en-US"/>
        </w:rPr>
        <w:t>,</w:t>
      </w:r>
      <w:r w:rsidR="006A38F9" w:rsidRPr="750A1AB6">
        <w:rPr>
          <w:rFonts w:asciiTheme="minorHAnsi" w:hAnsiTheme="minorHAnsi" w:cstheme="minorBidi"/>
          <w:color w:val="auto"/>
          <w:sz w:val="20"/>
          <w:szCs w:val="20"/>
          <w:lang w:val="en-US"/>
        </w:rPr>
        <w:t xml:space="preserve"> the legislation </w:t>
      </w:r>
      <w:proofErr w:type="gramStart"/>
      <w:r w:rsidR="006A38F9" w:rsidRPr="750A1AB6">
        <w:rPr>
          <w:rFonts w:asciiTheme="minorHAnsi" w:hAnsiTheme="minorHAnsi" w:cstheme="minorBidi"/>
          <w:color w:val="auto"/>
          <w:sz w:val="20"/>
          <w:szCs w:val="20"/>
          <w:lang w:val="en-US"/>
        </w:rPr>
        <w:t>with regard to</w:t>
      </w:r>
      <w:proofErr w:type="gramEnd"/>
      <w:r w:rsidR="006A38F9" w:rsidRPr="750A1AB6">
        <w:rPr>
          <w:rFonts w:asciiTheme="minorHAnsi" w:hAnsiTheme="minorHAnsi" w:cstheme="minorBidi"/>
          <w:color w:val="auto"/>
          <w:sz w:val="20"/>
          <w:szCs w:val="20"/>
          <w:lang w:val="en-US"/>
        </w:rPr>
        <w:t xml:space="preserve"> </w:t>
      </w:r>
      <w:r w:rsidR="00166691" w:rsidRPr="750A1AB6">
        <w:rPr>
          <w:rFonts w:asciiTheme="minorHAnsi" w:hAnsiTheme="minorHAnsi" w:cstheme="minorBidi"/>
          <w:color w:val="auto"/>
          <w:sz w:val="20"/>
          <w:szCs w:val="20"/>
          <w:lang w:val="en-US"/>
        </w:rPr>
        <w:t>battery storage</w:t>
      </w:r>
      <w:r w:rsidR="0062653A" w:rsidRPr="750A1AB6">
        <w:rPr>
          <w:rFonts w:asciiTheme="minorHAnsi" w:hAnsiTheme="minorHAnsi" w:cstheme="minorBidi"/>
          <w:color w:val="auto"/>
          <w:sz w:val="20"/>
          <w:szCs w:val="20"/>
          <w:lang w:val="en-US"/>
        </w:rPr>
        <w:t xml:space="preserve"> needs revision to make the investments economically feasible. </w:t>
      </w:r>
      <w:r w:rsidR="00D51F99" w:rsidRPr="750A1AB6">
        <w:rPr>
          <w:rFonts w:asciiTheme="minorHAnsi" w:hAnsiTheme="minorHAnsi" w:cstheme="minorBidi"/>
          <w:color w:val="auto"/>
          <w:sz w:val="20"/>
          <w:szCs w:val="20"/>
          <w:lang w:val="en-US"/>
        </w:rPr>
        <w:t xml:space="preserve">  </w:t>
      </w:r>
      <w:r w:rsidR="00166691" w:rsidRPr="750A1AB6">
        <w:rPr>
          <w:rFonts w:asciiTheme="minorHAnsi" w:hAnsiTheme="minorHAnsi" w:cstheme="minorBidi"/>
          <w:color w:val="auto"/>
          <w:sz w:val="20"/>
          <w:szCs w:val="20"/>
          <w:lang w:val="en-US"/>
        </w:rPr>
        <w:t xml:space="preserve"> </w:t>
      </w:r>
      <w:bookmarkStart w:id="118" w:name="_Toc162962959"/>
      <w:bookmarkStart w:id="119" w:name="_Toc162964141"/>
    </w:p>
    <w:p w14:paraId="69CD1791" w14:textId="562FCDFC" w:rsidR="6E217BD0" w:rsidRPr="0043215C" w:rsidRDefault="71DD08B8" w:rsidP="5F8BA742">
      <w:pPr>
        <w:pStyle w:val="Heading2"/>
        <w:spacing w:line="252" w:lineRule="auto"/>
        <w:rPr>
          <w:sz w:val="20"/>
          <w:szCs w:val="20"/>
        </w:rPr>
      </w:pPr>
      <w:bookmarkStart w:id="120" w:name="_Toc170319839"/>
      <w:r w:rsidRPr="5F8BA742">
        <w:rPr>
          <w:sz w:val="20"/>
          <w:szCs w:val="20"/>
        </w:rPr>
        <w:t>Environment</w:t>
      </w:r>
      <w:r w:rsidR="01E56C5E" w:rsidRPr="5F8BA742">
        <w:rPr>
          <w:sz w:val="20"/>
          <w:szCs w:val="20"/>
        </w:rPr>
        <w:t>al</w:t>
      </w:r>
      <w:r w:rsidRPr="5F8BA742">
        <w:rPr>
          <w:sz w:val="20"/>
          <w:szCs w:val="20"/>
        </w:rPr>
        <w:t xml:space="preserve"> risk</w:t>
      </w:r>
      <w:bookmarkEnd w:id="116"/>
      <w:bookmarkEnd w:id="117"/>
      <w:bookmarkEnd w:id="118"/>
      <w:bookmarkEnd w:id="119"/>
      <w:bookmarkEnd w:id="120"/>
    </w:p>
    <w:p w14:paraId="6AD2F609" w14:textId="3E65FDF9" w:rsidR="1CF326AD" w:rsidRPr="0043215C" w:rsidRDefault="3E40858E" w:rsidP="6CABB885">
      <w:pPr>
        <w:spacing w:after="0" w:line="252" w:lineRule="auto"/>
        <w:rPr>
          <w:rFonts w:eastAsia="Calibri" w:cstheme="minorHAnsi"/>
          <w:sz w:val="20"/>
          <w:szCs w:val="20"/>
        </w:rPr>
      </w:pPr>
      <w:r w:rsidRPr="0043215C">
        <w:rPr>
          <w:rFonts w:eastAsia="Calibri" w:cstheme="minorHAnsi"/>
          <w:sz w:val="20"/>
          <w:szCs w:val="20"/>
        </w:rPr>
        <w:t xml:space="preserve">In general, the environmental impacts from the program are expected to be positive given that the program supports renewable energy investments. The environmental risks related to the projects under the program that include construction activities are anticipated as (i) air pollution, noise and vibration from construction machinery during construction phase, (ii) soil disturbance and loss during earthmoving, (iii) tree-cutting and loss of vegetation, (iv) waste management, and (v) construction camp management, (vi) community health and safety (such as traffic safety) and (vii) potential impacts on culturally and naturally protected areas, which are mostly relevant to construction. The anticipated environmental impacts are mostly temporary, predictable and/or reversible, and the nature of the </w:t>
      </w:r>
      <w:r w:rsidR="79D3B716" w:rsidRPr="0043215C">
        <w:rPr>
          <w:rFonts w:eastAsia="Calibri" w:cstheme="minorHAnsi"/>
          <w:sz w:val="20"/>
          <w:szCs w:val="20"/>
        </w:rPr>
        <w:t>p</w:t>
      </w:r>
      <w:r w:rsidRPr="0043215C">
        <w:rPr>
          <w:rFonts w:eastAsia="Calibri" w:cstheme="minorHAnsi"/>
          <w:sz w:val="20"/>
          <w:szCs w:val="20"/>
        </w:rPr>
        <w:t>roject</w:t>
      </w:r>
      <w:r w:rsidR="4F62624F" w:rsidRPr="0043215C">
        <w:rPr>
          <w:rFonts w:eastAsia="Calibri" w:cstheme="minorHAnsi"/>
          <w:sz w:val="20"/>
          <w:szCs w:val="20"/>
        </w:rPr>
        <w:t>s</w:t>
      </w:r>
      <w:r w:rsidRPr="0043215C">
        <w:rPr>
          <w:rFonts w:eastAsia="Calibri" w:cstheme="minorHAnsi"/>
          <w:sz w:val="20"/>
          <w:szCs w:val="20"/>
        </w:rPr>
        <w:t xml:space="preserve"> does not preclude the possibility of avoiding or reversing them. The potential impacts are medium in magnitude and in spatial extent. </w:t>
      </w:r>
    </w:p>
    <w:p w14:paraId="6827146E" w14:textId="77777777" w:rsidR="00A428AC" w:rsidRPr="0043215C" w:rsidRDefault="00A428AC" w:rsidP="6CABB885">
      <w:pPr>
        <w:spacing w:after="0" w:line="252" w:lineRule="auto"/>
        <w:rPr>
          <w:rFonts w:eastAsia="Calibri" w:cstheme="minorHAnsi"/>
          <w:sz w:val="20"/>
          <w:szCs w:val="20"/>
        </w:rPr>
      </w:pPr>
    </w:p>
    <w:p w14:paraId="37E32981" w14:textId="755F0374" w:rsidR="00A428AC" w:rsidRPr="0043215C" w:rsidRDefault="00A428AC" w:rsidP="00EB4CD2">
      <w:pPr>
        <w:pStyle w:val="ListParagraph"/>
        <w:ind w:left="0"/>
        <w:contextualSpacing/>
        <w:rPr>
          <w:rFonts w:eastAsia="MS Mincho"/>
          <w:sz w:val="20"/>
          <w:szCs w:val="20"/>
        </w:rPr>
      </w:pPr>
      <w:r w:rsidRPr="5BD0434B">
        <w:rPr>
          <w:rFonts w:eastAsia="Calibri"/>
          <w:sz w:val="20"/>
          <w:szCs w:val="20"/>
        </w:rPr>
        <w:t xml:space="preserve">In addition, </w:t>
      </w:r>
      <w:r w:rsidR="00EB4CD2" w:rsidRPr="5BD0434B">
        <w:rPr>
          <w:rFonts w:eastAsia="MS Mincho"/>
          <w:sz w:val="20"/>
          <w:szCs w:val="20"/>
        </w:rPr>
        <w:t>c</w:t>
      </w:r>
      <w:r w:rsidRPr="5BD0434B">
        <w:rPr>
          <w:rFonts w:eastAsia="MS Mincho"/>
          <w:sz w:val="20"/>
          <w:szCs w:val="20"/>
        </w:rPr>
        <w:t xml:space="preserve">limate change and disaster risks </w:t>
      </w:r>
      <w:proofErr w:type="gramStart"/>
      <w:r w:rsidR="00926764" w:rsidRPr="5BD0434B">
        <w:rPr>
          <w:rFonts w:eastAsia="Calibri"/>
          <w:sz w:val="20"/>
          <w:szCs w:val="20"/>
        </w:rPr>
        <w:t>with regard to</w:t>
      </w:r>
      <w:proofErr w:type="gramEnd"/>
      <w:r w:rsidRPr="5BD0434B">
        <w:rPr>
          <w:rFonts w:eastAsia="Calibri"/>
          <w:sz w:val="20"/>
          <w:szCs w:val="20"/>
        </w:rPr>
        <w:t xml:space="preserve"> each investment under the World Bank financing </w:t>
      </w:r>
      <w:r w:rsidR="00EB4CD2" w:rsidRPr="5BD0434B">
        <w:rPr>
          <w:rFonts w:eastAsia="MS Mincho"/>
          <w:sz w:val="20"/>
          <w:szCs w:val="20"/>
        </w:rPr>
        <w:t xml:space="preserve">are being </w:t>
      </w:r>
      <w:r w:rsidRPr="5BD0434B">
        <w:rPr>
          <w:rFonts w:eastAsia="MS Mincho"/>
          <w:sz w:val="20"/>
          <w:szCs w:val="20"/>
        </w:rPr>
        <w:t>screened</w:t>
      </w:r>
      <w:r w:rsidR="001F6286" w:rsidRPr="5BD0434B">
        <w:rPr>
          <w:rFonts w:eastAsia="MS Mincho"/>
          <w:sz w:val="20"/>
          <w:szCs w:val="20"/>
        </w:rPr>
        <w:t xml:space="preserve"> during </w:t>
      </w:r>
      <w:r w:rsidR="00C26963" w:rsidRPr="5BD0434B">
        <w:rPr>
          <w:rFonts w:eastAsia="MS Mincho"/>
          <w:sz w:val="20"/>
          <w:szCs w:val="20"/>
        </w:rPr>
        <w:t>project preparation</w:t>
      </w:r>
      <w:r w:rsidRPr="5BD0434B">
        <w:rPr>
          <w:rFonts w:eastAsia="MS Mincho"/>
          <w:sz w:val="20"/>
          <w:szCs w:val="20"/>
        </w:rPr>
        <w:t xml:space="preserve">. Climate change and disaster risks, including the risks of earthquake, water scarcity, extreme heat, river flood, urban flood, tsunami, coastal flood, </w:t>
      </w:r>
      <w:r w:rsidR="6BC66085" w:rsidRPr="5BD0434B">
        <w:rPr>
          <w:rFonts w:eastAsia="MS Mincho"/>
          <w:sz w:val="20"/>
          <w:szCs w:val="20"/>
        </w:rPr>
        <w:t>landslides</w:t>
      </w:r>
      <w:r w:rsidRPr="5BD0434B">
        <w:rPr>
          <w:rFonts w:eastAsia="MS Mincho"/>
          <w:sz w:val="20"/>
          <w:szCs w:val="20"/>
        </w:rPr>
        <w:t xml:space="preserve">, </w:t>
      </w:r>
      <w:proofErr w:type="gramStart"/>
      <w:r w:rsidRPr="5BD0434B">
        <w:rPr>
          <w:rFonts w:eastAsia="MS Mincho"/>
          <w:sz w:val="20"/>
          <w:szCs w:val="20"/>
        </w:rPr>
        <w:t>cyclone</w:t>
      </w:r>
      <w:proofErr w:type="gramEnd"/>
      <w:r w:rsidRPr="5BD0434B">
        <w:rPr>
          <w:rFonts w:eastAsia="MS Mincho"/>
          <w:sz w:val="20"/>
          <w:szCs w:val="20"/>
        </w:rPr>
        <w:t xml:space="preserve"> and volcano</w:t>
      </w:r>
      <w:r w:rsidR="00A6698A" w:rsidRPr="5BD0434B">
        <w:rPr>
          <w:rFonts w:eastAsia="MS Mincho"/>
          <w:sz w:val="20"/>
          <w:szCs w:val="20"/>
        </w:rPr>
        <w:t xml:space="preserve"> are</w:t>
      </w:r>
      <w:r w:rsidRPr="5BD0434B">
        <w:rPr>
          <w:rFonts w:eastAsia="MS Mincho"/>
          <w:sz w:val="20"/>
          <w:szCs w:val="20"/>
        </w:rPr>
        <w:t xml:space="preserve"> screened for the locations of each proposed </w:t>
      </w:r>
      <w:r w:rsidR="00610C86" w:rsidRPr="5BD0434B">
        <w:rPr>
          <w:rFonts w:eastAsia="MS Mincho"/>
          <w:sz w:val="20"/>
          <w:szCs w:val="20"/>
        </w:rPr>
        <w:t>investment</w:t>
      </w:r>
      <w:r w:rsidR="00CC2C8A" w:rsidRPr="5BD0434B">
        <w:rPr>
          <w:rFonts w:eastAsia="MS Mincho"/>
          <w:sz w:val="20"/>
          <w:szCs w:val="20"/>
        </w:rPr>
        <w:t xml:space="preserve">. </w:t>
      </w:r>
    </w:p>
    <w:p w14:paraId="2182B244" w14:textId="4E32C49F" w:rsidR="00B260DF" w:rsidRPr="0043215C" w:rsidRDefault="00B260DF" w:rsidP="5F8BA742">
      <w:pPr>
        <w:pStyle w:val="Heading2"/>
        <w:rPr>
          <w:sz w:val="20"/>
          <w:szCs w:val="20"/>
        </w:rPr>
      </w:pPr>
      <w:bookmarkStart w:id="121" w:name="_Toc162898776"/>
      <w:bookmarkStart w:id="122" w:name="_Toc162898838"/>
      <w:bookmarkStart w:id="123" w:name="_Toc162962960"/>
      <w:bookmarkStart w:id="124" w:name="_Toc162964142"/>
      <w:bookmarkStart w:id="125" w:name="_Toc170319840"/>
      <w:r w:rsidRPr="5F8BA742">
        <w:rPr>
          <w:sz w:val="20"/>
          <w:szCs w:val="20"/>
        </w:rPr>
        <w:t>Social Risk</w:t>
      </w:r>
      <w:bookmarkEnd w:id="121"/>
      <w:bookmarkEnd w:id="122"/>
      <w:bookmarkEnd w:id="123"/>
      <w:bookmarkEnd w:id="124"/>
      <w:bookmarkEnd w:id="125"/>
    </w:p>
    <w:p w14:paraId="4F750D9D" w14:textId="059D3435" w:rsidR="0033321E" w:rsidRPr="0043215C" w:rsidRDefault="3CD5D61F" w:rsidP="5F8BA742">
      <w:pPr>
        <w:spacing w:after="0"/>
        <w:rPr>
          <w:rFonts w:eastAsia="Calibri"/>
          <w:sz w:val="20"/>
          <w:szCs w:val="20"/>
        </w:rPr>
      </w:pPr>
      <w:r w:rsidRPr="5F8BA742">
        <w:rPr>
          <w:rFonts w:eastAsia="Calibri"/>
          <w:sz w:val="20"/>
          <w:szCs w:val="20"/>
        </w:rPr>
        <w:t xml:space="preserve">Potential social risks related to the program may include labor, community health and safety, cultural </w:t>
      </w:r>
      <w:proofErr w:type="gramStart"/>
      <w:r w:rsidRPr="5F8BA742">
        <w:rPr>
          <w:rFonts w:eastAsia="Calibri"/>
          <w:sz w:val="20"/>
          <w:szCs w:val="20"/>
        </w:rPr>
        <w:t>heritage</w:t>
      </w:r>
      <w:proofErr w:type="gramEnd"/>
      <w:r w:rsidRPr="5F8BA742">
        <w:rPr>
          <w:rFonts w:eastAsia="Calibri"/>
          <w:sz w:val="20"/>
          <w:szCs w:val="20"/>
        </w:rPr>
        <w:t xml:space="preserve"> and land acquisition related issues. Specifically, for the Transforming the Power Transmission System Project, the </w:t>
      </w:r>
      <w:r w:rsidR="7C2EA025" w:rsidRPr="5F8BA742">
        <w:rPr>
          <w:rFonts w:eastAsia="Calibri"/>
          <w:sz w:val="20"/>
          <w:szCs w:val="20"/>
        </w:rPr>
        <w:t>electricity</w:t>
      </w:r>
      <w:r w:rsidRPr="5F8BA742">
        <w:rPr>
          <w:rFonts w:eastAsia="Calibri"/>
          <w:sz w:val="20"/>
          <w:szCs w:val="20"/>
        </w:rPr>
        <w:t xml:space="preserve"> </w:t>
      </w:r>
      <w:r w:rsidR="7C2EA025" w:rsidRPr="5F8BA742">
        <w:rPr>
          <w:rFonts w:eastAsia="Calibri"/>
          <w:sz w:val="20"/>
          <w:szCs w:val="20"/>
        </w:rPr>
        <w:t xml:space="preserve">transmission </w:t>
      </w:r>
      <w:r w:rsidRPr="5F8BA742">
        <w:rPr>
          <w:rFonts w:eastAsia="Calibri"/>
          <w:sz w:val="20"/>
          <w:szCs w:val="20"/>
        </w:rPr>
        <w:t xml:space="preserve">lines (ETL) generally require purchasing small amounts of lands where permanent components of ETLs will be located. Despite the land acquisition impacts of ETLs are limited to tower and station locations, the acquisition of lands may still induce both physical and economic displacement. Although not very common, the locations of permanent components such as towers and stations may come across with the physical assets of nearby communities such as shelters, animal troughs, irrigation wells etc. and informal usage of public lands for agricultural or grazing purposes by </w:t>
      </w:r>
      <w:r w:rsidR="63D18F02" w:rsidRPr="5F8BA742">
        <w:rPr>
          <w:rFonts w:eastAsia="Calibri"/>
          <w:sz w:val="20"/>
          <w:szCs w:val="20"/>
        </w:rPr>
        <w:t>project affected people</w:t>
      </w:r>
      <w:r w:rsidRPr="5F8BA742">
        <w:rPr>
          <w:rFonts w:eastAsia="Calibri"/>
          <w:sz w:val="20"/>
          <w:szCs w:val="20"/>
        </w:rPr>
        <w:t xml:space="preserve"> who do not hold a title deed. The project may also affect nearby communities due to construction related impacts such as noise, dust, waste generation and traffic disturbance. The social risks related to the </w:t>
      </w:r>
      <w:r w:rsidR="003F3C17" w:rsidRPr="5F8BA742">
        <w:rPr>
          <w:rFonts w:eastAsia="Calibri"/>
          <w:sz w:val="20"/>
          <w:szCs w:val="20"/>
        </w:rPr>
        <w:t>p</w:t>
      </w:r>
      <w:r w:rsidRPr="5F8BA742">
        <w:rPr>
          <w:rFonts w:eastAsia="Calibri"/>
          <w:sz w:val="20"/>
          <w:szCs w:val="20"/>
        </w:rPr>
        <w:t>roject described above can be minimized or mitigated by implementing appropriate measures.</w:t>
      </w:r>
      <w:bookmarkStart w:id="126" w:name="_Toc162898777"/>
      <w:bookmarkStart w:id="127" w:name="_Toc162898839"/>
      <w:bookmarkStart w:id="128" w:name="_Toc162962961"/>
      <w:bookmarkStart w:id="129" w:name="_Toc162964143"/>
    </w:p>
    <w:p w14:paraId="22AF3423" w14:textId="76CD242B" w:rsidR="00BA1BC1" w:rsidRPr="0043215C" w:rsidRDefault="00B260DF" w:rsidP="5F8BA742">
      <w:pPr>
        <w:pStyle w:val="Heading2"/>
        <w:rPr>
          <w:sz w:val="20"/>
          <w:szCs w:val="20"/>
        </w:rPr>
      </w:pPr>
      <w:bookmarkStart w:id="130" w:name="_Toc170319841"/>
      <w:r w:rsidRPr="5F8BA742">
        <w:rPr>
          <w:sz w:val="20"/>
          <w:szCs w:val="20"/>
        </w:rPr>
        <w:t>Financial risk</w:t>
      </w:r>
      <w:bookmarkEnd w:id="126"/>
      <w:bookmarkEnd w:id="127"/>
      <w:bookmarkEnd w:id="128"/>
      <w:bookmarkEnd w:id="129"/>
      <w:bookmarkEnd w:id="130"/>
      <w:r w:rsidRPr="5F8BA742">
        <w:rPr>
          <w:sz w:val="20"/>
          <w:szCs w:val="20"/>
        </w:rPr>
        <w:t xml:space="preserve"> </w:t>
      </w:r>
    </w:p>
    <w:p w14:paraId="6B76E922" w14:textId="718C42CD" w:rsidR="009B3E99" w:rsidRPr="0043215C" w:rsidRDefault="001D4E35" w:rsidP="00BA1BC1">
      <w:pPr>
        <w:rPr>
          <w:sz w:val="20"/>
          <w:szCs w:val="20"/>
        </w:rPr>
      </w:pPr>
      <w:r w:rsidRPr="5F8BA742">
        <w:rPr>
          <w:sz w:val="20"/>
          <w:szCs w:val="20"/>
        </w:rPr>
        <w:t>Transformation of the Power Transmission System Project - Phase</w:t>
      </w:r>
      <w:r w:rsidR="00646780" w:rsidRPr="5F8BA742">
        <w:rPr>
          <w:sz w:val="20"/>
          <w:szCs w:val="20"/>
        </w:rPr>
        <w:t>s</w:t>
      </w:r>
      <w:r w:rsidRPr="5F8BA742">
        <w:rPr>
          <w:sz w:val="20"/>
          <w:szCs w:val="20"/>
        </w:rPr>
        <w:t xml:space="preserve"> 1</w:t>
      </w:r>
      <w:r w:rsidR="005F68F5" w:rsidRPr="5F8BA742">
        <w:rPr>
          <w:sz w:val="20"/>
          <w:szCs w:val="20"/>
        </w:rPr>
        <w:t xml:space="preserve"> and 2</w:t>
      </w:r>
      <w:r w:rsidR="00112513" w:rsidRPr="5F8BA742">
        <w:rPr>
          <w:sz w:val="20"/>
          <w:szCs w:val="20"/>
        </w:rPr>
        <w:t>, that is under preparation,</w:t>
      </w:r>
      <w:r w:rsidR="005F68F5" w:rsidRPr="5F8BA742">
        <w:rPr>
          <w:sz w:val="20"/>
          <w:szCs w:val="20"/>
        </w:rPr>
        <w:t xml:space="preserve"> </w:t>
      </w:r>
      <w:r w:rsidR="00646780" w:rsidRPr="5F8BA742">
        <w:rPr>
          <w:sz w:val="20"/>
          <w:szCs w:val="20"/>
        </w:rPr>
        <w:t xml:space="preserve">doesn’t pose a substantial </w:t>
      </w:r>
      <w:r w:rsidR="00112513" w:rsidRPr="5F8BA742">
        <w:rPr>
          <w:sz w:val="20"/>
          <w:szCs w:val="20"/>
        </w:rPr>
        <w:t>financial</w:t>
      </w:r>
      <w:r w:rsidR="00646780" w:rsidRPr="5F8BA742">
        <w:rPr>
          <w:sz w:val="20"/>
          <w:szCs w:val="20"/>
        </w:rPr>
        <w:t xml:space="preserve"> risk as</w:t>
      </w:r>
      <w:r w:rsidR="006345B4" w:rsidRPr="5F8BA742">
        <w:rPr>
          <w:sz w:val="20"/>
          <w:szCs w:val="20"/>
        </w:rPr>
        <w:t xml:space="preserve"> </w:t>
      </w:r>
      <w:r w:rsidR="009B3E99" w:rsidRPr="5F8BA742">
        <w:rPr>
          <w:sz w:val="20"/>
          <w:szCs w:val="20"/>
        </w:rPr>
        <w:t xml:space="preserve">TEİAŞ </w:t>
      </w:r>
      <w:r w:rsidR="00CF3224" w:rsidRPr="5F8BA742">
        <w:rPr>
          <w:sz w:val="20"/>
          <w:szCs w:val="20"/>
        </w:rPr>
        <w:t>has been</w:t>
      </w:r>
      <w:r w:rsidR="009B3E99" w:rsidRPr="5F8BA742">
        <w:rPr>
          <w:sz w:val="20"/>
          <w:szCs w:val="20"/>
        </w:rPr>
        <w:t xml:space="preserve"> implementing </w:t>
      </w:r>
      <w:r w:rsidR="00CF3224" w:rsidRPr="5F8BA742">
        <w:rPr>
          <w:sz w:val="20"/>
          <w:szCs w:val="20"/>
        </w:rPr>
        <w:t>World Bank financed projects</w:t>
      </w:r>
      <w:r w:rsidR="009F1242" w:rsidRPr="5F8BA742">
        <w:rPr>
          <w:sz w:val="20"/>
          <w:szCs w:val="20"/>
        </w:rPr>
        <w:t xml:space="preserve"> for nearly two decades and </w:t>
      </w:r>
      <w:r w:rsidR="009B3E99" w:rsidRPr="5F8BA742">
        <w:rPr>
          <w:sz w:val="20"/>
          <w:szCs w:val="20"/>
        </w:rPr>
        <w:t xml:space="preserve">the </w:t>
      </w:r>
      <w:r w:rsidR="009F1242" w:rsidRPr="5F8BA742">
        <w:rPr>
          <w:sz w:val="20"/>
          <w:szCs w:val="20"/>
        </w:rPr>
        <w:t xml:space="preserve">World Bank has been supporting TEIAS in increasing its institutional capacity in terms of </w:t>
      </w:r>
      <w:r w:rsidR="008B76FA" w:rsidRPr="5F8BA742">
        <w:rPr>
          <w:sz w:val="20"/>
          <w:szCs w:val="20"/>
        </w:rPr>
        <w:t>“</w:t>
      </w:r>
      <w:r w:rsidR="00A0198C" w:rsidRPr="5F8BA742">
        <w:rPr>
          <w:sz w:val="20"/>
          <w:szCs w:val="20"/>
        </w:rPr>
        <w:t>fiduciary</w:t>
      </w:r>
      <w:r w:rsidR="008B76FA" w:rsidRPr="5F8BA742">
        <w:rPr>
          <w:sz w:val="20"/>
          <w:szCs w:val="20"/>
        </w:rPr>
        <w:t>”</w:t>
      </w:r>
      <w:r w:rsidR="00A0198C" w:rsidRPr="5F8BA742">
        <w:rPr>
          <w:sz w:val="20"/>
          <w:szCs w:val="20"/>
        </w:rPr>
        <w:t xml:space="preserve">, namely </w:t>
      </w:r>
      <w:r w:rsidR="008B76FA" w:rsidRPr="5F8BA742">
        <w:rPr>
          <w:sz w:val="20"/>
          <w:szCs w:val="20"/>
        </w:rPr>
        <w:t>“</w:t>
      </w:r>
      <w:r w:rsidR="00A0198C" w:rsidRPr="5F8BA742">
        <w:rPr>
          <w:sz w:val="20"/>
          <w:szCs w:val="20"/>
        </w:rPr>
        <w:t>procurement</w:t>
      </w:r>
      <w:r w:rsidR="008B76FA" w:rsidRPr="5F8BA742">
        <w:rPr>
          <w:sz w:val="20"/>
          <w:szCs w:val="20"/>
        </w:rPr>
        <w:t>”</w:t>
      </w:r>
      <w:r w:rsidR="00A0198C" w:rsidRPr="5F8BA742">
        <w:rPr>
          <w:sz w:val="20"/>
          <w:szCs w:val="20"/>
        </w:rPr>
        <w:t xml:space="preserve"> and </w:t>
      </w:r>
      <w:r w:rsidR="008B76FA" w:rsidRPr="5F8BA742">
        <w:rPr>
          <w:sz w:val="20"/>
          <w:szCs w:val="20"/>
        </w:rPr>
        <w:t>“</w:t>
      </w:r>
      <w:r w:rsidR="00A0198C" w:rsidRPr="5F8BA742">
        <w:rPr>
          <w:sz w:val="20"/>
          <w:szCs w:val="20"/>
        </w:rPr>
        <w:t>financial management</w:t>
      </w:r>
      <w:r w:rsidR="008B76FA" w:rsidRPr="5F8BA742">
        <w:rPr>
          <w:sz w:val="20"/>
          <w:szCs w:val="20"/>
        </w:rPr>
        <w:t>”</w:t>
      </w:r>
      <w:r w:rsidR="00EC162F" w:rsidRPr="5F8BA742">
        <w:rPr>
          <w:sz w:val="20"/>
          <w:szCs w:val="20"/>
        </w:rPr>
        <w:t xml:space="preserve"> aspects in line with </w:t>
      </w:r>
      <w:r w:rsidR="00A0198C" w:rsidRPr="5F8BA742">
        <w:rPr>
          <w:sz w:val="20"/>
          <w:szCs w:val="20"/>
        </w:rPr>
        <w:t xml:space="preserve">the requirements </w:t>
      </w:r>
      <w:r w:rsidR="00C46536" w:rsidRPr="5F8BA742">
        <w:rPr>
          <w:sz w:val="20"/>
          <w:szCs w:val="20"/>
        </w:rPr>
        <w:t xml:space="preserve">and standards </w:t>
      </w:r>
      <w:r w:rsidR="00A0198C" w:rsidRPr="5F8BA742">
        <w:rPr>
          <w:sz w:val="20"/>
          <w:szCs w:val="20"/>
        </w:rPr>
        <w:t>of the World Bank</w:t>
      </w:r>
      <w:r w:rsidR="009B3E99" w:rsidRPr="5F8BA742">
        <w:rPr>
          <w:sz w:val="20"/>
          <w:szCs w:val="20"/>
        </w:rPr>
        <w:t xml:space="preserve">. </w:t>
      </w:r>
    </w:p>
    <w:p w14:paraId="0EA2D82D" w14:textId="73FABD50" w:rsidR="00FE641D" w:rsidRPr="0043215C" w:rsidRDefault="00FE641D" w:rsidP="00B260DF">
      <w:pPr>
        <w:pStyle w:val="Heading2"/>
        <w:rPr>
          <w:sz w:val="20"/>
          <w:szCs w:val="20"/>
          <w:lang w:val="en-GB"/>
        </w:rPr>
      </w:pPr>
      <w:bookmarkStart w:id="131" w:name="_Toc162898778"/>
      <w:bookmarkStart w:id="132" w:name="_Toc162898840"/>
      <w:bookmarkStart w:id="133" w:name="_Toc162962962"/>
      <w:bookmarkStart w:id="134" w:name="_Toc162964144"/>
      <w:bookmarkStart w:id="135" w:name="_Toc170319842"/>
      <w:r w:rsidRPr="5BD0434B">
        <w:rPr>
          <w:sz w:val="20"/>
          <w:szCs w:val="20"/>
          <w:lang w:val="en-GB"/>
        </w:rPr>
        <w:t>Absorptive capacity for REI Program and associated investments</w:t>
      </w:r>
      <w:bookmarkEnd w:id="131"/>
      <w:bookmarkEnd w:id="132"/>
      <w:bookmarkEnd w:id="133"/>
      <w:bookmarkEnd w:id="134"/>
      <w:bookmarkEnd w:id="135"/>
      <w:r w:rsidRPr="5BD0434B">
        <w:rPr>
          <w:sz w:val="20"/>
          <w:szCs w:val="20"/>
          <w:lang w:val="en-GB"/>
        </w:rPr>
        <w:t xml:space="preserve"> </w:t>
      </w:r>
    </w:p>
    <w:p w14:paraId="26B8A6DC" w14:textId="77777777" w:rsidR="00831CE5" w:rsidRPr="0043215C" w:rsidRDefault="00831CE5" w:rsidP="00823532">
      <w:pPr>
        <w:pStyle w:val="Default"/>
        <w:rPr>
          <w:rFonts w:asciiTheme="minorHAnsi" w:hAnsiTheme="minorHAnsi" w:cstheme="minorBidi"/>
          <w:sz w:val="20"/>
          <w:szCs w:val="20"/>
          <w:lang w:val="en-GB"/>
        </w:rPr>
      </w:pPr>
    </w:p>
    <w:p w14:paraId="60841E2D" w14:textId="4F4DF74A" w:rsidR="00823532" w:rsidRPr="0043215C" w:rsidRDefault="002B628F" w:rsidP="00176AD3">
      <w:pPr>
        <w:pStyle w:val="Default"/>
        <w:jc w:val="both"/>
        <w:rPr>
          <w:rFonts w:asciiTheme="minorHAnsi" w:hAnsiTheme="minorHAnsi" w:cstheme="minorBidi"/>
          <w:sz w:val="20"/>
          <w:szCs w:val="20"/>
          <w:lang w:val="en-GB"/>
        </w:rPr>
      </w:pPr>
      <w:r w:rsidRPr="5BD0434B">
        <w:rPr>
          <w:rFonts w:asciiTheme="minorHAnsi" w:hAnsiTheme="minorHAnsi" w:cstheme="minorBidi"/>
          <w:sz w:val="20"/>
          <w:szCs w:val="20"/>
          <w:lang w:val="en-GB"/>
        </w:rPr>
        <w:t xml:space="preserve">As mentioned earlier, </w:t>
      </w:r>
      <w:r w:rsidR="007D3B5C" w:rsidRPr="5BD0434B">
        <w:rPr>
          <w:rFonts w:asciiTheme="minorHAnsi" w:hAnsiTheme="minorHAnsi" w:cstheme="minorBidi"/>
          <w:sz w:val="20"/>
          <w:szCs w:val="20"/>
          <w:lang w:val="en-GB"/>
        </w:rPr>
        <w:t xml:space="preserve">Türkiye's </w:t>
      </w:r>
      <w:r w:rsidR="00277EFD" w:rsidRPr="5BD0434B">
        <w:rPr>
          <w:rFonts w:asciiTheme="minorHAnsi" w:hAnsiTheme="minorHAnsi" w:cstheme="minorBidi"/>
          <w:sz w:val="20"/>
          <w:szCs w:val="20"/>
          <w:lang w:val="en-GB"/>
        </w:rPr>
        <w:t xml:space="preserve">net zero </w:t>
      </w:r>
      <w:r w:rsidR="007D3B5C" w:rsidRPr="5BD0434B">
        <w:rPr>
          <w:rFonts w:asciiTheme="minorHAnsi" w:hAnsiTheme="minorHAnsi" w:cstheme="minorBidi"/>
          <w:sz w:val="20"/>
          <w:szCs w:val="20"/>
          <w:lang w:val="en-GB"/>
        </w:rPr>
        <w:t>commitment</w:t>
      </w:r>
      <w:r w:rsidR="008F0AA4" w:rsidRPr="5BD0434B">
        <w:rPr>
          <w:rFonts w:asciiTheme="minorHAnsi" w:hAnsiTheme="minorHAnsi" w:cstheme="minorBidi"/>
          <w:sz w:val="20"/>
          <w:szCs w:val="20"/>
          <w:lang w:val="en-GB"/>
        </w:rPr>
        <w:t xml:space="preserve"> by 2053</w:t>
      </w:r>
      <w:r w:rsidR="007D3B5C" w:rsidRPr="5BD0434B">
        <w:rPr>
          <w:rFonts w:asciiTheme="minorHAnsi" w:hAnsiTheme="minorHAnsi" w:cstheme="minorBidi"/>
          <w:sz w:val="20"/>
          <w:szCs w:val="20"/>
          <w:lang w:val="en-GB"/>
        </w:rPr>
        <w:t xml:space="preserve"> to a sustainable and climate-resilient future</w:t>
      </w:r>
      <w:r w:rsidR="007E33DC" w:rsidRPr="5BD0434B">
        <w:rPr>
          <w:rFonts w:asciiTheme="minorHAnsi" w:hAnsiTheme="minorHAnsi" w:cstheme="minorBidi"/>
          <w:sz w:val="20"/>
          <w:szCs w:val="20"/>
          <w:lang w:val="en-GB"/>
        </w:rPr>
        <w:t xml:space="preserve"> are outlined in </w:t>
      </w:r>
      <w:r w:rsidR="00A95662" w:rsidRPr="5BD0434B">
        <w:rPr>
          <w:rFonts w:asciiTheme="minorHAnsi" w:hAnsiTheme="minorHAnsi" w:cstheme="minorBidi"/>
          <w:sz w:val="20"/>
          <w:szCs w:val="20"/>
          <w:lang w:val="en-GB"/>
        </w:rPr>
        <w:t>nume</w:t>
      </w:r>
      <w:r w:rsidR="003C7BB2" w:rsidRPr="5BD0434B">
        <w:rPr>
          <w:rFonts w:asciiTheme="minorHAnsi" w:hAnsiTheme="minorHAnsi" w:cstheme="minorBidi"/>
          <w:sz w:val="20"/>
          <w:szCs w:val="20"/>
          <w:lang w:val="en-GB"/>
        </w:rPr>
        <w:t>rous strategies</w:t>
      </w:r>
      <w:r w:rsidR="007B2BBC" w:rsidRPr="5BD0434B">
        <w:rPr>
          <w:rFonts w:asciiTheme="minorHAnsi" w:hAnsiTheme="minorHAnsi" w:cstheme="minorBidi"/>
          <w:sz w:val="20"/>
          <w:szCs w:val="20"/>
          <w:lang w:val="en-GB"/>
        </w:rPr>
        <w:t xml:space="preserve"> </w:t>
      </w:r>
      <w:r w:rsidR="00546A74" w:rsidRPr="5BD0434B">
        <w:rPr>
          <w:rFonts w:asciiTheme="minorHAnsi" w:hAnsiTheme="minorHAnsi" w:cstheme="minorBidi"/>
          <w:sz w:val="20"/>
          <w:szCs w:val="20"/>
          <w:lang w:val="en-GB"/>
        </w:rPr>
        <w:t xml:space="preserve">such as </w:t>
      </w:r>
      <w:r w:rsidR="007D3B5C" w:rsidRPr="5BD0434B">
        <w:rPr>
          <w:rFonts w:asciiTheme="minorHAnsi" w:hAnsiTheme="minorHAnsi" w:cstheme="minorBidi"/>
          <w:sz w:val="20"/>
          <w:szCs w:val="20"/>
          <w:lang w:val="en-GB"/>
        </w:rPr>
        <w:t>the NDP, Medium-Term Program, NEP and NEEAP</w:t>
      </w:r>
      <w:r w:rsidR="00E138BE" w:rsidRPr="5BD0434B">
        <w:rPr>
          <w:rFonts w:asciiTheme="minorHAnsi" w:hAnsiTheme="minorHAnsi" w:cstheme="minorBidi"/>
          <w:sz w:val="20"/>
          <w:szCs w:val="20"/>
          <w:lang w:val="en-GB"/>
        </w:rPr>
        <w:t xml:space="preserve"> </w:t>
      </w:r>
      <w:proofErr w:type="gramStart"/>
      <w:r w:rsidR="00E138BE" w:rsidRPr="5BD0434B">
        <w:rPr>
          <w:rFonts w:asciiTheme="minorHAnsi" w:hAnsiTheme="minorHAnsi" w:cstheme="minorBidi"/>
          <w:sz w:val="20"/>
          <w:szCs w:val="20"/>
          <w:lang w:val="en-GB"/>
        </w:rPr>
        <w:t>so as</w:t>
      </w:r>
      <w:r w:rsidR="002A4B05" w:rsidRPr="5BD0434B">
        <w:rPr>
          <w:rFonts w:asciiTheme="minorHAnsi" w:hAnsiTheme="minorHAnsi" w:cstheme="minorBidi"/>
          <w:sz w:val="20"/>
          <w:szCs w:val="20"/>
          <w:lang w:val="en-GB"/>
        </w:rPr>
        <w:t xml:space="preserve"> to</w:t>
      </w:r>
      <w:proofErr w:type="gramEnd"/>
      <w:r w:rsidR="002A4B05" w:rsidRPr="5BD0434B">
        <w:rPr>
          <w:rFonts w:asciiTheme="minorHAnsi" w:hAnsiTheme="minorHAnsi" w:cstheme="minorBidi"/>
          <w:sz w:val="20"/>
          <w:szCs w:val="20"/>
          <w:lang w:val="en-GB"/>
        </w:rPr>
        <w:t xml:space="preserve"> accelerate country’s green energy transition and decarbonization of the energy sector. </w:t>
      </w:r>
      <w:r w:rsidRPr="5BD0434B">
        <w:rPr>
          <w:rFonts w:asciiTheme="minorHAnsi" w:hAnsiTheme="minorHAnsi" w:cstheme="minorBidi"/>
          <w:sz w:val="20"/>
          <w:szCs w:val="20"/>
          <w:lang w:val="en-GB"/>
        </w:rPr>
        <w:t>This plan has the capacity to absorb the proposed CIF-REI Investment Plan of US$70 million plus US$</w:t>
      </w:r>
      <w:r w:rsidR="00CF0178" w:rsidRPr="5BD0434B">
        <w:rPr>
          <w:rFonts w:asciiTheme="minorHAnsi" w:hAnsiTheme="minorHAnsi" w:cstheme="minorBidi"/>
          <w:sz w:val="20"/>
          <w:szCs w:val="20"/>
          <w:lang w:val="en-GB"/>
        </w:rPr>
        <w:t>2.7 billion</w:t>
      </w:r>
      <w:r w:rsidRPr="5BD0434B">
        <w:rPr>
          <w:rFonts w:asciiTheme="minorHAnsi" w:hAnsiTheme="minorHAnsi" w:cstheme="minorBidi"/>
          <w:sz w:val="20"/>
          <w:szCs w:val="20"/>
          <w:lang w:val="en-GB"/>
        </w:rPr>
        <w:t xml:space="preserve"> to be </w:t>
      </w:r>
      <w:r w:rsidR="63749048" w:rsidRPr="2424CA46">
        <w:rPr>
          <w:rFonts w:asciiTheme="minorHAnsi" w:hAnsiTheme="minorHAnsi" w:cstheme="minorBidi"/>
          <w:sz w:val="20"/>
          <w:szCs w:val="20"/>
          <w:lang w:val="en-GB"/>
        </w:rPr>
        <w:t>leveraged</w:t>
      </w:r>
      <w:r w:rsidRPr="2424CA46">
        <w:rPr>
          <w:rFonts w:asciiTheme="minorHAnsi" w:hAnsiTheme="minorHAnsi" w:cstheme="minorBidi"/>
          <w:sz w:val="20"/>
          <w:szCs w:val="20"/>
          <w:lang w:val="en-GB"/>
        </w:rPr>
        <w:t xml:space="preserve">. </w:t>
      </w:r>
      <w:r w:rsidR="22AB84C3" w:rsidRPr="2424CA46">
        <w:rPr>
          <w:rFonts w:asciiTheme="minorHAnsi" w:hAnsiTheme="minorHAnsi" w:cstheme="minorBidi"/>
          <w:sz w:val="20"/>
          <w:szCs w:val="20"/>
          <w:lang w:val="en-GB"/>
        </w:rPr>
        <w:t>Türkiye's</w:t>
      </w:r>
      <w:r w:rsidRPr="5BD0434B">
        <w:rPr>
          <w:rFonts w:asciiTheme="minorHAnsi" w:hAnsiTheme="minorHAnsi" w:cstheme="minorBidi"/>
          <w:sz w:val="20"/>
          <w:szCs w:val="20"/>
          <w:lang w:val="en-GB"/>
        </w:rPr>
        <w:t xml:space="preserve"> macroeconomic </w:t>
      </w:r>
      <w:r w:rsidRPr="5BD0434B">
        <w:rPr>
          <w:rFonts w:asciiTheme="minorHAnsi" w:hAnsiTheme="minorHAnsi" w:cstheme="minorBidi"/>
          <w:sz w:val="20"/>
          <w:szCs w:val="20"/>
          <w:lang w:val="en-GB"/>
        </w:rPr>
        <w:lastRenderedPageBreak/>
        <w:t xml:space="preserve">context, together with an existing comprehensive legal and regulatory framework, enables it to receive concessional financing </w:t>
      </w:r>
      <w:r w:rsidR="00030A2F" w:rsidRPr="5BD0434B">
        <w:rPr>
          <w:rFonts w:asciiTheme="minorHAnsi" w:hAnsiTheme="minorHAnsi" w:cstheme="minorBidi"/>
          <w:sz w:val="20"/>
          <w:szCs w:val="20"/>
          <w:lang w:val="en-GB"/>
        </w:rPr>
        <w:t>as well</w:t>
      </w:r>
      <w:r w:rsidRPr="5BD0434B">
        <w:rPr>
          <w:rFonts w:asciiTheme="minorHAnsi" w:hAnsiTheme="minorHAnsi" w:cstheme="minorBidi"/>
          <w:sz w:val="20"/>
          <w:szCs w:val="20"/>
          <w:lang w:val="en-GB"/>
        </w:rPr>
        <w:t xml:space="preserve"> as </w:t>
      </w:r>
      <w:r w:rsidR="00030A2F" w:rsidRPr="5BD0434B">
        <w:rPr>
          <w:rFonts w:asciiTheme="minorHAnsi" w:hAnsiTheme="minorHAnsi" w:cstheme="minorBidi"/>
          <w:sz w:val="20"/>
          <w:szCs w:val="20"/>
          <w:lang w:val="en-GB"/>
        </w:rPr>
        <w:t xml:space="preserve">the </w:t>
      </w:r>
      <w:r w:rsidRPr="5BD0434B">
        <w:rPr>
          <w:rFonts w:asciiTheme="minorHAnsi" w:hAnsiTheme="minorHAnsi" w:cstheme="minorBidi"/>
          <w:sz w:val="20"/>
          <w:szCs w:val="20"/>
          <w:lang w:val="en-GB"/>
        </w:rPr>
        <w:t>technical assistance cooperation to support the country’s energy transition</w:t>
      </w:r>
      <w:r w:rsidR="00AC7E35" w:rsidRPr="5BD0434B">
        <w:rPr>
          <w:rFonts w:asciiTheme="minorHAnsi" w:hAnsiTheme="minorHAnsi" w:cstheme="minorBidi"/>
          <w:sz w:val="20"/>
          <w:szCs w:val="20"/>
          <w:lang w:val="en-GB"/>
        </w:rPr>
        <w:t xml:space="preserve"> and renewable energy scale-up ambitions</w:t>
      </w:r>
      <w:r w:rsidRPr="5BD0434B">
        <w:rPr>
          <w:rFonts w:asciiTheme="minorHAnsi" w:hAnsiTheme="minorHAnsi" w:cstheme="minorBidi"/>
          <w:sz w:val="20"/>
          <w:szCs w:val="20"/>
          <w:lang w:val="en-GB"/>
        </w:rPr>
        <w:t xml:space="preserve">. </w:t>
      </w:r>
    </w:p>
    <w:p w14:paraId="0E173D86" w14:textId="1493C4A5" w:rsidR="00831CE5" w:rsidRPr="0043215C" w:rsidRDefault="002A4B05" w:rsidP="00F50331">
      <w:pPr>
        <w:pStyle w:val="Default"/>
        <w:jc w:val="both"/>
        <w:rPr>
          <w:rFonts w:asciiTheme="minorHAnsi" w:hAnsiTheme="minorHAnsi" w:cstheme="minorBidi"/>
          <w:sz w:val="20"/>
          <w:szCs w:val="20"/>
          <w:lang w:val="en-GB"/>
        </w:rPr>
      </w:pPr>
      <w:r w:rsidRPr="5BD0434B">
        <w:rPr>
          <w:rFonts w:asciiTheme="minorHAnsi" w:hAnsiTheme="minorHAnsi" w:cstheme="minorBidi"/>
          <w:sz w:val="20"/>
          <w:szCs w:val="20"/>
          <w:lang w:val="en-GB"/>
        </w:rPr>
        <w:t xml:space="preserve"> </w:t>
      </w:r>
    </w:p>
    <w:p w14:paraId="47868275" w14:textId="1E039206" w:rsidR="002B628F" w:rsidRPr="0043215C" w:rsidRDefault="002B628F" w:rsidP="00F50331">
      <w:pPr>
        <w:pStyle w:val="Default"/>
        <w:jc w:val="both"/>
        <w:rPr>
          <w:rFonts w:asciiTheme="minorHAnsi" w:hAnsiTheme="minorHAnsi" w:cstheme="minorBidi"/>
          <w:sz w:val="20"/>
          <w:szCs w:val="20"/>
          <w:lang w:val="en-GB"/>
        </w:rPr>
      </w:pPr>
      <w:r w:rsidRPr="5BD0434B">
        <w:rPr>
          <w:rFonts w:asciiTheme="minorHAnsi" w:hAnsiTheme="minorHAnsi" w:cstheme="minorBidi"/>
          <w:sz w:val="20"/>
          <w:szCs w:val="20"/>
          <w:lang w:val="en-GB"/>
        </w:rPr>
        <w:t xml:space="preserve">Both </w:t>
      </w:r>
      <w:r w:rsidR="004F06AB" w:rsidRPr="5BD0434B">
        <w:rPr>
          <w:rFonts w:asciiTheme="minorHAnsi" w:hAnsiTheme="minorHAnsi" w:cstheme="minorBidi"/>
          <w:sz w:val="20"/>
          <w:szCs w:val="20"/>
          <w:lang w:val="en-GB"/>
        </w:rPr>
        <w:t>Türkiye</w:t>
      </w:r>
      <w:r w:rsidRPr="5BD0434B">
        <w:rPr>
          <w:rFonts w:asciiTheme="minorHAnsi" w:hAnsiTheme="minorHAnsi" w:cstheme="minorBidi"/>
          <w:sz w:val="20"/>
          <w:szCs w:val="20"/>
          <w:lang w:val="en-GB"/>
        </w:rPr>
        <w:t xml:space="preserve">´s financial system and developers´ execution capacities are suited to absorb required capital and project development challenges, in line with </w:t>
      </w:r>
      <w:r w:rsidR="005920E8" w:rsidRPr="5BD0434B">
        <w:rPr>
          <w:rFonts w:asciiTheme="minorHAnsi" w:hAnsiTheme="minorHAnsi" w:cstheme="minorBidi"/>
          <w:sz w:val="20"/>
          <w:szCs w:val="20"/>
          <w:lang w:val="en-GB"/>
        </w:rPr>
        <w:t>the decarbonization efforts and targets of the country</w:t>
      </w:r>
      <w:r w:rsidRPr="5BD0434B">
        <w:rPr>
          <w:rFonts w:asciiTheme="minorHAnsi" w:hAnsiTheme="minorHAnsi" w:cstheme="minorBidi"/>
          <w:sz w:val="20"/>
          <w:szCs w:val="20"/>
          <w:lang w:val="en-GB"/>
        </w:rPr>
        <w:t xml:space="preserve">. Furthermore, the offering of concessional resources through the CIF-REI program, targeting specific investments, represents a clear signal to investors interested in those pillars in which the country intends to accelerate its development. </w:t>
      </w:r>
    </w:p>
    <w:p w14:paraId="616B1FD9" w14:textId="77777777" w:rsidR="002F5D39" w:rsidRPr="0043215C" w:rsidRDefault="002F5D39">
      <w:pPr>
        <w:pStyle w:val="Default"/>
        <w:jc w:val="both"/>
        <w:rPr>
          <w:rFonts w:asciiTheme="minorHAnsi" w:hAnsiTheme="minorHAnsi" w:cstheme="minorBidi"/>
          <w:sz w:val="20"/>
          <w:szCs w:val="20"/>
          <w:lang w:val="en-GB"/>
        </w:rPr>
      </w:pPr>
    </w:p>
    <w:p w14:paraId="205A5953" w14:textId="5D337611" w:rsidR="00831CE5" w:rsidRPr="0043215C" w:rsidRDefault="002F5D39" w:rsidP="5F8BA742">
      <w:pPr>
        <w:pStyle w:val="Default"/>
        <w:jc w:val="both"/>
        <w:rPr>
          <w:rFonts w:asciiTheme="minorHAnsi" w:hAnsiTheme="minorHAnsi" w:cstheme="minorBidi"/>
          <w:sz w:val="20"/>
          <w:szCs w:val="20"/>
          <w:lang w:val="en-GB"/>
        </w:rPr>
      </w:pPr>
      <w:r w:rsidRPr="5BD0434B">
        <w:rPr>
          <w:rFonts w:asciiTheme="minorHAnsi" w:hAnsiTheme="minorHAnsi" w:cstheme="minorBidi"/>
          <w:sz w:val="20"/>
          <w:szCs w:val="20"/>
          <w:lang w:val="en-GB"/>
        </w:rPr>
        <w:t xml:space="preserve">MENR and its affiliates such as TEİAŞ have extensive technical capacity and experience with high-quality workforce and investments. Moreover, TEİAŞ is much familiar with the MDB, specifically World Bank, financed projects, and has the knowhow on how to comply with the international fiduciary, environmental, social standards. </w:t>
      </w:r>
      <w:proofErr w:type="gramStart"/>
      <w:r w:rsidRPr="5BD0434B">
        <w:rPr>
          <w:rFonts w:asciiTheme="minorHAnsi" w:hAnsiTheme="minorHAnsi" w:cstheme="minorBidi"/>
          <w:sz w:val="20"/>
          <w:szCs w:val="20"/>
          <w:lang w:val="en-GB"/>
        </w:rPr>
        <w:t>Despite the fact that</w:t>
      </w:r>
      <w:proofErr w:type="gramEnd"/>
      <w:r w:rsidRPr="5BD0434B">
        <w:rPr>
          <w:rFonts w:asciiTheme="minorHAnsi" w:hAnsiTheme="minorHAnsi" w:cstheme="minorBidi"/>
          <w:sz w:val="20"/>
          <w:szCs w:val="20"/>
          <w:lang w:val="en-GB"/>
        </w:rPr>
        <w:t xml:space="preserve"> the management of the energy state-owned enterprises change due to political agenda of the government, the institutional memory of these institutions </w:t>
      </w:r>
      <w:r w:rsidR="18C63C1E" w:rsidRPr="2424CA46">
        <w:rPr>
          <w:rFonts w:asciiTheme="minorHAnsi" w:hAnsiTheme="minorHAnsi" w:cstheme="minorBidi"/>
          <w:sz w:val="20"/>
          <w:szCs w:val="20"/>
          <w:lang w:val="en-GB"/>
        </w:rPr>
        <w:t>allows</w:t>
      </w:r>
      <w:r w:rsidRPr="5BD0434B">
        <w:rPr>
          <w:rFonts w:asciiTheme="minorHAnsi" w:hAnsiTheme="minorHAnsi" w:cstheme="minorBidi"/>
          <w:sz w:val="20"/>
          <w:szCs w:val="20"/>
          <w:lang w:val="en-GB"/>
        </w:rPr>
        <w:t xml:space="preserve"> the continuation of good work.  </w:t>
      </w:r>
      <w:bookmarkStart w:id="136" w:name="_Toc162962963"/>
      <w:bookmarkStart w:id="137" w:name="_Toc162964145"/>
      <w:bookmarkStart w:id="138" w:name="_Toc162449731"/>
      <w:bookmarkStart w:id="139" w:name="_Toc162898779"/>
      <w:bookmarkStart w:id="140" w:name="_Toc162898841"/>
    </w:p>
    <w:p w14:paraId="19BA0C3A" w14:textId="21730AAB" w:rsidR="00FE641D" w:rsidRPr="0043215C" w:rsidRDefault="00FE641D" w:rsidP="00E47AF3">
      <w:pPr>
        <w:pStyle w:val="Heading1"/>
        <w:rPr>
          <w:rFonts w:asciiTheme="minorHAnsi" w:hAnsiTheme="minorHAnsi" w:cstheme="minorBidi"/>
          <w:sz w:val="20"/>
          <w:szCs w:val="20"/>
          <w:lang w:val="en-GB"/>
        </w:rPr>
      </w:pPr>
      <w:bookmarkStart w:id="141" w:name="_Toc170319843"/>
      <w:r w:rsidRPr="5BD0434B">
        <w:rPr>
          <w:rFonts w:asciiTheme="minorHAnsi" w:hAnsiTheme="minorHAnsi" w:cstheme="minorBidi"/>
          <w:sz w:val="20"/>
          <w:szCs w:val="20"/>
          <w:lang w:val="en-GB"/>
        </w:rPr>
        <w:t>VII. Monitoring and Evaluation</w:t>
      </w:r>
      <w:bookmarkEnd w:id="136"/>
      <w:bookmarkEnd w:id="137"/>
      <w:bookmarkEnd w:id="141"/>
      <w:r w:rsidRPr="5BD0434B">
        <w:rPr>
          <w:rFonts w:asciiTheme="minorHAnsi" w:hAnsiTheme="minorHAnsi" w:cstheme="minorBidi"/>
          <w:sz w:val="20"/>
          <w:szCs w:val="20"/>
          <w:lang w:val="en-GB"/>
        </w:rPr>
        <w:t xml:space="preserve"> </w:t>
      </w:r>
      <w:bookmarkEnd w:id="138"/>
      <w:bookmarkEnd w:id="139"/>
      <w:bookmarkEnd w:id="140"/>
    </w:p>
    <w:p w14:paraId="26F6B694" w14:textId="37414B31" w:rsidR="00D210A1" w:rsidRPr="0043215C" w:rsidRDefault="00D44E7D" w:rsidP="5F8BA742">
      <w:pPr>
        <w:pStyle w:val="Heading2"/>
        <w:rPr>
          <w:sz w:val="20"/>
          <w:szCs w:val="20"/>
          <w:lang w:val="en-GB"/>
        </w:rPr>
      </w:pPr>
      <w:bookmarkStart w:id="142" w:name="_Toc170319844"/>
      <w:r w:rsidRPr="5BD0434B">
        <w:rPr>
          <w:sz w:val="20"/>
          <w:szCs w:val="20"/>
          <w:lang w:val="en-GB"/>
        </w:rPr>
        <w:t>Integrated Results Framework</w:t>
      </w:r>
      <w:bookmarkEnd w:id="142"/>
    </w:p>
    <w:p w14:paraId="371EE97B" w14:textId="6046E465" w:rsidR="00E47AF3" w:rsidRPr="0043215C" w:rsidRDefault="003E4650" w:rsidP="00DF4F52">
      <w:pPr>
        <w:pStyle w:val="Default"/>
        <w:jc w:val="both"/>
        <w:rPr>
          <w:rFonts w:asciiTheme="minorHAnsi" w:hAnsiTheme="minorHAnsi" w:cstheme="minorBidi"/>
          <w:sz w:val="20"/>
          <w:szCs w:val="20"/>
          <w:lang w:val="en-GB"/>
        </w:rPr>
      </w:pPr>
      <w:r w:rsidRPr="5BD0434B">
        <w:rPr>
          <w:rFonts w:asciiTheme="minorHAnsi" w:hAnsiTheme="minorHAnsi" w:cstheme="minorBidi"/>
          <w:sz w:val="20"/>
          <w:szCs w:val="20"/>
          <w:lang w:val="en-GB"/>
        </w:rPr>
        <w:t>Monitoring and evaluation of t</w:t>
      </w:r>
      <w:r w:rsidR="00757AB7" w:rsidRPr="5BD0434B">
        <w:rPr>
          <w:rFonts w:asciiTheme="minorHAnsi" w:hAnsiTheme="minorHAnsi" w:cstheme="minorBidi"/>
          <w:sz w:val="20"/>
          <w:szCs w:val="20"/>
          <w:lang w:val="en-GB"/>
        </w:rPr>
        <w:t>h</w:t>
      </w:r>
      <w:r w:rsidRPr="5BD0434B">
        <w:rPr>
          <w:rFonts w:asciiTheme="minorHAnsi" w:hAnsiTheme="minorHAnsi" w:cstheme="minorBidi"/>
          <w:sz w:val="20"/>
          <w:szCs w:val="20"/>
          <w:lang w:val="en-GB"/>
        </w:rPr>
        <w:t>e</w:t>
      </w:r>
      <w:r w:rsidR="00757AB7" w:rsidRPr="5BD0434B">
        <w:rPr>
          <w:rFonts w:asciiTheme="minorHAnsi" w:hAnsiTheme="minorHAnsi" w:cstheme="minorBidi"/>
          <w:sz w:val="20"/>
          <w:szCs w:val="20"/>
          <w:lang w:val="en-GB"/>
        </w:rPr>
        <w:t xml:space="preserve"> </w:t>
      </w:r>
      <w:r w:rsidR="00ED3764" w:rsidRPr="5BD0434B">
        <w:rPr>
          <w:rFonts w:asciiTheme="minorHAnsi" w:hAnsiTheme="minorHAnsi" w:cstheme="minorBidi"/>
          <w:sz w:val="20"/>
          <w:szCs w:val="20"/>
          <w:lang w:val="en-GB"/>
        </w:rPr>
        <w:t>Investment Plan</w:t>
      </w:r>
      <w:r w:rsidRPr="5BD0434B">
        <w:rPr>
          <w:rFonts w:asciiTheme="minorHAnsi" w:hAnsiTheme="minorHAnsi" w:cstheme="minorBidi"/>
          <w:sz w:val="20"/>
          <w:szCs w:val="20"/>
          <w:lang w:val="en-GB"/>
        </w:rPr>
        <w:t xml:space="preserve"> will </w:t>
      </w:r>
      <w:r w:rsidR="0011065A" w:rsidRPr="5BD0434B">
        <w:rPr>
          <w:rFonts w:asciiTheme="minorHAnsi" w:hAnsiTheme="minorHAnsi" w:cstheme="minorBidi"/>
          <w:sz w:val="20"/>
          <w:szCs w:val="20"/>
          <w:lang w:val="en-GB"/>
        </w:rPr>
        <w:t>occur</w:t>
      </w:r>
      <w:r w:rsidRPr="5BD0434B">
        <w:rPr>
          <w:rFonts w:asciiTheme="minorHAnsi" w:hAnsiTheme="minorHAnsi" w:cstheme="minorBidi"/>
          <w:sz w:val="20"/>
          <w:szCs w:val="20"/>
          <w:lang w:val="en-GB"/>
        </w:rPr>
        <w:t xml:space="preserve"> using an</w:t>
      </w:r>
      <w:r w:rsidR="00757AB7" w:rsidRPr="5BD0434B">
        <w:rPr>
          <w:rFonts w:asciiTheme="minorHAnsi" w:hAnsiTheme="minorHAnsi" w:cstheme="minorBidi"/>
          <w:sz w:val="20"/>
          <w:szCs w:val="20"/>
          <w:lang w:val="en-GB"/>
        </w:rPr>
        <w:t xml:space="preserve"> Integrated Results Framework (IRF)</w:t>
      </w:r>
      <w:r w:rsidR="00E932EB" w:rsidRPr="5BD0434B">
        <w:rPr>
          <w:rFonts w:asciiTheme="minorHAnsi" w:hAnsiTheme="minorHAnsi" w:cstheme="minorBidi"/>
          <w:sz w:val="20"/>
          <w:szCs w:val="20"/>
          <w:lang w:val="en-GB"/>
        </w:rPr>
        <w:t>, as described in this section. The IRF,</w:t>
      </w:r>
      <w:r w:rsidR="00ED3764" w:rsidRPr="5BD0434B">
        <w:rPr>
          <w:rFonts w:asciiTheme="minorHAnsi" w:hAnsiTheme="minorHAnsi" w:cstheme="minorBidi"/>
          <w:sz w:val="20"/>
          <w:szCs w:val="20"/>
          <w:lang w:val="en-GB"/>
        </w:rPr>
        <w:t xml:space="preserve"> </w:t>
      </w:r>
      <w:r w:rsidR="00757AB7" w:rsidRPr="5BD0434B">
        <w:rPr>
          <w:rFonts w:asciiTheme="minorHAnsi" w:hAnsiTheme="minorHAnsi" w:cstheme="minorBidi"/>
          <w:sz w:val="20"/>
          <w:szCs w:val="20"/>
          <w:lang w:val="en-GB"/>
        </w:rPr>
        <w:t xml:space="preserve">based on the </w:t>
      </w:r>
      <w:r w:rsidR="009638AC" w:rsidRPr="5BD0434B">
        <w:rPr>
          <w:rFonts w:asciiTheme="minorHAnsi" w:hAnsiTheme="minorHAnsi" w:cstheme="minorBidi"/>
          <w:sz w:val="20"/>
          <w:szCs w:val="20"/>
          <w:lang w:val="en-GB"/>
        </w:rPr>
        <w:t xml:space="preserve">REI Monitoring and Reporting </w:t>
      </w:r>
      <w:r w:rsidRPr="5BD0434B">
        <w:rPr>
          <w:rFonts w:asciiTheme="minorHAnsi" w:hAnsiTheme="minorHAnsi" w:cstheme="minorBidi"/>
          <w:sz w:val="20"/>
          <w:szCs w:val="20"/>
          <w:lang w:val="en-GB"/>
        </w:rPr>
        <w:t xml:space="preserve">(M&amp;R) </w:t>
      </w:r>
      <w:r w:rsidR="009638AC" w:rsidRPr="5BD0434B">
        <w:rPr>
          <w:rFonts w:asciiTheme="minorHAnsi" w:hAnsiTheme="minorHAnsi" w:cstheme="minorBidi"/>
          <w:sz w:val="20"/>
          <w:szCs w:val="20"/>
          <w:lang w:val="en-GB"/>
        </w:rPr>
        <w:t>System</w:t>
      </w:r>
      <w:r w:rsidR="005F0027" w:rsidRPr="5BD0434B">
        <w:rPr>
          <w:rFonts w:asciiTheme="minorHAnsi" w:hAnsiTheme="minorHAnsi" w:cstheme="minorBidi"/>
          <w:sz w:val="20"/>
          <w:szCs w:val="20"/>
          <w:lang w:val="en-GB"/>
        </w:rPr>
        <w:t xml:space="preserve"> toolkit</w:t>
      </w:r>
      <w:r w:rsidR="00E932EB" w:rsidRPr="5BD0434B">
        <w:rPr>
          <w:rFonts w:asciiTheme="minorHAnsi" w:hAnsiTheme="minorHAnsi" w:cstheme="minorBidi"/>
          <w:sz w:val="20"/>
          <w:szCs w:val="20"/>
          <w:lang w:val="en-GB"/>
        </w:rPr>
        <w:t>,</w:t>
      </w:r>
      <w:r w:rsidR="00014865" w:rsidRPr="5BD0434B">
        <w:rPr>
          <w:rStyle w:val="FootnoteReference"/>
          <w:rFonts w:asciiTheme="minorHAnsi" w:hAnsiTheme="minorHAnsi" w:cstheme="minorBidi"/>
          <w:sz w:val="20"/>
          <w:szCs w:val="20"/>
          <w:lang w:val="en-GB"/>
        </w:rPr>
        <w:footnoteReference w:id="31"/>
      </w:r>
      <w:r w:rsidRPr="5BD0434B">
        <w:rPr>
          <w:rFonts w:asciiTheme="minorHAnsi" w:hAnsiTheme="minorHAnsi" w:cstheme="minorBidi"/>
          <w:sz w:val="20"/>
          <w:szCs w:val="20"/>
          <w:lang w:val="en-GB"/>
        </w:rPr>
        <w:t xml:space="preserve"> </w:t>
      </w:r>
      <w:r w:rsidR="0005222F" w:rsidRPr="5BD0434B">
        <w:rPr>
          <w:rFonts w:asciiTheme="minorHAnsi" w:hAnsiTheme="minorHAnsi" w:cstheme="minorBidi"/>
          <w:sz w:val="20"/>
          <w:szCs w:val="20"/>
          <w:lang w:val="en-GB"/>
        </w:rPr>
        <w:t>includes</w:t>
      </w:r>
      <w:r w:rsidR="0019729E" w:rsidRPr="5BD0434B">
        <w:rPr>
          <w:rFonts w:asciiTheme="minorHAnsi" w:hAnsiTheme="minorHAnsi" w:cstheme="minorBidi"/>
          <w:sz w:val="20"/>
          <w:szCs w:val="20"/>
          <w:lang w:val="en-GB"/>
        </w:rPr>
        <w:t xml:space="preserve"> </w:t>
      </w:r>
      <w:r w:rsidR="00754246" w:rsidRPr="5BD0434B">
        <w:rPr>
          <w:rFonts w:asciiTheme="minorHAnsi" w:hAnsiTheme="minorHAnsi" w:cstheme="minorBidi"/>
          <w:sz w:val="20"/>
          <w:szCs w:val="20"/>
          <w:lang w:val="en-GB"/>
        </w:rPr>
        <w:t xml:space="preserve">a set of results </w:t>
      </w:r>
      <w:r w:rsidR="0019729E" w:rsidRPr="5BD0434B">
        <w:rPr>
          <w:rFonts w:asciiTheme="minorHAnsi" w:hAnsiTheme="minorHAnsi" w:cstheme="minorBidi"/>
          <w:sz w:val="20"/>
          <w:szCs w:val="20"/>
          <w:lang w:val="en-GB"/>
        </w:rPr>
        <w:t xml:space="preserve">indicators across </w:t>
      </w:r>
      <w:r w:rsidR="0005222F" w:rsidRPr="5BD0434B">
        <w:rPr>
          <w:rFonts w:asciiTheme="minorHAnsi" w:hAnsiTheme="minorHAnsi" w:cstheme="minorBidi"/>
          <w:sz w:val="20"/>
          <w:szCs w:val="20"/>
          <w:lang w:val="en-GB"/>
        </w:rPr>
        <w:t xml:space="preserve">the following </w:t>
      </w:r>
      <w:r w:rsidR="00933109" w:rsidRPr="5BD0434B">
        <w:rPr>
          <w:rFonts w:asciiTheme="minorHAnsi" w:hAnsiTheme="minorHAnsi" w:cstheme="minorBidi"/>
          <w:sz w:val="20"/>
          <w:szCs w:val="20"/>
          <w:lang w:val="en-GB"/>
        </w:rPr>
        <w:t>levels</w:t>
      </w:r>
      <w:r w:rsidR="00B90F89" w:rsidRPr="5BD0434B">
        <w:rPr>
          <w:rFonts w:asciiTheme="minorHAnsi" w:hAnsiTheme="minorHAnsi" w:cstheme="minorBidi"/>
          <w:sz w:val="20"/>
          <w:szCs w:val="20"/>
          <w:lang w:val="en-GB"/>
        </w:rPr>
        <w:t xml:space="preserve">: CIF </w:t>
      </w:r>
      <w:r w:rsidR="00BE2AAC" w:rsidRPr="5BD0434B">
        <w:rPr>
          <w:rFonts w:asciiTheme="minorHAnsi" w:hAnsiTheme="minorHAnsi" w:cstheme="minorBidi"/>
          <w:sz w:val="20"/>
          <w:szCs w:val="20"/>
          <w:lang w:val="en-GB"/>
        </w:rPr>
        <w:t>i</w:t>
      </w:r>
      <w:r w:rsidR="00B90F89" w:rsidRPr="5BD0434B">
        <w:rPr>
          <w:rFonts w:asciiTheme="minorHAnsi" w:hAnsiTheme="minorHAnsi" w:cstheme="minorBidi"/>
          <w:sz w:val="20"/>
          <w:szCs w:val="20"/>
          <w:lang w:val="en-GB"/>
        </w:rPr>
        <w:t>mpact</w:t>
      </w:r>
      <w:r w:rsidR="00171E71" w:rsidRPr="5BD0434B">
        <w:rPr>
          <w:rFonts w:asciiTheme="minorHAnsi" w:hAnsiTheme="minorHAnsi" w:cstheme="minorBidi"/>
          <w:sz w:val="20"/>
          <w:szCs w:val="20"/>
          <w:lang w:val="en-GB"/>
        </w:rPr>
        <w:t>s</w:t>
      </w:r>
      <w:r w:rsidR="00B90F89" w:rsidRPr="5BD0434B">
        <w:rPr>
          <w:rFonts w:asciiTheme="minorHAnsi" w:hAnsiTheme="minorHAnsi" w:cstheme="minorBidi"/>
          <w:sz w:val="20"/>
          <w:szCs w:val="20"/>
          <w:lang w:val="en-GB"/>
        </w:rPr>
        <w:t xml:space="preserve">; </w:t>
      </w:r>
      <w:r w:rsidR="00BE2AAC" w:rsidRPr="5BD0434B">
        <w:rPr>
          <w:rFonts w:asciiTheme="minorHAnsi" w:hAnsiTheme="minorHAnsi" w:cstheme="minorBidi"/>
          <w:sz w:val="20"/>
          <w:szCs w:val="20"/>
          <w:lang w:val="en-GB"/>
        </w:rPr>
        <w:t>REI p</w:t>
      </w:r>
      <w:r w:rsidR="00412080" w:rsidRPr="5BD0434B">
        <w:rPr>
          <w:rFonts w:asciiTheme="minorHAnsi" w:hAnsiTheme="minorHAnsi" w:cstheme="minorBidi"/>
          <w:sz w:val="20"/>
          <w:szCs w:val="20"/>
          <w:lang w:val="en-GB"/>
        </w:rPr>
        <w:t>rogram</w:t>
      </w:r>
      <w:r w:rsidR="00B90F89" w:rsidRPr="5BD0434B">
        <w:rPr>
          <w:rFonts w:asciiTheme="minorHAnsi" w:hAnsiTheme="minorHAnsi" w:cstheme="minorBidi"/>
          <w:sz w:val="20"/>
          <w:szCs w:val="20"/>
          <w:lang w:val="en-GB"/>
        </w:rPr>
        <w:t xml:space="preserve"> </w:t>
      </w:r>
      <w:r w:rsidR="00BE2AAC" w:rsidRPr="5BD0434B">
        <w:rPr>
          <w:rFonts w:asciiTheme="minorHAnsi" w:hAnsiTheme="minorHAnsi" w:cstheme="minorBidi"/>
          <w:sz w:val="20"/>
          <w:szCs w:val="20"/>
          <w:lang w:val="en-GB"/>
        </w:rPr>
        <w:t>i</w:t>
      </w:r>
      <w:r w:rsidR="00B90F89" w:rsidRPr="5BD0434B">
        <w:rPr>
          <w:rFonts w:asciiTheme="minorHAnsi" w:hAnsiTheme="minorHAnsi" w:cstheme="minorBidi"/>
          <w:sz w:val="20"/>
          <w:szCs w:val="20"/>
          <w:lang w:val="en-GB"/>
        </w:rPr>
        <w:t>mpact</w:t>
      </w:r>
      <w:r w:rsidR="0005222F" w:rsidRPr="5BD0434B">
        <w:rPr>
          <w:rFonts w:asciiTheme="minorHAnsi" w:hAnsiTheme="minorHAnsi" w:cstheme="minorBidi"/>
          <w:sz w:val="20"/>
          <w:szCs w:val="20"/>
          <w:lang w:val="en-GB"/>
        </w:rPr>
        <w:t>s</w:t>
      </w:r>
      <w:r w:rsidR="00B90F89" w:rsidRPr="5BD0434B">
        <w:rPr>
          <w:rFonts w:asciiTheme="minorHAnsi" w:hAnsiTheme="minorHAnsi" w:cstheme="minorBidi"/>
          <w:sz w:val="20"/>
          <w:szCs w:val="20"/>
          <w:lang w:val="en-GB"/>
        </w:rPr>
        <w:t xml:space="preserve">; </w:t>
      </w:r>
      <w:r w:rsidR="00BE2AAC" w:rsidRPr="5BD0434B">
        <w:rPr>
          <w:rFonts w:asciiTheme="minorHAnsi" w:hAnsiTheme="minorHAnsi" w:cstheme="minorBidi"/>
          <w:sz w:val="20"/>
          <w:szCs w:val="20"/>
          <w:lang w:val="en-GB"/>
        </w:rPr>
        <w:t>p</w:t>
      </w:r>
      <w:r w:rsidR="00412080" w:rsidRPr="5BD0434B">
        <w:rPr>
          <w:rFonts w:asciiTheme="minorHAnsi" w:hAnsiTheme="minorHAnsi" w:cstheme="minorBidi"/>
          <w:sz w:val="20"/>
          <w:szCs w:val="20"/>
          <w:lang w:val="en-GB"/>
        </w:rPr>
        <w:t xml:space="preserve">rogram </w:t>
      </w:r>
      <w:r w:rsidR="00BE2AAC" w:rsidRPr="5BD0434B">
        <w:rPr>
          <w:rFonts w:asciiTheme="minorHAnsi" w:hAnsiTheme="minorHAnsi" w:cstheme="minorBidi"/>
          <w:sz w:val="20"/>
          <w:szCs w:val="20"/>
          <w:lang w:val="en-GB"/>
        </w:rPr>
        <w:t>o</w:t>
      </w:r>
      <w:r w:rsidR="00B90F89" w:rsidRPr="5BD0434B">
        <w:rPr>
          <w:rFonts w:asciiTheme="minorHAnsi" w:hAnsiTheme="minorHAnsi" w:cstheme="minorBidi"/>
          <w:sz w:val="20"/>
          <w:szCs w:val="20"/>
          <w:lang w:val="en-GB"/>
        </w:rPr>
        <w:t xml:space="preserve">utcomes </w:t>
      </w:r>
      <w:r w:rsidR="00485756" w:rsidRPr="5BD0434B">
        <w:rPr>
          <w:rFonts w:asciiTheme="minorHAnsi" w:hAnsiTheme="minorHAnsi" w:cstheme="minorBidi"/>
          <w:sz w:val="20"/>
          <w:szCs w:val="20"/>
          <w:lang w:val="en-GB"/>
        </w:rPr>
        <w:t xml:space="preserve">(including </w:t>
      </w:r>
      <w:proofErr w:type="spellStart"/>
      <w:r w:rsidR="00485756" w:rsidRPr="5BD0434B">
        <w:rPr>
          <w:rFonts w:asciiTheme="minorHAnsi" w:hAnsiTheme="minorHAnsi" w:cstheme="minorBidi"/>
          <w:sz w:val="20"/>
          <w:szCs w:val="20"/>
          <w:lang w:val="en-GB"/>
        </w:rPr>
        <w:t>c</w:t>
      </w:r>
      <w:r w:rsidR="00B90F89" w:rsidRPr="5BD0434B">
        <w:rPr>
          <w:rFonts w:asciiTheme="minorHAnsi" w:hAnsiTheme="minorHAnsi" w:cstheme="minorBidi"/>
          <w:sz w:val="20"/>
          <w:szCs w:val="20"/>
          <w:lang w:val="en-GB"/>
        </w:rPr>
        <w:t>o-</w:t>
      </w:r>
      <w:r w:rsidR="00485756" w:rsidRPr="5BD0434B">
        <w:rPr>
          <w:rFonts w:asciiTheme="minorHAnsi" w:hAnsiTheme="minorHAnsi" w:cstheme="minorBidi"/>
          <w:sz w:val="20"/>
          <w:szCs w:val="20"/>
          <w:lang w:val="en-GB"/>
        </w:rPr>
        <w:t>b</w:t>
      </w:r>
      <w:r w:rsidR="00B90F89" w:rsidRPr="5BD0434B">
        <w:rPr>
          <w:rFonts w:asciiTheme="minorHAnsi" w:hAnsiTheme="minorHAnsi" w:cstheme="minorBidi"/>
          <w:sz w:val="20"/>
          <w:szCs w:val="20"/>
          <w:lang w:val="en-GB"/>
        </w:rPr>
        <w:t>enefits</w:t>
      </w:r>
      <w:proofErr w:type="spellEnd"/>
      <w:r w:rsidR="00485756" w:rsidRPr="5BD0434B">
        <w:rPr>
          <w:rFonts w:asciiTheme="minorHAnsi" w:hAnsiTheme="minorHAnsi" w:cstheme="minorBidi"/>
          <w:sz w:val="20"/>
          <w:szCs w:val="20"/>
          <w:lang w:val="en-GB"/>
        </w:rPr>
        <w:t>)</w:t>
      </w:r>
      <w:r w:rsidR="00B90F89" w:rsidRPr="5BD0434B">
        <w:rPr>
          <w:rFonts w:asciiTheme="minorHAnsi" w:hAnsiTheme="minorHAnsi" w:cstheme="minorBidi"/>
          <w:sz w:val="20"/>
          <w:szCs w:val="20"/>
          <w:lang w:val="en-GB"/>
        </w:rPr>
        <w:t xml:space="preserve">; and </w:t>
      </w:r>
      <w:r w:rsidR="00BE2AAC" w:rsidRPr="5BD0434B">
        <w:rPr>
          <w:rFonts w:asciiTheme="minorHAnsi" w:hAnsiTheme="minorHAnsi" w:cstheme="minorBidi"/>
          <w:sz w:val="20"/>
          <w:szCs w:val="20"/>
          <w:lang w:val="en-GB"/>
        </w:rPr>
        <w:t>p</w:t>
      </w:r>
      <w:r w:rsidR="00412080" w:rsidRPr="5BD0434B">
        <w:rPr>
          <w:rFonts w:asciiTheme="minorHAnsi" w:hAnsiTheme="minorHAnsi" w:cstheme="minorBidi"/>
          <w:sz w:val="20"/>
          <w:szCs w:val="20"/>
          <w:lang w:val="en-GB"/>
        </w:rPr>
        <w:t xml:space="preserve">rogram </w:t>
      </w:r>
      <w:r w:rsidR="00BE2AAC" w:rsidRPr="5BD0434B">
        <w:rPr>
          <w:rFonts w:asciiTheme="minorHAnsi" w:hAnsiTheme="minorHAnsi" w:cstheme="minorBidi"/>
          <w:sz w:val="20"/>
          <w:szCs w:val="20"/>
          <w:lang w:val="en-GB"/>
        </w:rPr>
        <w:t>o</w:t>
      </w:r>
      <w:r w:rsidR="00B90F89" w:rsidRPr="5BD0434B">
        <w:rPr>
          <w:rFonts w:asciiTheme="minorHAnsi" w:hAnsiTheme="minorHAnsi" w:cstheme="minorBidi"/>
          <w:sz w:val="20"/>
          <w:szCs w:val="20"/>
          <w:lang w:val="en-GB"/>
        </w:rPr>
        <w:t>utputs</w:t>
      </w:r>
      <w:r w:rsidR="00DA4FAF" w:rsidRPr="5BD0434B">
        <w:rPr>
          <w:rStyle w:val="FootnoteReference"/>
          <w:rFonts w:asciiTheme="minorHAnsi" w:hAnsiTheme="minorHAnsi" w:cstheme="minorBidi"/>
          <w:sz w:val="20"/>
          <w:szCs w:val="20"/>
          <w:lang w:val="en-GB"/>
        </w:rPr>
        <w:footnoteReference w:id="32"/>
      </w:r>
      <w:r w:rsidR="000C3C6E" w:rsidRPr="5BD0434B">
        <w:rPr>
          <w:rFonts w:asciiTheme="minorHAnsi" w:hAnsiTheme="minorHAnsi" w:cstheme="minorBidi"/>
          <w:sz w:val="20"/>
          <w:szCs w:val="20"/>
          <w:lang w:val="en-GB"/>
        </w:rPr>
        <w:t xml:space="preserve">, as elaborated in </w:t>
      </w:r>
      <w:r w:rsidR="00A271AB" w:rsidRPr="5BD0434B">
        <w:rPr>
          <w:rFonts w:asciiTheme="minorHAnsi" w:hAnsiTheme="minorHAnsi" w:cstheme="minorBidi"/>
          <w:sz w:val="20"/>
          <w:szCs w:val="20"/>
          <w:lang w:val="en-GB"/>
        </w:rPr>
        <w:t xml:space="preserve">the CIF REI Integrated Results Framework in </w:t>
      </w:r>
      <w:r w:rsidR="000C3C6E" w:rsidRPr="5BD0434B">
        <w:rPr>
          <w:rFonts w:asciiTheme="minorHAnsi" w:hAnsiTheme="minorHAnsi" w:cstheme="minorBidi"/>
          <w:sz w:val="20"/>
          <w:szCs w:val="20"/>
          <w:lang w:val="en-GB"/>
        </w:rPr>
        <w:t xml:space="preserve">Annex </w:t>
      </w:r>
      <w:r w:rsidR="00491C27" w:rsidRPr="5BD0434B">
        <w:rPr>
          <w:rFonts w:asciiTheme="minorHAnsi" w:hAnsiTheme="minorHAnsi" w:cstheme="minorBidi"/>
          <w:sz w:val="20"/>
          <w:szCs w:val="20"/>
          <w:lang w:val="en-GB"/>
        </w:rPr>
        <w:t>10.</w:t>
      </w:r>
      <w:r w:rsidR="00766E97" w:rsidRPr="5BD0434B">
        <w:rPr>
          <w:rFonts w:asciiTheme="minorHAnsi" w:hAnsiTheme="minorHAnsi" w:cstheme="minorBidi"/>
          <w:sz w:val="20"/>
          <w:szCs w:val="20"/>
          <w:lang w:val="en-GB"/>
        </w:rPr>
        <w:t xml:space="preserve"> The </w:t>
      </w:r>
      <w:r w:rsidR="00ED3764" w:rsidRPr="5BD0434B">
        <w:rPr>
          <w:rFonts w:asciiTheme="minorHAnsi" w:hAnsiTheme="minorHAnsi" w:cstheme="minorBidi"/>
          <w:sz w:val="20"/>
          <w:szCs w:val="20"/>
          <w:lang w:val="en-GB"/>
        </w:rPr>
        <w:t xml:space="preserve">Investment Plan’s </w:t>
      </w:r>
      <w:r w:rsidR="00766E97" w:rsidRPr="5BD0434B">
        <w:rPr>
          <w:rFonts w:asciiTheme="minorHAnsi" w:hAnsiTheme="minorHAnsi" w:cstheme="minorBidi"/>
          <w:sz w:val="20"/>
          <w:szCs w:val="20"/>
          <w:lang w:val="en-GB"/>
        </w:rPr>
        <w:t xml:space="preserve">four components </w:t>
      </w:r>
      <w:r w:rsidR="005E4475" w:rsidRPr="5BD0434B">
        <w:rPr>
          <w:rFonts w:asciiTheme="minorHAnsi" w:hAnsiTheme="minorHAnsi" w:cstheme="minorBidi"/>
          <w:sz w:val="20"/>
          <w:szCs w:val="20"/>
          <w:lang w:val="en-GB"/>
        </w:rPr>
        <w:t xml:space="preserve">relate to each level of results </w:t>
      </w:r>
      <w:r w:rsidR="00DC3064" w:rsidRPr="5BD0434B">
        <w:rPr>
          <w:rFonts w:asciiTheme="minorHAnsi" w:hAnsiTheme="minorHAnsi" w:cstheme="minorBidi"/>
          <w:sz w:val="20"/>
          <w:szCs w:val="20"/>
          <w:lang w:val="en-GB"/>
        </w:rPr>
        <w:t xml:space="preserve">with a view to achieving program-level impacts </w:t>
      </w:r>
      <w:r w:rsidR="005E4475" w:rsidRPr="5BD0434B">
        <w:rPr>
          <w:rFonts w:asciiTheme="minorHAnsi" w:hAnsiTheme="minorHAnsi" w:cstheme="minorBidi"/>
          <w:sz w:val="20"/>
          <w:szCs w:val="20"/>
          <w:lang w:val="en-GB"/>
        </w:rPr>
        <w:t>as detailed below</w:t>
      </w:r>
      <w:r w:rsidR="00AF2B61" w:rsidRPr="5BD0434B">
        <w:rPr>
          <w:rFonts w:asciiTheme="minorHAnsi" w:hAnsiTheme="minorHAnsi" w:cstheme="minorBidi"/>
          <w:sz w:val="20"/>
          <w:szCs w:val="20"/>
          <w:lang w:val="en-GB"/>
        </w:rPr>
        <w:t>, responding to the whole of energy system analysis as described above</w:t>
      </w:r>
      <w:r w:rsidR="001D087A" w:rsidRPr="5BD0434B">
        <w:rPr>
          <w:rFonts w:asciiTheme="minorHAnsi" w:hAnsiTheme="minorHAnsi" w:cstheme="minorBidi"/>
          <w:sz w:val="20"/>
          <w:szCs w:val="20"/>
          <w:lang w:val="en-GB"/>
        </w:rPr>
        <w:t>.</w:t>
      </w:r>
    </w:p>
    <w:p w14:paraId="2E59AFBC" w14:textId="1A3E9F4F" w:rsidR="00D210A1" w:rsidRPr="0043215C" w:rsidRDefault="00ED30DB" w:rsidP="722B49A1">
      <w:pPr>
        <w:pStyle w:val="Heading2"/>
        <w:rPr>
          <w:sz w:val="20"/>
          <w:szCs w:val="20"/>
          <w:lang w:val="en-GB"/>
        </w:rPr>
      </w:pPr>
      <w:bookmarkStart w:id="143" w:name="_Toc162962967"/>
      <w:bookmarkStart w:id="144" w:name="_Toc162964149"/>
      <w:bookmarkStart w:id="145" w:name="_Toc170319845"/>
      <w:r w:rsidRPr="5BD0434B">
        <w:rPr>
          <w:sz w:val="20"/>
          <w:szCs w:val="20"/>
          <w:lang w:val="en-GB"/>
        </w:rPr>
        <w:t xml:space="preserve">CIF </w:t>
      </w:r>
      <w:r w:rsidR="00992827" w:rsidRPr="5BD0434B">
        <w:rPr>
          <w:sz w:val="20"/>
          <w:szCs w:val="20"/>
          <w:lang w:val="en-GB"/>
        </w:rPr>
        <w:t xml:space="preserve">Level </w:t>
      </w:r>
      <w:r w:rsidRPr="5BD0434B">
        <w:rPr>
          <w:sz w:val="20"/>
          <w:szCs w:val="20"/>
          <w:lang w:val="en-GB"/>
        </w:rPr>
        <w:t>Impact</w:t>
      </w:r>
      <w:r w:rsidR="00992827" w:rsidRPr="5BD0434B">
        <w:rPr>
          <w:sz w:val="20"/>
          <w:szCs w:val="20"/>
          <w:lang w:val="en-GB"/>
        </w:rPr>
        <w:t>s</w:t>
      </w:r>
      <w:bookmarkEnd w:id="143"/>
      <w:bookmarkEnd w:id="144"/>
      <w:bookmarkEnd w:id="145"/>
    </w:p>
    <w:p w14:paraId="5934F0C8" w14:textId="3CE43DB5" w:rsidR="00103DAE" w:rsidRPr="0043215C" w:rsidRDefault="00C70528" w:rsidP="000D401E">
      <w:pPr>
        <w:pStyle w:val="BodyText"/>
        <w:jc w:val="both"/>
        <w:rPr>
          <w:rFonts w:asciiTheme="minorHAnsi" w:hAnsiTheme="minorHAnsi" w:cstheme="minorBidi"/>
          <w:sz w:val="20"/>
          <w:szCs w:val="20"/>
          <w:lang w:val="en-GB"/>
        </w:rPr>
      </w:pPr>
      <w:r w:rsidRPr="5BD0434B">
        <w:rPr>
          <w:rFonts w:asciiTheme="minorHAnsi" w:hAnsiTheme="minorHAnsi" w:cstheme="minorBidi"/>
          <w:sz w:val="20"/>
          <w:szCs w:val="20"/>
          <w:lang w:val="en-GB"/>
        </w:rPr>
        <w:t xml:space="preserve">CIF Impact </w:t>
      </w:r>
      <w:r w:rsidR="00AC138A" w:rsidRPr="5BD0434B">
        <w:rPr>
          <w:rFonts w:asciiTheme="minorHAnsi" w:hAnsiTheme="minorHAnsi" w:cstheme="minorBidi"/>
          <w:sz w:val="20"/>
          <w:szCs w:val="20"/>
          <w:lang w:val="en-GB"/>
        </w:rPr>
        <w:t xml:space="preserve">is </w:t>
      </w:r>
      <w:r w:rsidR="0051394E" w:rsidRPr="5BD0434B">
        <w:rPr>
          <w:rFonts w:asciiTheme="minorHAnsi" w:hAnsiTheme="minorHAnsi" w:cstheme="minorBidi"/>
          <w:sz w:val="20"/>
          <w:szCs w:val="20"/>
          <w:lang w:val="en-GB"/>
        </w:rPr>
        <w:t xml:space="preserve">the </w:t>
      </w:r>
      <w:r w:rsidR="00C264C7" w:rsidRPr="5BD0434B">
        <w:rPr>
          <w:rFonts w:asciiTheme="minorHAnsi" w:hAnsiTheme="minorHAnsi" w:cstheme="minorBidi"/>
          <w:sz w:val="20"/>
          <w:szCs w:val="20"/>
          <w:lang w:val="en-GB"/>
        </w:rPr>
        <w:t xml:space="preserve">ultimate global mission </w:t>
      </w:r>
      <w:r w:rsidRPr="5BD0434B">
        <w:rPr>
          <w:rFonts w:asciiTheme="minorHAnsi" w:hAnsiTheme="minorHAnsi" w:cstheme="minorBidi"/>
          <w:sz w:val="20"/>
          <w:szCs w:val="20"/>
          <w:lang w:val="en-GB"/>
        </w:rPr>
        <w:t xml:space="preserve">to </w:t>
      </w:r>
      <w:r w:rsidR="007C25A2" w:rsidRPr="5BD0434B">
        <w:rPr>
          <w:rFonts w:asciiTheme="minorHAnsi" w:hAnsiTheme="minorHAnsi" w:cstheme="minorBidi"/>
          <w:sz w:val="20"/>
          <w:szCs w:val="20"/>
          <w:lang w:val="en-GB"/>
        </w:rPr>
        <w:t>“</w:t>
      </w:r>
      <w:r w:rsidRPr="5BD0434B">
        <w:rPr>
          <w:rFonts w:asciiTheme="minorHAnsi" w:hAnsiTheme="minorHAnsi" w:cstheme="minorBidi"/>
          <w:sz w:val="20"/>
          <w:szCs w:val="20"/>
          <w:lang w:val="en-GB"/>
        </w:rPr>
        <w:t xml:space="preserve">achieve </w:t>
      </w:r>
      <w:r w:rsidR="00C264C7" w:rsidRPr="5BD0434B">
        <w:rPr>
          <w:rFonts w:asciiTheme="minorHAnsi" w:hAnsiTheme="minorHAnsi" w:cstheme="minorBidi"/>
          <w:sz w:val="20"/>
          <w:szCs w:val="20"/>
          <w:lang w:val="en-GB"/>
        </w:rPr>
        <w:t>accelerated transformational change and</w:t>
      </w:r>
      <w:r w:rsidR="0057561C" w:rsidRPr="5BD0434B">
        <w:rPr>
          <w:rFonts w:asciiTheme="minorHAnsi" w:hAnsiTheme="minorHAnsi" w:cstheme="minorBidi"/>
          <w:sz w:val="20"/>
          <w:szCs w:val="20"/>
          <w:lang w:val="en-GB"/>
        </w:rPr>
        <w:t xml:space="preserve"> </w:t>
      </w:r>
      <w:r w:rsidR="00C264C7" w:rsidRPr="5BD0434B">
        <w:rPr>
          <w:rFonts w:asciiTheme="minorHAnsi" w:hAnsiTheme="minorHAnsi" w:cstheme="minorBidi"/>
          <w:sz w:val="20"/>
          <w:szCs w:val="20"/>
          <w:lang w:val="en-GB"/>
        </w:rPr>
        <w:t>climate financing that enable progress toward net-zero emissions and adaptive, climate-resilient development pathways, in a just and socially inclusive manner</w:t>
      </w:r>
      <w:r w:rsidR="007C25A2" w:rsidRPr="5BD0434B">
        <w:rPr>
          <w:rFonts w:asciiTheme="minorHAnsi" w:hAnsiTheme="minorHAnsi" w:cstheme="minorBidi"/>
          <w:sz w:val="20"/>
          <w:szCs w:val="20"/>
          <w:lang w:val="en-GB"/>
        </w:rPr>
        <w:t>”</w:t>
      </w:r>
      <w:r w:rsidR="00C264C7" w:rsidRPr="5BD0434B">
        <w:rPr>
          <w:rFonts w:asciiTheme="minorHAnsi" w:hAnsiTheme="minorHAnsi" w:cstheme="minorBidi"/>
          <w:sz w:val="20"/>
          <w:szCs w:val="20"/>
          <w:lang w:val="en-GB"/>
        </w:rPr>
        <w:t xml:space="preserve">. </w:t>
      </w:r>
      <w:r w:rsidR="00AC138A" w:rsidRPr="5BD0434B">
        <w:rPr>
          <w:rFonts w:asciiTheme="minorHAnsi" w:hAnsiTheme="minorHAnsi" w:cstheme="minorBidi"/>
          <w:sz w:val="20"/>
          <w:szCs w:val="20"/>
          <w:lang w:val="en-GB"/>
        </w:rPr>
        <w:t>CIF Impact is measu</w:t>
      </w:r>
      <w:r w:rsidR="00051E5C" w:rsidRPr="5BD0434B">
        <w:rPr>
          <w:rFonts w:asciiTheme="minorHAnsi" w:hAnsiTheme="minorHAnsi" w:cstheme="minorBidi"/>
          <w:sz w:val="20"/>
          <w:szCs w:val="20"/>
          <w:lang w:val="en-GB"/>
        </w:rPr>
        <w:t>re</w:t>
      </w:r>
      <w:r w:rsidR="00AC138A" w:rsidRPr="5BD0434B">
        <w:rPr>
          <w:rFonts w:asciiTheme="minorHAnsi" w:hAnsiTheme="minorHAnsi" w:cstheme="minorBidi"/>
          <w:sz w:val="20"/>
          <w:szCs w:val="20"/>
          <w:lang w:val="en-GB"/>
        </w:rPr>
        <w:t xml:space="preserve">d through </w:t>
      </w:r>
      <w:r w:rsidR="00477234" w:rsidRPr="5BD0434B">
        <w:rPr>
          <w:rFonts w:asciiTheme="minorHAnsi" w:hAnsiTheme="minorHAnsi" w:cstheme="minorBidi"/>
          <w:sz w:val="20"/>
          <w:szCs w:val="20"/>
          <w:lang w:val="en-GB"/>
        </w:rPr>
        <w:t xml:space="preserve">four </w:t>
      </w:r>
      <w:r w:rsidR="0034682C" w:rsidRPr="5BD0434B">
        <w:rPr>
          <w:rFonts w:asciiTheme="minorHAnsi" w:hAnsiTheme="minorHAnsi" w:cstheme="minorBidi"/>
          <w:sz w:val="20"/>
          <w:szCs w:val="20"/>
          <w:lang w:val="en-GB"/>
        </w:rPr>
        <w:t xml:space="preserve">standard </w:t>
      </w:r>
      <w:r w:rsidR="00477234" w:rsidRPr="5BD0434B">
        <w:rPr>
          <w:rFonts w:asciiTheme="minorHAnsi" w:hAnsiTheme="minorHAnsi" w:cstheme="minorBidi"/>
          <w:sz w:val="20"/>
          <w:szCs w:val="20"/>
          <w:lang w:val="en-GB"/>
        </w:rPr>
        <w:t>indicat</w:t>
      </w:r>
      <w:r w:rsidR="0034682C" w:rsidRPr="5BD0434B">
        <w:rPr>
          <w:rFonts w:asciiTheme="minorHAnsi" w:hAnsiTheme="minorHAnsi" w:cstheme="minorBidi"/>
          <w:sz w:val="20"/>
          <w:szCs w:val="20"/>
          <w:lang w:val="en-GB"/>
        </w:rPr>
        <w:t>o</w:t>
      </w:r>
      <w:r w:rsidR="00477234" w:rsidRPr="5BD0434B">
        <w:rPr>
          <w:rFonts w:asciiTheme="minorHAnsi" w:hAnsiTheme="minorHAnsi" w:cstheme="minorBidi"/>
          <w:sz w:val="20"/>
          <w:szCs w:val="20"/>
          <w:lang w:val="en-GB"/>
        </w:rPr>
        <w:t>rs</w:t>
      </w:r>
      <w:r w:rsidR="00AC138A" w:rsidRPr="5BD0434B">
        <w:rPr>
          <w:rFonts w:asciiTheme="minorHAnsi" w:hAnsiTheme="minorHAnsi" w:cstheme="minorBidi"/>
          <w:sz w:val="20"/>
          <w:szCs w:val="20"/>
          <w:lang w:val="en-GB"/>
        </w:rPr>
        <w:t>:</w:t>
      </w:r>
      <w:r w:rsidR="0034682C" w:rsidRPr="5BD0434B">
        <w:rPr>
          <w:rFonts w:asciiTheme="minorHAnsi" w:hAnsiTheme="minorHAnsi" w:cstheme="minorBidi"/>
          <w:sz w:val="20"/>
          <w:szCs w:val="20"/>
          <w:lang w:val="en-GB"/>
        </w:rPr>
        <w:t xml:space="preserve"> </w:t>
      </w:r>
      <w:r w:rsidR="00B2452B" w:rsidRPr="5BD0434B">
        <w:rPr>
          <w:rFonts w:asciiTheme="minorHAnsi" w:hAnsiTheme="minorHAnsi" w:cstheme="minorBidi"/>
          <w:sz w:val="20"/>
          <w:szCs w:val="20"/>
          <w:lang w:val="en-GB"/>
        </w:rPr>
        <w:t>CIF 1 Mitigation; CIF 2 Adaptation; CIF 3 Beneficiaries; and CIF 4 Co-Finance.</w:t>
      </w:r>
      <w:r w:rsidR="003F65D7" w:rsidRPr="5BD0434B">
        <w:rPr>
          <w:rFonts w:asciiTheme="minorHAnsi" w:hAnsiTheme="minorHAnsi" w:cstheme="minorBidi"/>
          <w:sz w:val="20"/>
          <w:szCs w:val="20"/>
          <w:lang w:val="en-GB"/>
        </w:rPr>
        <w:t xml:space="preserve"> Values for these indicators are aggregated from countries program- and project-level indicators as relevant.</w:t>
      </w:r>
    </w:p>
    <w:p w14:paraId="47E6FC3E" w14:textId="2EC608A4" w:rsidR="00924190" w:rsidRPr="0043215C" w:rsidRDefault="00AC138A" w:rsidP="000D401E">
      <w:pPr>
        <w:pStyle w:val="BodyText"/>
        <w:spacing w:before="240"/>
        <w:jc w:val="both"/>
        <w:rPr>
          <w:rFonts w:asciiTheme="minorHAnsi" w:hAnsiTheme="minorHAnsi" w:cstheme="minorBidi"/>
          <w:sz w:val="20"/>
          <w:szCs w:val="20"/>
          <w:lang w:val="en-GB"/>
        </w:rPr>
      </w:pPr>
      <w:r w:rsidRPr="5BD0434B">
        <w:rPr>
          <w:rFonts w:asciiTheme="minorHAnsi" w:hAnsiTheme="minorHAnsi" w:cstheme="minorBidi"/>
          <w:sz w:val="20"/>
          <w:szCs w:val="20"/>
          <w:lang w:val="en-GB"/>
        </w:rPr>
        <w:t xml:space="preserve">The present </w:t>
      </w:r>
      <w:r w:rsidR="007F7E2A" w:rsidRPr="5BD0434B">
        <w:rPr>
          <w:rFonts w:asciiTheme="minorHAnsi" w:hAnsiTheme="minorHAnsi" w:cstheme="minorBidi"/>
          <w:sz w:val="20"/>
          <w:szCs w:val="20"/>
          <w:lang w:val="en-GB"/>
        </w:rPr>
        <w:t>IP</w:t>
      </w:r>
      <w:r w:rsidRPr="5BD0434B">
        <w:rPr>
          <w:rFonts w:asciiTheme="minorHAnsi" w:hAnsiTheme="minorHAnsi" w:cstheme="minorBidi"/>
          <w:sz w:val="20"/>
          <w:szCs w:val="20"/>
          <w:lang w:val="en-GB"/>
        </w:rPr>
        <w:t xml:space="preserve"> </w:t>
      </w:r>
      <w:r w:rsidR="002E11B5" w:rsidRPr="5BD0434B">
        <w:rPr>
          <w:rFonts w:asciiTheme="minorHAnsi" w:hAnsiTheme="minorHAnsi" w:cstheme="minorBidi"/>
          <w:sz w:val="20"/>
          <w:szCs w:val="20"/>
          <w:lang w:val="en-GB"/>
        </w:rPr>
        <w:t xml:space="preserve">is expected to </w:t>
      </w:r>
      <w:r w:rsidRPr="5BD0434B">
        <w:rPr>
          <w:rFonts w:asciiTheme="minorHAnsi" w:hAnsiTheme="minorHAnsi" w:cstheme="minorBidi"/>
          <w:sz w:val="20"/>
          <w:szCs w:val="20"/>
          <w:lang w:val="en-GB"/>
        </w:rPr>
        <w:t xml:space="preserve">contribute </w:t>
      </w:r>
      <w:r w:rsidR="005459AC" w:rsidRPr="5BD0434B">
        <w:rPr>
          <w:rFonts w:asciiTheme="minorHAnsi" w:hAnsiTheme="minorHAnsi" w:cstheme="minorBidi"/>
          <w:sz w:val="20"/>
          <w:szCs w:val="20"/>
          <w:lang w:val="en-GB"/>
        </w:rPr>
        <w:t xml:space="preserve">to </w:t>
      </w:r>
      <w:r w:rsidR="002E11B5" w:rsidRPr="5BD0434B">
        <w:rPr>
          <w:rFonts w:asciiTheme="minorHAnsi" w:hAnsiTheme="minorHAnsi" w:cstheme="minorBidi"/>
          <w:sz w:val="20"/>
          <w:szCs w:val="20"/>
          <w:lang w:val="en-GB"/>
        </w:rPr>
        <w:t xml:space="preserve">the following </w:t>
      </w:r>
      <w:r w:rsidRPr="5BD0434B">
        <w:rPr>
          <w:rFonts w:asciiTheme="minorHAnsi" w:hAnsiTheme="minorHAnsi" w:cstheme="minorBidi"/>
          <w:sz w:val="20"/>
          <w:szCs w:val="20"/>
          <w:lang w:val="en-GB"/>
        </w:rPr>
        <w:t>CIF Impact indicators</w:t>
      </w:r>
      <w:r w:rsidR="005459AC" w:rsidRPr="5BD0434B">
        <w:rPr>
          <w:rFonts w:asciiTheme="minorHAnsi" w:hAnsiTheme="minorHAnsi" w:cstheme="minorBidi"/>
          <w:sz w:val="20"/>
          <w:szCs w:val="20"/>
          <w:lang w:val="en-GB"/>
        </w:rPr>
        <w:t>:</w:t>
      </w:r>
    </w:p>
    <w:p w14:paraId="63C2039B" w14:textId="3E510F43" w:rsidR="005459AC" w:rsidRPr="0043215C" w:rsidRDefault="00924190" w:rsidP="00996556">
      <w:pPr>
        <w:pStyle w:val="BodyText"/>
        <w:numPr>
          <w:ilvl w:val="0"/>
          <w:numId w:val="2"/>
        </w:numPr>
        <w:jc w:val="both"/>
        <w:rPr>
          <w:rFonts w:asciiTheme="minorHAnsi" w:hAnsiTheme="minorHAnsi" w:cstheme="minorBidi"/>
          <w:sz w:val="20"/>
          <w:szCs w:val="20"/>
        </w:rPr>
      </w:pPr>
      <w:r w:rsidRPr="5BD0434B">
        <w:rPr>
          <w:rFonts w:asciiTheme="minorHAnsi" w:hAnsiTheme="minorHAnsi" w:cstheme="minorBidi"/>
          <w:sz w:val="20"/>
          <w:szCs w:val="20"/>
          <w:lang w:val="en-GB"/>
        </w:rPr>
        <w:t xml:space="preserve">CIF 1. </w:t>
      </w:r>
      <w:r w:rsidR="00475A01" w:rsidRPr="5BD0434B">
        <w:rPr>
          <w:rFonts w:asciiTheme="minorHAnsi" w:hAnsiTheme="minorHAnsi" w:cstheme="minorBidi"/>
          <w:sz w:val="20"/>
          <w:szCs w:val="20"/>
          <w:lang w:val="en-GB"/>
        </w:rPr>
        <w:t xml:space="preserve">Mitigation: </w:t>
      </w:r>
      <w:r w:rsidRPr="5BD0434B">
        <w:rPr>
          <w:rFonts w:asciiTheme="minorHAnsi" w:hAnsiTheme="minorHAnsi" w:cstheme="minorBidi"/>
          <w:sz w:val="20"/>
          <w:szCs w:val="20"/>
          <w:lang w:val="en-GB"/>
        </w:rPr>
        <w:t>GHG emission</w:t>
      </w:r>
      <w:r w:rsidR="00475A01" w:rsidRPr="5BD0434B">
        <w:rPr>
          <w:rFonts w:asciiTheme="minorHAnsi" w:hAnsiTheme="minorHAnsi" w:cstheme="minorBidi"/>
          <w:sz w:val="20"/>
          <w:szCs w:val="20"/>
          <w:lang w:val="en-GB"/>
        </w:rPr>
        <w:t xml:space="preserve">s reduced or avoided (Mt CO2 </w:t>
      </w:r>
      <w:proofErr w:type="spellStart"/>
      <w:r w:rsidR="00475A01" w:rsidRPr="5BD0434B">
        <w:rPr>
          <w:rFonts w:asciiTheme="minorHAnsi" w:hAnsiTheme="minorHAnsi" w:cstheme="minorBidi"/>
          <w:sz w:val="20"/>
          <w:szCs w:val="20"/>
          <w:lang w:val="en-GB"/>
        </w:rPr>
        <w:t>eq</w:t>
      </w:r>
      <w:proofErr w:type="spellEnd"/>
      <w:r w:rsidR="00475A01" w:rsidRPr="5BD0434B">
        <w:rPr>
          <w:rFonts w:asciiTheme="minorHAnsi" w:hAnsiTheme="minorHAnsi" w:cstheme="minorBidi"/>
          <w:sz w:val="20"/>
          <w:szCs w:val="20"/>
          <w:lang w:val="en-GB"/>
        </w:rPr>
        <w:t>)</w:t>
      </w:r>
      <w:r w:rsidR="005459AC" w:rsidRPr="5BD0434B">
        <w:rPr>
          <w:rFonts w:asciiTheme="minorHAnsi" w:hAnsiTheme="minorHAnsi" w:cstheme="minorBidi"/>
          <w:sz w:val="20"/>
          <w:szCs w:val="20"/>
          <w:lang w:val="en-GB"/>
        </w:rPr>
        <w:t>.</w:t>
      </w:r>
      <w:r w:rsidR="009735C8" w:rsidRPr="5BD0434B">
        <w:rPr>
          <w:rFonts w:asciiTheme="minorHAnsi" w:hAnsiTheme="minorHAnsi" w:cstheme="minorBidi"/>
          <w:sz w:val="20"/>
          <w:szCs w:val="20"/>
        </w:rPr>
        <w:t xml:space="preserve"> </w:t>
      </w:r>
      <w:r w:rsidR="00E14783" w:rsidRPr="5BD0434B">
        <w:rPr>
          <w:rFonts w:asciiTheme="minorHAnsi" w:hAnsiTheme="minorHAnsi" w:cstheme="minorBidi"/>
          <w:sz w:val="20"/>
          <w:szCs w:val="20"/>
        </w:rPr>
        <w:t xml:space="preserve"> </w:t>
      </w:r>
    </w:p>
    <w:p w14:paraId="1182AE48" w14:textId="55D4884D" w:rsidR="00F350A6" w:rsidRPr="0043215C" w:rsidRDefault="00F350A6" w:rsidP="00996556">
      <w:pPr>
        <w:pStyle w:val="BodyText"/>
        <w:numPr>
          <w:ilvl w:val="0"/>
          <w:numId w:val="2"/>
        </w:numPr>
        <w:jc w:val="both"/>
        <w:rPr>
          <w:rFonts w:asciiTheme="minorHAnsi" w:hAnsiTheme="minorHAnsi" w:cstheme="minorHAnsi"/>
          <w:sz w:val="20"/>
          <w:szCs w:val="20"/>
        </w:rPr>
      </w:pPr>
      <w:r w:rsidRPr="0043215C">
        <w:rPr>
          <w:rFonts w:asciiTheme="minorHAnsi" w:hAnsiTheme="minorHAnsi" w:cstheme="minorHAnsi"/>
          <w:sz w:val="20"/>
          <w:szCs w:val="20"/>
        </w:rPr>
        <w:t>CIF 4. Co-Finance: Volume of co-finance leveraged (</w:t>
      </w:r>
      <w:r w:rsidR="00636124" w:rsidRPr="0043215C">
        <w:rPr>
          <w:rFonts w:asciiTheme="minorHAnsi" w:hAnsiTheme="minorHAnsi" w:cstheme="minorHAnsi"/>
          <w:sz w:val="20"/>
          <w:szCs w:val="20"/>
        </w:rPr>
        <w:t>US$</w:t>
      </w:r>
      <w:r w:rsidRPr="0043215C">
        <w:rPr>
          <w:rFonts w:asciiTheme="minorHAnsi" w:hAnsiTheme="minorHAnsi" w:cstheme="minorHAnsi"/>
          <w:sz w:val="20"/>
          <w:szCs w:val="20"/>
        </w:rPr>
        <w:t>).</w:t>
      </w:r>
    </w:p>
    <w:p w14:paraId="17EF4E38" w14:textId="6A7EF767" w:rsidR="00F350A6" w:rsidRPr="0043215C" w:rsidRDefault="0057561C" w:rsidP="000D401E">
      <w:pPr>
        <w:pStyle w:val="BodyText"/>
        <w:spacing w:before="240"/>
        <w:jc w:val="both"/>
        <w:rPr>
          <w:rFonts w:asciiTheme="minorHAnsi" w:hAnsiTheme="minorHAnsi" w:cstheme="minorHAnsi"/>
          <w:sz w:val="20"/>
          <w:szCs w:val="20"/>
        </w:rPr>
      </w:pPr>
      <w:r w:rsidRPr="0043215C">
        <w:rPr>
          <w:rFonts w:asciiTheme="minorHAnsi" w:hAnsiTheme="minorHAnsi" w:cstheme="minorHAnsi"/>
          <w:sz w:val="20"/>
          <w:szCs w:val="20"/>
        </w:rPr>
        <w:t xml:space="preserve">CIF 1 and 4 correspond to respective </w:t>
      </w:r>
      <w:r w:rsidR="00294DBF" w:rsidRPr="0043215C">
        <w:rPr>
          <w:rFonts w:asciiTheme="minorHAnsi" w:hAnsiTheme="minorHAnsi" w:cstheme="minorHAnsi"/>
          <w:sz w:val="20"/>
          <w:szCs w:val="20"/>
        </w:rPr>
        <w:t xml:space="preserve">program outcome </w:t>
      </w:r>
      <w:r w:rsidRPr="0043215C">
        <w:rPr>
          <w:rFonts w:asciiTheme="minorHAnsi" w:hAnsiTheme="minorHAnsi" w:cstheme="minorHAnsi"/>
          <w:sz w:val="20"/>
          <w:szCs w:val="20"/>
        </w:rPr>
        <w:t>indicators as detailed below.</w:t>
      </w:r>
    </w:p>
    <w:p w14:paraId="38F9A23A" w14:textId="154EB147" w:rsidR="00D210A1" w:rsidRPr="0043215C" w:rsidRDefault="00511300" w:rsidP="722B49A1">
      <w:pPr>
        <w:pStyle w:val="Heading2"/>
        <w:spacing w:before="240"/>
        <w:rPr>
          <w:sz w:val="20"/>
          <w:szCs w:val="20"/>
        </w:rPr>
      </w:pPr>
      <w:bookmarkStart w:id="146" w:name="_Toc162962968"/>
      <w:bookmarkStart w:id="147" w:name="_Toc162964150"/>
      <w:bookmarkStart w:id="148" w:name="_Toc170319846"/>
      <w:r w:rsidRPr="722B49A1">
        <w:rPr>
          <w:sz w:val="20"/>
          <w:szCs w:val="20"/>
        </w:rPr>
        <w:t xml:space="preserve">REI </w:t>
      </w:r>
      <w:r w:rsidR="00D674DC" w:rsidRPr="722B49A1">
        <w:rPr>
          <w:sz w:val="20"/>
          <w:szCs w:val="20"/>
        </w:rPr>
        <w:t xml:space="preserve">Program </w:t>
      </w:r>
      <w:r w:rsidRPr="722B49A1">
        <w:rPr>
          <w:sz w:val="20"/>
          <w:szCs w:val="20"/>
        </w:rPr>
        <w:t xml:space="preserve">Level </w:t>
      </w:r>
      <w:r w:rsidR="00D674DC" w:rsidRPr="722B49A1">
        <w:rPr>
          <w:sz w:val="20"/>
          <w:szCs w:val="20"/>
        </w:rPr>
        <w:t>Impact</w:t>
      </w:r>
      <w:bookmarkEnd w:id="146"/>
      <w:bookmarkEnd w:id="147"/>
      <w:r w:rsidRPr="722B49A1">
        <w:rPr>
          <w:sz w:val="20"/>
          <w:szCs w:val="20"/>
        </w:rPr>
        <w:t>s</w:t>
      </w:r>
      <w:bookmarkEnd w:id="148"/>
    </w:p>
    <w:p w14:paraId="47539828" w14:textId="421E2219" w:rsidR="00AA1BCB" w:rsidRPr="0043215C" w:rsidRDefault="00080505" w:rsidP="004706E1">
      <w:pPr>
        <w:rPr>
          <w:rFonts w:cstheme="minorHAnsi"/>
          <w:sz w:val="20"/>
          <w:szCs w:val="20"/>
        </w:rPr>
      </w:pPr>
      <w:r w:rsidRPr="0043215C">
        <w:rPr>
          <w:rFonts w:cstheme="minorHAnsi"/>
          <w:sz w:val="20"/>
          <w:szCs w:val="20"/>
        </w:rPr>
        <w:t xml:space="preserve">The </w:t>
      </w:r>
      <w:r w:rsidR="002D2D99" w:rsidRPr="0043215C">
        <w:rPr>
          <w:rFonts w:cstheme="minorHAnsi"/>
          <w:sz w:val="20"/>
          <w:szCs w:val="20"/>
        </w:rPr>
        <w:t xml:space="preserve">REI </w:t>
      </w:r>
      <w:r w:rsidR="00201F6A" w:rsidRPr="0043215C">
        <w:rPr>
          <w:rFonts w:cstheme="minorHAnsi"/>
          <w:sz w:val="20"/>
          <w:szCs w:val="20"/>
        </w:rPr>
        <w:t>P</w:t>
      </w:r>
      <w:r w:rsidR="002D2D99" w:rsidRPr="0043215C">
        <w:rPr>
          <w:rFonts w:cstheme="minorHAnsi"/>
          <w:sz w:val="20"/>
          <w:szCs w:val="20"/>
        </w:rPr>
        <w:t xml:space="preserve">rogram </w:t>
      </w:r>
      <w:r w:rsidR="00201F6A" w:rsidRPr="0043215C">
        <w:rPr>
          <w:rFonts w:cstheme="minorHAnsi"/>
          <w:sz w:val="20"/>
          <w:szCs w:val="20"/>
        </w:rPr>
        <w:t xml:space="preserve">Impact </w:t>
      </w:r>
      <w:r w:rsidR="00563484" w:rsidRPr="0043215C">
        <w:rPr>
          <w:rFonts w:cstheme="minorHAnsi"/>
          <w:sz w:val="20"/>
          <w:szCs w:val="20"/>
        </w:rPr>
        <w:t xml:space="preserve">is </w:t>
      </w:r>
      <w:r w:rsidRPr="0043215C">
        <w:rPr>
          <w:rFonts w:cstheme="minorHAnsi"/>
          <w:sz w:val="20"/>
          <w:szCs w:val="20"/>
        </w:rPr>
        <w:t xml:space="preserve">to </w:t>
      </w:r>
      <w:r w:rsidR="007C25A2" w:rsidRPr="0043215C">
        <w:rPr>
          <w:rFonts w:cstheme="minorHAnsi"/>
          <w:sz w:val="20"/>
          <w:szCs w:val="20"/>
        </w:rPr>
        <w:t>“</w:t>
      </w:r>
      <w:r w:rsidRPr="0043215C">
        <w:rPr>
          <w:rFonts w:cstheme="minorHAnsi"/>
          <w:sz w:val="20"/>
          <w:szCs w:val="20"/>
        </w:rPr>
        <w:t xml:space="preserve">enable </w:t>
      </w:r>
      <w:r w:rsidR="00653498" w:rsidRPr="0043215C">
        <w:rPr>
          <w:rFonts w:cstheme="minorHAnsi"/>
          <w:sz w:val="20"/>
          <w:szCs w:val="20"/>
        </w:rPr>
        <w:t>flexibility of energy systems for smooth integration of higher shares of variable renewable energy generation into the grid</w:t>
      </w:r>
      <w:r w:rsidR="00CE3E30" w:rsidRPr="0043215C">
        <w:rPr>
          <w:rFonts w:cstheme="minorHAnsi"/>
          <w:sz w:val="20"/>
          <w:szCs w:val="20"/>
        </w:rPr>
        <w:t xml:space="preserve"> and increase </w:t>
      </w:r>
      <w:r w:rsidR="007C25A2" w:rsidRPr="0043215C">
        <w:rPr>
          <w:rFonts w:cstheme="minorHAnsi"/>
          <w:sz w:val="20"/>
          <w:szCs w:val="20"/>
        </w:rPr>
        <w:t xml:space="preserve">in </w:t>
      </w:r>
      <w:r w:rsidR="00CE3E30" w:rsidRPr="0043215C">
        <w:rPr>
          <w:rFonts w:cstheme="minorHAnsi"/>
          <w:sz w:val="20"/>
          <w:szCs w:val="20"/>
        </w:rPr>
        <w:t>off-grid access to renewable energy</w:t>
      </w:r>
      <w:r w:rsidR="007C25A2" w:rsidRPr="0043215C">
        <w:rPr>
          <w:rFonts w:cstheme="minorHAnsi"/>
          <w:sz w:val="20"/>
          <w:szCs w:val="20"/>
        </w:rPr>
        <w:t>”</w:t>
      </w:r>
      <w:r w:rsidR="00653498" w:rsidRPr="0043215C">
        <w:rPr>
          <w:rFonts w:cstheme="minorHAnsi"/>
          <w:sz w:val="20"/>
          <w:szCs w:val="20"/>
        </w:rPr>
        <w:t xml:space="preserve">. </w:t>
      </w:r>
      <w:r w:rsidR="00103DAE" w:rsidRPr="0043215C">
        <w:rPr>
          <w:rFonts w:cstheme="minorHAnsi"/>
          <w:sz w:val="20"/>
          <w:szCs w:val="20"/>
        </w:rPr>
        <w:t>T</w:t>
      </w:r>
      <w:r w:rsidR="00D674DC" w:rsidRPr="0043215C">
        <w:rPr>
          <w:rFonts w:cstheme="minorHAnsi"/>
          <w:sz w:val="20"/>
          <w:szCs w:val="20"/>
        </w:rPr>
        <w:t xml:space="preserve">he REI M&amp;R System </w:t>
      </w:r>
      <w:r w:rsidR="00103DAE" w:rsidRPr="0043215C">
        <w:rPr>
          <w:rFonts w:cstheme="minorHAnsi"/>
          <w:sz w:val="20"/>
          <w:szCs w:val="20"/>
        </w:rPr>
        <w:lastRenderedPageBreak/>
        <w:t>asks for</w:t>
      </w:r>
      <w:r w:rsidR="00D674DC" w:rsidRPr="0043215C">
        <w:rPr>
          <w:rFonts w:cstheme="minorHAnsi"/>
          <w:sz w:val="20"/>
          <w:szCs w:val="20"/>
        </w:rPr>
        <w:t xml:space="preserve"> </w:t>
      </w:r>
      <w:r w:rsidR="00103DAE" w:rsidRPr="0043215C">
        <w:rPr>
          <w:rFonts w:cstheme="minorHAnsi"/>
          <w:sz w:val="20"/>
          <w:szCs w:val="20"/>
        </w:rPr>
        <w:t>Program impacts to be measured with</w:t>
      </w:r>
      <w:r w:rsidR="006950E4" w:rsidRPr="0043215C">
        <w:rPr>
          <w:rFonts w:cstheme="minorHAnsi"/>
          <w:sz w:val="20"/>
          <w:szCs w:val="20"/>
        </w:rPr>
        <w:t xml:space="preserve"> </w:t>
      </w:r>
      <w:r w:rsidR="005F0027" w:rsidRPr="0043215C">
        <w:rPr>
          <w:rFonts w:cstheme="minorHAnsi"/>
          <w:sz w:val="20"/>
          <w:szCs w:val="20"/>
        </w:rPr>
        <w:t>3 to 5 country</w:t>
      </w:r>
      <w:r w:rsidR="00D674DC" w:rsidRPr="0043215C">
        <w:rPr>
          <w:rFonts w:cstheme="minorHAnsi"/>
          <w:sz w:val="20"/>
          <w:szCs w:val="20"/>
        </w:rPr>
        <w:t xml:space="preserve"> impact </w:t>
      </w:r>
      <w:r w:rsidR="005F0027" w:rsidRPr="0043215C">
        <w:rPr>
          <w:rFonts w:cstheme="minorHAnsi"/>
          <w:sz w:val="20"/>
          <w:szCs w:val="20"/>
        </w:rPr>
        <w:t>indicators</w:t>
      </w:r>
      <w:r w:rsidR="00103DAE" w:rsidRPr="0043215C">
        <w:rPr>
          <w:rFonts w:cstheme="minorHAnsi"/>
          <w:sz w:val="20"/>
          <w:szCs w:val="20"/>
        </w:rPr>
        <w:t>,</w:t>
      </w:r>
      <w:r w:rsidR="005F0027" w:rsidRPr="0043215C">
        <w:rPr>
          <w:rFonts w:cstheme="minorHAnsi"/>
          <w:sz w:val="20"/>
          <w:szCs w:val="20"/>
        </w:rPr>
        <w:t xml:space="preserve"> selected </w:t>
      </w:r>
      <w:r w:rsidR="006950E4" w:rsidRPr="0043215C">
        <w:rPr>
          <w:rFonts w:cstheme="minorHAnsi"/>
          <w:sz w:val="20"/>
          <w:szCs w:val="20"/>
        </w:rPr>
        <w:t xml:space="preserve">by </w:t>
      </w:r>
      <w:r w:rsidR="00023354" w:rsidRPr="0043215C">
        <w:rPr>
          <w:rFonts w:cstheme="minorHAnsi"/>
          <w:sz w:val="20"/>
          <w:szCs w:val="20"/>
        </w:rPr>
        <w:t xml:space="preserve">country </w:t>
      </w:r>
      <w:r w:rsidR="006950E4" w:rsidRPr="0043215C">
        <w:rPr>
          <w:rFonts w:cstheme="minorHAnsi"/>
          <w:sz w:val="20"/>
          <w:szCs w:val="20"/>
        </w:rPr>
        <w:t xml:space="preserve">recipients </w:t>
      </w:r>
      <w:r w:rsidR="0053086C" w:rsidRPr="0043215C">
        <w:rPr>
          <w:rFonts w:cstheme="minorHAnsi"/>
          <w:sz w:val="20"/>
          <w:szCs w:val="20"/>
        </w:rPr>
        <w:t>for the specific Investment Plan.</w:t>
      </w:r>
      <w:r w:rsidR="00023354" w:rsidRPr="0043215C">
        <w:rPr>
          <w:rFonts w:cstheme="minorHAnsi"/>
          <w:sz w:val="20"/>
          <w:szCs w:val="20"/>
        </w:rPr>
        <w:t xml:space="preserve"> </w:t>
      </w:r>
      <w:r w:rsidR="001A200D" w:rsidRPr="0043215C">
        <w:rPr>
          <w:rFonts w:cstheme="minorHAnsi"/>
          <w:sz w:val="20"/>
          <w:szCs w:val="20"/>
        </w:rPr>
        <w:t xml:space="preserve">These indicators are intended to be a high-level view of </w:t>
      </w:r>
      <w:r w:rsidR="009E3B8B" w:rsidRPr="0043215C">
        <w:rPr>
          <w:rFonts w:cstheme="minorHAnsi"/>
          <w:sz w:val="20"/>
          <w:szCs w:val="20"/>
        </w:rPr>
        <w:t xml:space="preserve">country </w:t>
      </w:r>
      <w:r w:rsidR="001A200D" w:rsidRPr="0043215C">
        <w:rPr>
          <w:rFonts w:cstheme="minorHAnsi"/>
          <w:sz w:val="20"/>
          <w:szCs w:val="20"/>
        </w:rPr>
        <w:t xml:space="preserve">progress </w:t>
      </w:r>
      <w:r w:rsidR="00936A1A" w:rsidRPr="0043215C">
        <w:rPr>
          <w:rFonts w:cstheme="minorHAnsi"/>
          <w:sz w:val="20"/>
          <w:szCs w:val="20"/>
        </w:rPr>
        <w:t>on renewable energy integration</w:t>
      </w:r>
      <w:r w:rsidR="009E3B8B" w:rsidRPr="0043215C">
        <w:rPr>
          <w:rFonts w:cstheme="minorHAnsi"/>
          <w:sz w:val="20"/>
          <w:szCs w:val="20"/>
        </w:rPr>
        <w:t xml:space="preserve"> </w:t>
      </w:r>
      <w:r w:rsidR="00F53E26" w:rsidRPr="0043215C">
        <w:rPr>
          <w:rFonts w:cstheme="minorHAnsi"/>
          <w:sz w:val="20"/>
          <w:szCs w:val="20"/>
        </w:rPr>
        <w:t xml:space="preserve">which are </w:t>
      </w:r>
      <w:r w:rsidR="00D071FF" w:rsidRPr="0043215C">
        <w:rPr>
          <w:rFonts w:cstheme="minorHAnsi"/>
          <w:sz w:val="20"/>
          <w:szCs w:val="20"/>
        </w:rPr>
        <w:t xml:space="preserve">not necessarily attributable to </w:t>
      </w:r>
      <w:r w:rsidR="006F6227" w:rsidRPr="0043215C">
        <w:rPr>
          <w:rFonts w:cstheme="minorHAnsi"/>
          <w:sz w:val="20"/>
          <w:szCs w:val="20"/>
        </w:rPr>
        <w:t>the investment plan alone.</w:t>
      </w:r>
      <w:r w:rsidR="000372F4" w:rsidRPr="0043215C">
        <w:rPr>
          <w:rFonts w:cstheme="minorHAnsi"/>
          <w:sz w:val="20"/>
          <w:szCs w:val="20"/>
        </w:rPr>
        <w:t xml:space="preserve"> </w:t>
      </w:r>
      <w:r w:rsidR="00FE0AEF" w:rsidRPr="0043215C">
        <w:rPr>
          <w:rFonts w:cstheme="minorHAnsi"/>
          <w:sz w:val="20"/>
          <w:szCs w:val="20"/>
        </w:rPr>
        <w:t xml:space="preserve">This </w:t>
      </w:r>
      <w:r w:rsidR="005F2720" w:rsidRPr="0043215C">
        <w:rPr>
          <w:rFonts w:cstheme="minorHAnsi"/>
          <w:sz w:val="20"/>
          <w:szCs w:val="20"/>
        </w:rPr>
        <w:t>IP</w:t>
      </w:r>
      <w:r w:rsidR="00FE0AEF" w:rsidRPr="0043215C">
        <w:rPr>
          <w:rFonts w:cstheme="minorHAnsi"/>
          <w:sz w:val="20"/>
          <w:szCs w:val="20"/>
        </w:rPr>
        <w:t xml:space="preserve"> </w:t>
      </w:r>
      <w:r w:rsidR="006C572C" w:rsidRPr="0043215C">
        <w:rPr>
          <w:rFonts w:cstheme="minorHAnsi"/>
          <w:sz w:val="20"/>
          <w:szCs w:val="20"/>
        </w:rPr>
        <w:t xml:space="preserve">proposes </w:t>
      </w:r>
      <w:r w:rsidR="005F2720" w:rsidRPr="0043215C">
        <w:rPr>
          <w:rFonts w:cstheme="minorHAnsi"/>
          <w:sz w:val="20"/>
          <w:szCs w:val="20"/>
        </w:rPr>
        <w:t>CTF</w:t>
      </w:r>
      <w:r w:rsidR="00226AA5" w:rsidRPr="0043215C">
        <w:rPr>
          <w:rFonts w:cstheme="minorHAnsi"/>
          <w:sz w:val="20"/>
          <w:szCs w:val="20"/>
        </w:rPr>
        <w:t xml:space="preserve"> Country Impact</w:t>
      </w:r>
      <w:r w:rsidR="00D674DC" w:rsidRPr="0043215C">
        <w:rPr>
          <w:rFonts w:cstheme="minorHAnsi"/>
          <w:sz w:val="20"/>
          <w:szCs w:val="20"/>
        </w:rPr>
        <w:t xml:space="preserve"> </w:t>
      </w:r>
      <w:r w:rsidR="00226AA5" w:rsidRPr="0043215C">
        <w:rPr>
          <w:rFonts w:cstheme="minorHAnsi"/>
          <w:sz w:val="20"/>
          <w:szCs w:val="20"/>
        </w:rPr>
        <w:t>I</w:t>
      </w:r>
      <w:r w:rsidR="00FE0AEF" w:rsidRPr="0043215C">
        <w:rPr>
          <w:rFonts w:cstheme="minorHAnsi"/>
          <w:sz w:val="20"/>
          <w:szCs w:val="20"/>
        </w:rPr>
        <w:t>ndicators</w:t>
      </w:r>
      <w:r w:rsidR="00382B02" w:rsidRPr="0043215C">
        <w:rPr>
          <w:rFonts w:cstheme="minorHAnsi"/>
          <w:sz w:val="20"/>
          <w:szCs w:val="20"/>
        </w:rPr>
        <w:t xml:space="preserve"> per</w:t>
      </w:r>
      <w:r w:rsidR="00195E11" w:rsidRPr="0043215C">
        <w:rPr>
          <w:rFonts w:cstheme="minorHAnsi"/>
          <w:sz w:val="20"/>
          <w:szCs w:val="20"/>
        </w:rPr>
        <w:t xml:space="preserve"> </w:t>
      </w:r>
      <w:r w:rsidR="003C446C" w:rsidRPr="0043215C">
        <w:rPr>
          <w:rFonts w:cstheme="minorHAnsi"/>
          <w:sz w:val="20"/>
          <w:szCs w:val="20"/>
        </w:rPr>
        <w:fldChar w:fldCharType="begin"/>
      </w:r>
      <w:r w:rsidR="003C446C" w:rsidRPr="0043215C">
        <w:rPr>
          <w:rFonts w:cstheme="minorHAnsi"/>
          <w:sz w:val="20"/>
          <w:szCs w:val="20"/>
        </w:rPr>
        <w:instrText xml:space="preserve"> REF _Ref162974699 </w:instrText>
      </w:r>
      <w:r w:rsidR="002713EE" w:rsidRPr="0043215C">
        <w:rPr>
          <w:rFonts w:cstheme="minorHAnsi"/>
          <w:sz w:val="20"/>
          <w:szCs w:val="20"/>
        </w:rPr>
        <w:instrText xml:space="preserve"> \* MERGEFORMAT </w:instrText>
      </w:r>
      <w:r w:rsidR="003C446C" w:rsidRPr="0043215C">
        <w:rPr>
          <w:rFonts w:cstheme="minorHAnsi"/>
          <w:sz w:val="20"/>
          <w:szCs w:val="20"/>
        </w:rPr>
        <w:fldChar w:fldCharType="separate"/>
      </w:r>
      <w:r w:rsidR="004706E1" w:rsidRPr="0043215C">
        <w:rPr>
          <w:rFonts w:cstheme="minorHAnsi"/>
          <w:sz w:val="20"/>
          <w:szCs w:val="20"/>
        </w:rPr>
        <w:t>p</w:t>
      </w:r>
      <w:r w:rsidR="00AA1BCB" w:rsidRPr="0043215C">
        <w:rPr>
          <w:rFonts w:cstheme="minorHAnsi"/>
          <w:sz w:val="20"/>
          <w:szCs w:val="20"/>
        </w:rPr>
        <w:t xml:space="preserve">roposed approaches for tracking and evaluating transformational change and inclusivity aspects. </w:t>
      </w:r>
    </w:p>
    <w:p w14:paraId="31E596F3" w14:textId="190F0282" w:rsidR="003F4158" w:rsidRPr="0043215C" w:rsidRDefault="003C446C" w:rsidP="00D254C6">
      <w:pPr>
        <w:pStyle w:val="BodyText"/>
        <w:jc w:val="both"/>
        <w:rPr>
          <w:rFonts w:asciiTheme="minorHAnsi" w:hAnsiTheme="minorHAnsi" w:cstheme="minorHAnsi"/>
          <w:sz w:val="20"/>
          <w:szCs w:val="20"/>
        </w:rPr>
      </w:pPr>
      <w:r w:rsidRPr="0043215C">
        <w:rPr>
          <w:rFonts w:asciiTheme="minorHAnsi" w:hAnsiTheme="minorHAnsi" w:cstheme="minorHAnsi"/>
          <w:sz w:val="20"/>
          <w:szCs w:val="20"/>
        </w:rPr>
        <w:fldChar w:fldCharType="end"/>
      </w:r>
      <w:bookmarkStart w:id="149" w:name="_Ref162974699"/>
      <w:r w:rsidR="004706E1" w:rsidRPr="0043215C">
        <w:rPr>
          <w:rFonts w:asciiTheme="minorHAnsi" w:hAnsiTheme="minorHAnsi" w:cstheme="minorHAnsi"/>
          <w:sz w:val="20"/>
          <w:szCs w:val="20"/>
        </w:rPr>
        <w:t xml:space="preserve"> </w:t>
      </w:r>
    </w:p>
    <w:p w14:paraId="213D2E51" w14:textId="7EC3A032" w:rsidR="00945D18" w:rsidRPr="0043215C" w:rsidRDefault="00945D18" w:rsidP="00D254C6">
      <w:pPr>
        <w:pStyle w:val="BodyText"/>
        <w:jc w:val="both"/>
        <w:rPr>
          <w:rFonts w:asciiTheme="minorHAnsi" w:hAnsiTheme="minorHAnsi" w:cstheme="minorHAnsi"/>
          <w:sz w:val="20"/>
          <w:szCs w:val="20"/>
        </w:rPr>
      </w:pPr>
      <w:r w:rsidRPr="0043215C">
        <w:rPr>
          <w:rFonts w:asciiTheme="minorHAnsi" w:hAnsiTheme="minorHAnsi" w:cstheme="minorHAnsi"/>
          <w:b/>
          <w:sz w:val="20"/>
          <w:szCs w:val="20"/>
        </w:rPr>
        <w:t>Table 2:</w:t>
      </w:r>
      <w:r w:rsidRPr="0043215C">
        <w:rPr>
          <w:rFonts w:asciiTheme="minorHAnsi" w:hAnsiTheme="minorHAnsi" w:cstheme="minorHAnsi"/>
          <w:sz w:val="20"/>
          <w:szCs w:val="20"/>
        </w:rPr>
        <w:t xml:space="preserve"> REI Program Impact Indicators for Türkiye REI Investment Plan</w:t>
      </w:r>
    </w:p>
    <w:p w14:paraId="43268D34" w14:textId="77777777" w:rsidR="00945D18" w:rsidRPr="0043215C" w:rsidRDefault="00945D18" w:rsidP="00945D18">
      <w:pPr>
        <w:rPr>
          <w:rFonts w:cstheme="minorHAnsi"/>
          <w:sz w:val="20"/>
          <w:szCs w:val="20"/>
        </w:rPr>
      </w:pPr>
    </w:p>
    <w:tbl>
      <w:tblPr>
        <w:tblStyle w:val="TableGrid"/>
        <w:tblW w:w="958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785"/>
        <w:gridCol w:w="2700"/>
        <w:gridCol w:w="2250"/>
        <w:gridCol w:w="1851"/>
      </w:tblGrid>
      <w:tr w:rsidR="00945D18" w:rsidRPr="0043215C" w14:paraId="6521167C" w14:textId="77777777" w:rsidTr="00651F36">
        <w:trPr>
          <w:cantSplit/>
          <w:tblHeader/>
        </w:trPr>
        <w:tc>
          <w:tcPr>
            <w:tcW w:w="2785" w:type="dxa"/>
            <w:shd w:val="clear" w:color="auto" w:fill="FFF2CC" w:themeFill="accent4" w:themeFillTint="33"/>
          </w:tcPr>
          <w:p w14:paraId="3903CB13" w14:textId="77777777" w:rsidR="00945D18" w:rsidRPr="0043215C" w:rsidRDefault="00945D18" w:rsidP="00651F36">
            <w:pPr>
              <w:pStyle w:val="BodyText"/>
              <w:jc w:val="both"/>
              <w:rPr>
                <w:rFonts w:asciiTheme="minorHAnsi" w:hAnsiTheme="minorHAnsi" w:cstheme="minorHAnsi"/>
                <w:b/>
                <w:bCs/>
                <w:sz w:val="20"/>
                <w:szCs w:val="20"/>
              </w:rPr>
            </w:pPr>
            <w:r w:rsidRPr="0043215C">
              <w:rPr>
                <w:rFonts w:asciiTheme="minorHAnsi" w:hAnsiTheme="minorHAnsi" w:cstheme="minorHAnsi"/>
                <w:b/>
                <w:bCs/>
                <w:sz w:val="20"/>
                <w:szCs w:val="20"/>
              </w:rPr>
              <w:t>Program Impact Indicator</w:t>
            </w:r>
          </w:p>
        </w:tc>
        <w:tc>
          <w:tcPr>
            <w:tcW w:w="2700" w:type="dxa"/>
            <w:shd w:val="clear" w:color="auto" w:fill="FFF2CC" w:themeFill="accent4" w:themeFillTint="33"/>
          </w:tcPr>
          <w:p w14:paraId="619260CE" w14:textId="77777777" w:rsidR="00945D18" w:rsidRPr="0043215C" w:rsidRDefault="00945D18" w:rsidP="00651F36">
            <w:pPr>
              <w:pStyle w:val="BodyText"/>
              <w:jc w:val="both"/>
              <w:rPr>
                <w:rFonts w:asciiTheme="minorHAnsi" w:hAnsiTheme="minorHAnsi" w:cstheme="minorHAnsi"/>
                <w:b/>
                <w:bCs/>
                <w:sz w:val="20"/>
                <w:szCs w:val="20"/>
              </w:rPr>
            </w:pPr>
            <w:r w:rsidRPr="0043215C">
              <w:rPr>
                <w:rFonts w:asciiTheme="minorHAnsi" w:hAnsiTheme="minorHAnsi" w:cstheme="minorHAnsi"/>
                <w:b/>
                <w:bCs/>
                <w:sz w:val="20"/>
                <w:szCs w:val="20"/>
              </w:rPr>
              <w:t>Baseline value</w:t>
            </w:r>
          </w:p>
        </w:tc>
        <w:tc>
          <w:tcPr>
            <w:tcW w:w="2250" w:type="dxa"/>
            <w:shd w:val="clear" w:color="auto" w:fill="FFF2CC" w:themeFill="accent4" w:themeFillTint="33"/>
          </w:tcPr>
          <w:p w14:paraId="4798B4EC" w14:textId="77777777" w:rsidR="00945D18" w:rsidRPr="0043215C" w:rsidRDefault="00945D18" w:rsidP="00651F36">
            <w:pPr>
              <w:pStyle w:val="BodyText"/>
              <w:jc w:val="both"/>
              <w:rPr>
                <w:rFonts w:asciiTheme="minorHAnsi" w:hAnsiTheme="minorHAnsi" w:cstheme="minorHAnsi"/>
                <w:b/>
                <w:bCs/>
                <w:sz w:val="20"/>
                <w:szCs w:val="20"/>
              </w:rPr>
            </w:pPr>
            <w:r w:rsidRPr="0043215C">
              <w:rPr>
                <w:rFonts w:asciiTheme="minorHAnsi" w:hAnsiTheme="minorHAnsi" w:cstheme="minorHAnsi"/>
                <w:b/>
                <w:bCs/>
                <w:sz w:val="20"/>
                <w:szCs w:val="20"/>
              </w:rPr>
              <w:t>Target value (2030)</w:t>
            </w:r>
          </w:p>
        </w:tc>
        <w:tc>
          <w:tcPr>
            <w:tcW w:w="1851" w:type="dxa"/>
            <w:shd w:val="clear" w:color="auto" w:fill="FFF2CC" w:themeFill="accent4" w:themeFillTint="33"/>
          </w:tcPr>
          <w:p w14:paraId="4861A5C3" w14:textId="77777777" w:rsidR="00945D18" w:rsidRPr="0043215C" w:rsidRDefault="00945D18" w:rsidP="00651F36">
            <w:pPr>
              <w:pStyle w:val="BodyText"/>
              <w:jc w:val="both"/>
              <w:rPr>
                <w:rFonts w:asciiTheme="minorHAnsi" w:hAnsiTheme="minorHAnsi" w:cstheme="minorHAnsi"/>
                <w:b/>
                <w:bCs/>
                <w:sz w:val="20"/>
                <w:szCs w:val="20"/>
              </w:rPr>
            </w:pPr>
            <w:r w:rsidRPr="0043215C">
              <w:rPr>
                <w:rFonts w:asciiTheme="minorHAnsi" w:hAnsiTheme="minorHAnsi" w:cstheme="minorHAnsi"/>
                <w:b/>
                <w:bCs/>
                <w:sz w:val="20"/>
                <w:szCs w:val="20"/>
              </w:rPr>
              <w:t>Source</w:t>
            </w:r>
          </w:p>
        </w:tc>
      </w:tr>
      <w:tr w:rsidR="00945D18" w:rsidRPr="0043215C" w14:paraId="6627BE9B" w14:textId="77777777" w:rsidTr="00651F36">
        <w:trPr>
          <w:cantSplit/>
        </w:trPr>
        <w:tc>
          <w:tcPr>
            <w:tcW w:w="2785" w:type="dxa"/>
          </w:tcPr>
          <w:p w14:paraId="41687B6C"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Increase renewable energy installed capacity</w:t>
            </w:r>
          </w:p>
        </w:tc>
        <w:tc>
          <w:tcPr>
            <w:tcW w:w="2700" w:type="dxa"/>
          </w:tcPr>
          <w:p w14:paraId="6053B90C"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11,292 MW solar;</w:t>
            </w:r>
            <w:r w:rsidRPr="0043215C">
              <w:rPr>
                <w:rFonts w:asciiTheme="minorHAnsi" w:hAnsiTheme="minorHAnsi" w:cstheme="minorHAnsi"/>
                <w:sz w:val="20"/>
                <w:szCs w:val="20"/>
              </w:rPr>
              <w:br/>
              <w:t>11,697 MW wind (2023)</w:t>
            </w:r>
          </w:p>
        </w:tc>
        <w:tc>
          <w:tcPr>
            <w:tcW w:w="2250" w:type="dxa"/>
          </w:tcPr>
          <w:p w14:paraId="06EEE0E6"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32,900 MW solar; 18,100 MW wind</w:t>
            </w:r>
          </w:p>
        </w:tc>
        <w:tc>
          <w:tcPr>
            <w:tcW w:w="1851" w:type="dxa"/>
          </w:tcPr>
          <w:p w14:paraId="15367B60" w14:textId="77777777" w:rsidR="00945D18" w:rsidRPr="0043215C" w:rsidRDefault="00945D18" w:rsidP="00651F36">
            <w:pPr>
              <w:pStyle w:val="BodyText"/>
              <w:rPr>
                <w:rFonts w:asciiTheme="minorHAnsi" w:hAnsiTheme="minorHAnsi" w:cstheme="minorHAnsi"/>
                <w:sz w:val="20"/>
                <w:szCs w:val="20"/>
              </w:rPr>
            </w:pPr>
            <w:r w:rsidRPr="1E9D41E1">
              <w:rPr>
                <w:rFonts w:asciiTheme="minorHAnsi" w:hAnsiTheme="minorHAnsi" w:cstheme="minorBidi"/>
                <w:sz w:val="20"/>
                <w:szCs w:val="20"/>
              </w:rPr>
              <w:t>Republic of Türkiye 2024</w:t>
            </w:r>
            <w:r w:rsidRPr="1E9D41E1">
              <w:rPr>
                <w:rStyle w:val="FootnoteReference"/>
                <w:rFonts w:asciiTheme="minorHAnsi" w:hAnsiTheme="minorHAnsi" w:cstheme="minorBidi"/>
                <w:b/>
                <w:sz w:val="20"/>
                <w:szCs w:val="20"/>
              </w:rPr>
              <w:footnoteReference w:id="33"/>
            </w:r>
          </w:p>
        </w:tc>
      </w:tr>
      <w:tr w:rsidR="00945D18" w:rsidRPr="0043215C" w14:paraId="2E543BBF" w14:textId="77777777" w:rsidTr="00651F36">
        <w:trPr>
          <w:cantSplit/>
        </w:trPr>
        <w:tc>
          <w:tcPr>
            <w:tcW w:w="2785" w:type="dxa"/>
          </w:tcPr>
          <w:p w14:paraId="1DC82B02"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Increased battery capacity</w:t>
            </w:r>
          </w:p>
        </w:tc>
        <w:tc>
          <w:tcPr>
            <w:tcW w:w="2700" w:type="dxa"/>
          </w:tcPr>
          <w:p w14:paraId="2326B861" w14:textId="77777777" w:rsidR="00945D18" w:rsidRPr="0043215C" w:rsidRDefault="00945D18" w:rsidP="00651F36">
            <w:pPr>
              <w:pStyle w:val="BodyText"/>
              <w:rPr>
                <w:rFonts w:asciiTheme="minorHAnsi" w:hAnsiTheme="minorHAnsi" w:cstheme="minorHAnsi"/>
                <w:sz w:val="20"/>
                <w:szCs w:val="20"/>
                <w:highlight w:val="yellow"/>
              </w:rPr>
            </w:pPr>
            <w:r w:rsidRPr="0043215C">
              <w:rPr>
                <w:rFonts w:asciiTheme="minorHAnsi" w:hAnsiTheme="minorHAnsi" w:cstheme="minorHAnsi"/>
                <w:sz w:val="20"/>
                <w:szCs w:val="20"/>
              </w:rPr>
              <w:t xml:space="preserve">0 MW (2023) </w:t>
            </w:r>
          </w:p>
        </w:tc>
        <w:tc>
          <w:tcPr>
            <w:tcW w:w="2250" w:type="dxa"/>
          </w:tcPr>
          <w:p w14:paraId="1F7C341C" w14:textId="77777777" w:rsidR="00945D18" w:rsidRPr="0043215C" w:rsidRDefault="00945D18" w:rsidP="00651F36">
            <w:pPr>
              <w:pStyle w:val="BodyText"/>
              <w:rPr>
                <w:rFonts w:asciiTheme="minorHAnsi" w:hAnsiTheme="minorHAnsi" w:cstheme="minorHAnsi"/>
                <w:sz w:val="20"/>
                <w:szCs w:val="20"/>
              </w:rPr>
            </w:pPr>
            <w:r w:rsidRPr="1E9D41E1">
              <w:rPr>
                <w:rFonts w:asciiTheme="minorHAnsi" w:hAnsiTheme="minorHAnsi" w:cstheme="minorBidi"/>
                <w:sz w:val="20"/>
                <w:szCs w:val="20"/>
              </w:rPr>
              <w:t xml:space="preserve">2,100 MW </w:t>
            </w:r>
            <w:r w:rsidRPr="1E9D41E1">
              <w:rPr>
                <w:rStyle w:val="FootnoteReference"/>
                <w:rFonts w:asciiTheme="minorHAnsi" w:hAnsiTheme="minorHAnsi" w:cstheme="minorBidi"/>
                <w:sz w:val="20"/>
                <w:szCs w:val="20"/>
              </w:rPr>
              <w:footnoteReference w:id="34"/>
            </w:r>
            <w:r w:rsidRPr="1E9D41E1">
              <w:rPr>
                <w:rFonts w:asciiTheme="minorHAnsi" w:hAnsiTheme="minorHAnsi" w:cstheme="minorBidi"/>
                <w:sz w:val="20"/>
                <w:szCs w:val="20"/>
              </w:rPr>
              <w:t xml:space="preserve"> </w:t>
            </w:r>
          </w:p>
        </w:tc>
        <w:tc>
          <w:tcPr>
            <w:tcW w:w="1851" w:type="dxa"/>
          </w:tcPr>
          <w:p w14:paraId="7AE7EBF6"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As above.</w:t>
            </w:r>
          </w:p>
        </w:tc>
      </w:tr>
      <w:tr w:rsidR="00945D18" w:rsidRPr="0043215C" w14:paraId="1B3733FB" w14:textId="77777777" w:rsidTr="00651F36">
        <w:trPr>
          <w:cantSplit/>
        </w:trPr>
        <w:tc>
          <w:tcPr>
            <w:tcW w:w="2785" w:type="dxa"/>
          </w:tcPr>
          <w:p w14:paraId="7084E021"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 xml:space="preserve">Reduce carbon intensity of electricity </w:t>
            </w:r>
          </w:p>
        </w:tc>
        <w:tc>
          <w:tcPr>
            <w:tcW w:w="2700" w:type="dxa"/>
          </w:tcPr>
          <w:p w14:paraId="349758B6"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0.437 kg CO</w:t>
            </w:r>
            <w:r w:rsidRPr="0043215C">
              <w:rPr>
                <w:rFonts w:asciiTheme="minorHAnsi" w:hAnsiTheme="minorHAnsi" w:cstheme="minorHAnsi"/>
                <w:sz w:val="20"/>
                <w:szCs w:val="20"/>
                <w:vertAlign w:val="subscript"/>
              </w:rPr>
              <w:t>2</w:t>
            </w:r>
            <w:r w:rsidRPr="0043215C">
              <w:rPr>
                <w:rFonts w:asciiTheme="minorHAnsi" w:hAnsiTheme="minorHAnsi" w:cstheme="minorHAnsi"/>
                <w:sz w:val="20"/>
                <w:szCs w:val="20"/>
              </w:rPr>
              <w:t>/kWh (2020)</w:t>
            </w:r>
          </w:p>
        </w:tc>
        <w:tc>
          <w:tcPr>
            <w:tcW w:w="2250" w:type="dxa"/>
          </w:tcPr>
          <w:p w14:paraId="2D33085F" w14:textId="77777777" w:rsidR="00945D18" w:rsidRPr="0043215C" w:rsidRDefault="00945D18" w:rsidP="00651F36">
            <w:pPr>
              <w:pStyle w:val="BodyText"/>
              <w:rPr>
                <w:rFonts w:asciiTheme="minorHAnsi" w:hAnsiTheme="minorHAnsi" w:cstheme="minorHAnsi"/>
                <w:sz w:val="20"/>
                <w:szCs w:val="20"/>
              </w:rPr>
            </w:pPr>
            <w:r w:rsidRPr="1E9D41E1">
              <w:rPr>
                <w:rFonts w:asciiTheme="minorHAnsi" w:hAnsiTheme="minorHAnsi" w:cstheme="minorBidi"/>
                <w:sz w:val="20"/>
                <w:szCs w:val="20"/>
              </w:rPr>
              <w:t>0.352 kg CO</w:t>
            </w:r>
            <w:r w:rsidRPr="1E9D41E1">
              <w:rPr>
                <w:rFonts w:asciiTheme="minorHAnsi" w:hAnsiTheme="minorHAnsi" w:cstheme="minorBidi"/>
                <w:sz w:val="20"/>
                <w:szCs w:val="20"/>
                <w:vertAlign w:val="subscript"/>
              </w:rPr>
              <w:t>2</w:t>
            </w:r>
            <w:r w:rsidRPr="1E9D41E1">
              <w:rPr>
                <w:rFonts w:asciiTheme="minorHAnsi" w:hAnsiTheme="minorHAnsi" w:cstheme="minorBidi"/>
                <w:sz w:val="20"/>
                <w:szCs w:val="20"/>
              </w:rPr>
              <w:t>/kWh (20 percent reduction from 2024 level)</w:t>
            </w:r>
            <w:r w:rsidRPr="1E9D41E1">
              <w:rPr>
                <w:rStyle w:val="FootnoteReference"/>
                <w:rFonts w:asciiTheme="minorHAnsi" w:hAnsiTheme="minorHAnsi" w:cstheme="minorBidi"/>
                <w:sz w:val="20"/>
                <w:szCs w:val="20"/>
              </w:rPr>
              <w:footnoteReference w:id="35"/>
            </w:r>
          </w:p>
        </w:tc>
        <w:tc>
          <w:tcPr>
            <w:tcW w:w="1851" w:type="dxa"/>
          </w:tcPr>
          <w:p w14:paraId="19D4FE94"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As above.</w:t>
            </w:r>
          </w:p>
        </w:tc>
      </w:tr>
    </w:tbl>
    <w:p w14:paraId="2FDE65B9" w14:textId="38DB5E82" w:rsidR="00CA0053" w:rsidRPr="00CA0053" w:rsidRDefault="00945D18" w:rsidP="722B49A1">
      <w:pPr>
        <w:pStyle w:val="Heading2"/>
        <w:rPr>
          <w:sz w:val="20"/>
          <w:szCs w:val="20"/>
        </w:rPr>
      </w:pPr>
      <w:bookmarkStart w:id="150" w:name="_Toc170319847"/>
      <w:r w:rsidRPr="722B49A1">
        <w:rPr>
          <w:sz w:val="20"/>
          <w:szCs w:val="20"/>
        </w:rPr>
        <w:t>Program Outcome Results</w:t>
      </w:r>
      <w:bookmarkEnd w:id="150"/>
    </w:p>
    <w:p w14:paraId="241F73F8" w14:textId="77777777" w:rsidR="00945D18" w:rsidRPr="0043215C" w:rsidRDefault="00945D18" w:rsidP="00945D18">
      <w:pPr>
        <w:pStyle w:val="BodyText"/>
        <w:jc w:val="both"/>
        <w:rPr>
          <w:rFonts w:asciiTheme="minorHAnsi" w:hAnsiTheme="minorHAnsi" w:cstheme="minorHAnsi"/>
          <w:sz w:val="20"/>
          <w:szCs w:val="20"/>
        </w:rPr>
      </w:pPr>
      <w:r w:rsidRPr="0043215C">
        <w:rPr>
          <w:rFonts w:asciiTheme="minorHAnsi" w:hAnsiTheme="minorHAnsi" w:cstheme="minorHAnsi"/>
          <w:sz w:val="20"/>
          <w:szCs w:val="20"/>
        </w:rPr>
        <w:t xml:space="preserve">Program outcome results cover four categories of indicators: </w:t>
      </w:r>
    </w:p>
    <w:p w14:paraId="65B0B248" w14:textId="77777777" w:rsidR="00945D18" w:rsidRPr="0043215C" w:rsidRDefault="00945D18" w:rsidP="00996556">
      <w:pPr>
        <w:pStyle w:val="BodyText"/>
        <w:numPr>
          <w:ilvl w:val="0"/>
          <w:numId w:val="12"/>
        </w:numPr>
        <w:jc w:val="both"/>
        <w:rPr>
          <w:rFonts w:asciiTheme="minorHAnsi" w:hAnsiTheme="minorHAnsi" w:cstheme="minorHAnsi"/>
          <w:sz w:val="20"/>
          <w:szCs w:val="20"/>
        </w:rPr>
      </w:pPr>
      <w:r w:rsidRPr="1E9D41E1">
        <w:rPr>
          <w:rFonts w:asciiTheme="minorHAnsi" w:hAnsiTheme="minorHAnsi" w:cstheme="minorBidi"/>
          <w:sz w:val="20"/>
          <w:szCs w:val="20"/>
        </w:rPr>
        <w:t>REI Core Indicators, all nine of which must be reported for every project where relevant</w:t>
      </w:r>
      <w:r w:rsidRPr="1E9D41E1">
        <w:rPr>
          <w:rStyle w:val="FootnoteReference"/>
          <w:rFonts w:asciiTheme="minorHAnsi" w:hAnsiTheme="minorHAnsi" w:cstheme="minorBidi"/>
          <w:sz w:val="20"/>
          <w:szCs w:val="20"/>
        </w:rPr>
        <w:footnoteReference w:id="36"/>
      </w:r>
      <w:r w:rsidRPr="1E9D41E1">
        <w:rPr>
          <w:rFonts w:asciiTheme="minorHAnsi" w:hAnsiTheme="minorHAnsi" w:cstheme="minorBidi"/>
          <w:sz w:val="20"/>
          <w:szCs w:val="20"/>
        </w:rPr>
        <w:t xml:space="preserve">; </w:t>
      </w:r>
    </w:p>
    <w:p w14:paraId="46B44F0B" w14:textId="77777777" w:rsidR="00945D18" w:rsidRPr="0043215C" w:rsidRDefault="00945D18" w:rsidP="00996556">
      <w:pPr>
        <w:pStyle w:val="BodyText"/>
        <w:numPr>
          <w:ilvl w:val="0"/>
          <w:numId w:val="12"/>
        </w:numPr>
        <w:jc w:val="both"/>
        <w:rPr>
          <w:rFonts w:asciiTheme="minorHAnsi" w:hAnsiTheme="minorHAnsi" w:cstheme="minorHAnsi"/>
          <w:sz w:val="20"/>
          <w:szCs w:val="20"/>
        </w:rPr>
      </w:pPr>
      <w:r w:rsidRPr="0043215C">
        <w:rPr>
          <w:rFonts w:asciiTheme="minorHAnsi" w:hAnsiTheme="minorHAnsi" w:cstheme="minorHAnsi"/>
          <w:sz w:val="20"/>
          <w:szCs w:val="20"/>
        </w:rPr>
        <w:t xml:space="preserve">REI Co-Benefit Indicators, at least one of which must be reported for each </w:t>
      </w:r>
      <w:proofErr w:type="gramStart"/>
      <w:r w:rsidRPr="0043215C">
        <w:rPr>
          <w:rFonts w:asciiTheme="minorHAnsi" w:hAnsiTheme="minorHAnsi" w:cstheme="minorHAnsi"/>
          <w:sz w:val="20"/>
          <w:szCs w:val="20"/>
        </w:rPr>
        <w:t>project;</w:t>
      </w:r>
      <w:proofErr w:type="gramEnd"/>
      <w:r w:rsidRPr="0043215C">
        <w:rPr>
          <w:rFonts w:asciiTheme="minorHAnsi" w:hAnsiTheme="minorHAnsi" w:cstheme="minorHAnsi"/>
          <w:sz w:val="20"/>
          <w:szCs w:val="20"/>
        </w:rPr>
        <w:t xml:space="preserve"> </w:t>
      </w:r>
    </w:p>
    <w:p w14:paraId="0E493F80" w14:textId="77777777" w:rsidR="00945D18" w:rsidRPr="0043215C" w:rsidRDefault="00945D18" w:rsidP="00996556">
      <w:pPr>
        <w:pStyle w:val="BodyText"/>
        <w:numPr>
          <w:ilvl w:val="0"/>
          <w:numId w:val="12"/>
        </w:numPr>
        <w:jc w:val="both"/>
        <w:rPr>
          <w:rFonts w:asciiTheme="minorHAnsi" w:hAnsiTheme="minorHAnsi" w:cstheme="minorHAnsi"/>
          <w:sz w:val="20"/>
          <w:szCs w:val="20"/>
        </w:rPr>
      </w:pPr>
      <w:r w:rsidRPr="0043215C">
        <w:rPr>
          <w:rFonts w:asciiTheme="minorHAnsi" w:hAnsiTheme="minorHAnsi" w:cstheme="minorHAnsi"/>
          <w:sz w:val="20"/>
          <w:szCs w:val="20"/>
        </w:rPr>
        <w:t xml:space="preserve">Energy Storage indicators, which must be reported if the REI project being appraised contains an energy storage component; and </w:t>
      </w:r>
    </w:p>
    <w:p w14:paraId="2B15D78F" w14:textId="77777777" w:rsidR="00945D18" w:rsidRPr="0043215C" w:rsidRDefault="00945D18" w:rsidP="00996556">
      <w:pPr>
        <w:pStyle w:val="BodyText"/>
        <w:numPr>
          <w:ilvl w:val="0"/>
          <w:numId w:val="12"/>
        </w:numPr>
        <w:jc w:val="both"/>
        <w:rPr>
          <w:rFonts w:asciiTheme="minorHAnsi" w:hAnsiTheme="minorHAnsi" w:cstheme="minorHAnsi"/>
          <w:sz w:val="20"/>
          <w:szCs w:val="20"/>
        </w:rPr>
      </w:pPr>
      <w:r w:rsidRPr="0043215C">
        <w:rPr>
          <w:rFonts w:asciiTheme="minorHAnsi" w:hAnsiTheme="minorHAnsi" w:cstheme="minorHAnsi"/>
          <w:sz w:val="20"/>
          <w:szCs w:val="20"/>
        </w:rPr>
        <w:t xml:space="preserve">Optional outcome indicators. </w:t>
      </w:r>
    </w:p>
    <w:p w14:paraId="7FFB5C6A" w14:textId="77777777" w:rsidR="00945D18" w:rsidRPr="0043215C" w:rsidRDefault="00945D18" w:rsidP="00945D18">
      <w:pPr>
        <w:pStyle w:val="BodyText"/>
        <w:jc w:val="both"/>
        <w:rPr>
          <w:rFonts w:asciiTheme="minorHAnsi" w:hAnsiTheme="minorHAnsi" w:cstheme="minorHAnsi"/>
          <w:sz w:val="20"/>
          <w:szCs w:val="20"/>
        </w:rPr>
      </w:pPr>
    </w:p>
    <w:p w14:paraId="70EB47E3" w14:textId="5F6ED693" w:rsidR="0067725C" w:rsidRDefault="00945D18" w:rsidP="55CFFEF0">
      <w:pPr>
        <w:pStyle w:val="BodyText"/>
        <w:jc w:val="both"/>
        <w:rPr>
          <w:rFonts w:asciiTheme="minorHAnsi" w:hAnsiTheme="minorHAnsi" w:cstheme="minorBidi"/>
          <w:sz w:val="20"/>
          <w:szCs w:val="20"/>
        </w:rPr>
      </w:pPr>
      <w:r w:rsidRPr="2424CA46">
        <w:rPr>
          <w:rFonts w:asciiTheme="minorHAnsi" w:hAnsiTheme="minorHAnsi" w:cstheme="minorBidi"/>
          <w:sz w:val="20"/>
          <w:szCs w:val="20"/>
        </w:rPr>
        <w:t>This IP proposes Program Outcome Indicators for the four components below. REI Core Indictors 1 (mitigation) and 6 (co-finance) correspond to CIF Impact Indicators 1 and 4 respectively. REI 2 (MW capacity) covers wind and solar power only, while REI 3 (GWh production) covers all renewable energy sources. REI 2 (MW capacity) will be taken as proxy for the World Bank Core Indicator ‘Renewable Energy Generation Capacity Enabled (MW)’, noting that the former includes wind and solar power only, while the latter covers all renewables. Additional outcome indicators, as shown below, draw on the REI Optional Indicators (numbered 1 through 7 at outcome level) from the REI M&amp;R System toolkit.</w:t>
      </w:r>
    </w:p>
    <w:p w14:paraId="75FA4A0E" w14:textId="77777777" w:rsidR="00D96511" w:rsidRDefault="00D96511" w:rsidP="55CFFEF0">
      <w:pPr>
        <w:pStyle w:val="BodyText"/>
        <w:jc w:val="both"/>
        <w:rPr>
          <w:rFonts w:asciiTheme="minorHAnsi" w:hAnsiTheme="minorHAnsi" w:cstheme="minorBidi"/>
          <w:sz w:val="20"/>
          <w:szCs w:val="20"/>
        </w:rPr>
      </w:pPr>
    </w:p>
    <w:p w14:paraId="496B05EE" w14:textId="77777777" w:rsidR="00D96511" w:rsidRDefault="00D96511" w:rsidP="55CFFEF0">
      <w:pPr>
        <w:pStyle w:val="BodyText"/>
        <w:jc w:val="both"/>
        <w:rPr>
          <w:rFonts w:asciiTheme="minorHAnsi" w:hAnsiTheme="minorHAnsi" w:cstheme="minorBidi"/>
          <w:sz w:val="20"/>
          <w:szCs w:val="20"/>
        </w:rPr>
      </w:pPr>
    </w:p>
    <w:p w14:paraId="0FE33559" w14:textId="77777777" w:rsidR="00D96511" w:rsidRDefault="00D96511" w:rsidP="55CFFEF0">
      <w:pPr>
        <w:pStyle w:val="BodyText"/>
        <w:jc w:val="both"/>
        <w:rPr>
          <w:rFonts w:asciiTheme="minorHAnsi" w:hAnsiTheme="minorHAnsi" w:cstheme="minorBidi"/>
          <w:sz w:val="20"/>
          <w:szCs w:val="20"/>
        </w:rPr>
      </w:pPr>
    </w:p>
    <w:p w14:paraId="16653761" w14:textId="77777777" w:rsidR="00D96511" w:rsidRPr="0067725C" w:rsidRDefault="00D96511" w:rsidP="55CFFEF0">
      <w:pPr>
        <w:pStyle w:val="BodyText"/>
        <w:jc w:val="both"/>
        <w:rPr>
          <w:rFonts w:asciiTheme="minorHAnsi" w:hAnsiTheme="minorHAnsi" w:cstheme="minorBidi"/>
          <w:sz w:val="20"/>
          <w:szCs w:val="20"/>
        </w:rPr>
      </w:pPr>
    </w:p>
    <w:p w14:paraId="1BC4E5F7" w14:textId="7B9F3B5D" w:rsidR="00945D18" w:rsidRPr="0043215C" w:rsidRDefault="00945D18" w:rsidP="00451DD6">
      <w:pPr>
        <w:pStyle w:val="Caption"/>
        <w:rPr>
          <w:rFonts w:cstheme="minorHAnsi"/>
          <w:sz w:val="20"/>
          <w:szCs w:val="20"/>
        </w:rPr>
      </w:pPr>
      <w:r w:rsidRPr="0043215C">
        <w:rPr>
          <w:rFonts w:cstheme="minorHAnsi"/>
          <w:sz w:val="20"/>
          <w:szCs w:val="20"/>
        </w:rPr>
        <w:lastRenderedPageBreak/>
        <w:t xml:space="preserve">Table 3: Program Outcome </w:t>
      </w:r>
      <w:r w:rsidR="00015E3E">
        <w:rPr>
          <w:rFonts w:cstheme="minorHAnsi"/>
          <w:sz w:val="20"/>
          <w:szCs w:val="20"/>
        </w:rPr>
        <w:t>I</w:t>
      </w:r>
      <w:r w:rsidRPr="0043215C">
        <w:rPr>
          <w:rFonts w:cstheme="minorHAnsi"/>
          <w:sz w:val="20"/>
          <w:szCs w:val="20"/>
        </w:rPr>
        <w:t>ndicators for Türkiye IP by Component</w:t>
      </w:r>
    </w:p>
    <w:p w14:paraId="379467F2" w14:textId="0995E52B" w:rsidR="00945D18" w:rsidRPr="0043215C" w:rsidRDefault="00945D18" w:rsidP="00945D18">
      <w:pPr>
        <w:pStyle w:val="BodyText"/>
        <w:rPr>
          <w:rFonts w:asciiTheme="minorHAnsi" w:hAnsiTheme="minorHAnsi" w:cstheme="minorHAnsi"/>
          <w:sz w:val="20"/>
          <w:szCs w:val="20"/>
        </w:rPr>
      </w:pPr>
    </w:p>
    <w:tbl>
      <w:tblPr>
        <w:tblStyle w:val="TableGrid"/>
        <w:tblW w:w="935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173"/>
        <w:gridCol w:w="1612"/>
        <w:gridCol w:w="2050"/>
        <w:gridCol w:w="1520"/>
      </w:tblGrid>
      <w:tr w:rsidR="00945D18" w:rsidRPr="0043215C" w14:paraId="5FF110D3" w14:textId="77777777" w:rsidTr="00651F36">
        <w:trPr>
          <w:cantSplit/>
        </w:trPr>
        <w:tc>
          <w:tcPr>
            <w:tcW w:w="4173" w:type="dxa"/>
            <w:shd w:val="clear" w:color="auto" w:fill="FFF2CC" w:themeFill="accent4" w:themeFillTint="33"/>
          </w:tcPr>
          <w:p w14:paraId="53648083" w14:textId="77777777" w:rsidR="00945D18" w:rsidRPr="0043215C" w:rsidRDefault="00945D18" w:rsidP="00651F36">
            <w:pPr>
              <w:pStyle w:val="BodyText"/>
              <w:jc w:val="both"/>
              <w:rPr>
                <w:rFonts w:asciiTheme="minorHAnsi" w:hAnsiTheme="minorHAnsi" w:cstheme="minorHAnsi"/>
                <w:sz w:val="20"/>
                <w:szCs w:val="20"/>
              </w:rPr>
            </w:pPr>
            <w:r w:rsidRPr="0043215C">
              <w:rPr>
                <w:rFonts w:asciiTheme="minorHAnsi" w:hAnsiTheme="minorHAnsi" w:cstheme="minorHAnsi"/>
                <w:sz w:val="20"/>
                <w:szCs w:val="20"/>
              </w:rPr>
              <w:t>Program Outcome Results Indicators</w:t>
            </w:r>
          </w:p>
        </w:tc>
        <w:tc>
          <w:tcPr>
            <w:tcW w:w="1612" w:type="dxa"/>
            <w:shd w:val="clear" w:color="auto" w:fill="FFF2CC" w:themeFill="accent4" w:themeFillTint="33"/>
          </w:tcPr>
          <w:p w14:paraId="51A2F403" w14:textId="77777777" w:rsidR="00945D18" w:rsidRPr="0043215C" w:rsidRDefault="00945D18" w:rsidP="00651F36">
            <w:pPr>
              <w:pStyle w:val="BodyText"/>
              <w:jc w:val="both"/>
              <w:rPr>
                <w:rFonts w:asciiTheme="minorHAnsi" w:hAnsiTheme="minorHAnsi" w:cstheme="minorHAnsi"/>
                <w:sz w:val="20"/>
                <w:szCs w:val="20"/>
              </w:rPr>
            </w:pPr>
            <w:r w:rsidRPr="0043215C">
              <w:rPr>
                <w:rFonts w:asciiTheme="minorHAnsi" w:hAnsiTheme="minorHAnsi" w:cstheme="minorHAnsi"/>
                <w:sz w:val="20"/>
                <w:szCs w:val="20"/>
              </w:rPr>
              <w:t>1. Transforming the Power Transmission System for REI</w:t>
            </w:r>
          </w:p>
        </w:tc>
        <w:tc>
          <w:tcPr>
            <w:tcW w:w="2050" w:type="dxa"/>
            <w:shd w:val="clear" w:color="auto" w:fill="FFF2CC" w:themeFill="accent4" w:themeFillTint="33"/>
          </w:tcPr>
          <w:p w14:paraId="7377E96F" w14:textId="77777777" w:rsidR="00945D18" w:rsidRPr="0043215C" w:rsidRDefault="00945D18" w:rsidP="00651F36">
            <w:pPr>
              <w:pStyle w:val="BodyText"/>
              <w:jc w:val="both"/>
              <w:rPr>
                <w:rFonts w:asciiTheme="minorHAnsi" w:hAnsiTheme="minorHAnsi" w:cstheme="minorHAnsi"/>
                <w:sz w:val="20"/>
                <w:szCs w:val="20"/>
              </w:rPr>
            </w:pPr>
            <w:r w:rsidRPr="0043215C">
              <w:rPr>
                <w:rFonts w:asciiTheme="minorHAnsi" w:hAnsiTheme="minorHAnsi" w:cstheme="minorHAnsi"/>
                <w:sz w:val="20"/>
                <w:szCs w:val="20"/>
              </w:rPr>
              <w:t>2. Power System Flexibility, Balancing, Stabilization and Strengthening Power Infrastucture</w:t>
            </w:r>
          </w:p>
        </w:tc>
        <w:tc>
          <w:tcPr>
            <w:tcW w:w="1520" w:type="dxa"/>
            <w:shd w:val="clear" w:color="auto" w:fill="FFF2CC" w:themeFill="accent4" w:themeFillTint="33"/>
          </w:tcPr>
          <w:p w14:paraId="5A433910" w14:textId="77777777" w:rsidR="00945D18" w:rsidRPr="0043215C" w:rsidRDefault="00945D18" w:rsidP="00651F36">
            <w:pPr>
              <w:pStyle w:val="BodyText"/>
              <w:jc w:val="both"/>
              <w:rPr>
                <w:rFonts w:asciiTheme="minorHAnsi" w:hAnsiTheme="minorHAnsi" w:cstheme="minorHAnsi"/>
                <w:sz w:val="20"/>
                <w:szCs w:val="20"/>
              </w:rPr>
            </w:pPr>
            <w:r w:rsidRPr="0043215C">
              <w:rPr>
                <w:rFonts w:asciiTheme="minorHAnsi" w:hAnsiTheme="minorHAnsi" w:cstheme="minorHAnsi"/>
                <w:sz w:val="20"/>
                <w:szCs w:val="20"/>
              </w:rPr>
              <w:t>3. Technical Assistance</w:t>
            </w:r>
          </w:p>
        </w:tc>
      </w:tr>
      <w:tr w:rsidR="00945D18" w:rsidRPr="0043215C" w14:paraId="29CD5C6F" w14:textId="77777777" w:rsidTr="00651F36">
        <w:trPr>
          <w:cantSplit/>
        </w:trPr>
        <w:tc>
          <w:tcPr>
            <w:tcW w:w="4173" w:type="dxa"/>
            <w:shd w:val="clear" w:color="auto" w:fill="D0CECE" w:themeFill="background2" w:themeFillShade="E6"/>
          </w:tcPr>
          <w:p w14:paraId="3E1F4BB7" w14:textId="77777777" w:rsidR="00945D18" w:rsidRPr="0043215C" w:rsidRDefault="00945D18" w:rsidP="00651F36">
            <w:pPr>
              <w:pStyle w:val="BodyText"/>
              <w:jc w:val="both"/>
              <w:rPr>
                <w:rFonts w:asciiTheme="minorHAnsi" w:hAnsiTheme="minorHAnsi" w:cstheme="minorHAnsi"/>
                <w:b/>
                <w:bCs/>
                <w:sz w:val="20"/>
                <w:szCs w:val="20"/>
              </w:rPr>
            </w:pPr>
            <w:r w:rsidRPr="0043215C">
              <w:rPr>
                <w:rFonts w:asciiTheme="minorHAnsi" w:hAnsiTheme="minorHAnsi" w:cstheme="minorHAnsi"/>
                <w:b/>
                <w:bCs/>
                <w:sz w:val="20"/>
                <w:szCs w:val="20"/>
              </w:rPr>
              <w:t>REI Core Indicators</w:t>
            </w:r>
          </w:p>
        </w:tc>
        <w:tc>
          <w:tcPr>
            <w:tcW w:w="1612" w:type="dxa"/>
            <w:shd w:val="clear" w:color="auto" w:fill="D0CECE" w:themeFill="background2" w:themeFillShade="E6"/>
          </w:tcPr>
          <w:p w14:paraId="51A875E2" w14:textId="77777777" w:rsidR="00945D18" w:rsidRPr="0043215C" w:rsidRDefault="00945D18" w:rsidP="00651F36">
            <w:pPr>
              <w:pStyle w:val="BodyText"/>
              <w:jc w:val="both"/>
              <w:rPr>
                <w:rFonts w:asciiTheme="minorHAnsi" w:hAnsiTheme="minorHAnsi" w:cstheme="minorHAnsi"/>
                <w:sz w:val="20"/>
                <w:szCs w:val="20"/>
              </w:rPr>
            </w:pPr>
          </w:p>
        </w:tc>
        <w:tc>
          <w:tcPr>
            <w:tcW w:w="2050" w:type="dxa"/>
            <w:shd w:val="clear" w:color="auto" w:fill="D0CECE" w:themeFill="background2" w:themeFillShade="E6"/>
          </w:tcPr>
          <w:p w14:paraId="46BF471A" w14:textId="77777777" w:rsidR="00945D18" w:rsidRPr="0043215C" w:rsidRDefault="00945D18" w:rsidP="00651F36">
            <w:pPr>
              <w:pStyle w:val="BodyText"/>
              <w:jc w:val="both"/>
              <w:rPr>
                <w:rFonts w:asciiTheme="minorHAnsi" w:hAnsiTheme="minorHAnsi" w:cstheme="minorHAnsi"/>
                <w:sz w:val="20"/>
                <w:szCs w:val="20"/>
              </w:rPr>
            </w:pPr>
          </w:p>
        </w:tc>
        <w:tc>
          <w:tcPr>
            <w:tcW w:w="1520" w:type="dxa"/>
            <w:shd w:val="clear" w:color="auto" w:fill="D0CECE" w:themeFill="background2" w:themeFillShade="E6"/>
          </w:tcPr>
          <w:p w14:paraId="33178EC8" w14:textId="77777777" w:rsidR="00945D18" w:rsidRPr="0043215C" w:rsidRDefault="00945D18" w:rsidP="00651F36">
            <w:pPr>
              <w:pStyle w:val="BodyText"/>
              <w:jc w:val="both"/>
              <w:rPr>
                <w:rFonts w:asciiTheme="minorHAnsi" w:hAnsiTheme="minorHAnsi" w:cstheme="minorHAnsi"/>
                <w:sz w:val="20"/>
                <w:szCs w:val="20"/>
              </w:rPr>
            </w:pPr>
          </w:p>
        </w:tc>
      </w:tr>
      <w:tr w:rsidR="00945D18" w:rsidRPr="0043215C" w14:paraId="2644E2A5" w14:textId="77777777" w:rsidTr="00651F36">
        <w:trPr>
          <w:cantSplit/>
        </w:trPr>
        <w:tc>
          <w:tcPr>
            <w:tcW w:w="4173" w:type="dxa"/>
            <w:shd w:val="clear" w:color="auto" w:fill="D9E2F3" w:themeFill="accent1" w:themeFillTint="33"/>
          </w:tcPr>
          <w:p w14:paraId="465FD6A1" w14:textId="77777777" w:rsidR="00945D18" w:rsidRPr="0043215C" w:rsidRDefault="00945D18" w:rsidP="00651F36">
            <w:pPr>
              <w:pStyle w:val="BodyText"/>
              <w:jc w:val="both"/>
              <w:rPr>
                <w:rFonts w:asciiTheme="minorHAnsi" w:hAnsiTheme="minorHAnsi" w:cstheme="minorHAnsi"/>
                <w:sz w:val="20"/>
                <w:szCs w:val="20"/>
              </w:rPr>
            </w:pPr>
            <w:r w:rsidRPr="0043215C">
              <w:rPr>
                <w:rFonts w:asciiTheme="minorHAnsi" w:hAnsiTheme="minorHAnsi" w:cstheme="minorHAnsi"/>
                <w:sz w:val="20"/>
                <w:szCs w:val="20"/>
              </w:rPr>
              <w:t>REI 1. Mitigation (Mt CO</w:t>
            </w:r>
            <w:r w:rsidRPr="0043215C">
              <w:rPr>
                <w:rFonts w:asciiTheme="minorHAnsi" w:hAnsiTheme="minorHAnsi" w:cstheme="minorHAnsi"/>
                <w:sz w:val="20"/>
                <w:szCs w:val="20"/>
                <w:vertAlign w:val="subscript"/>
              </w:rPr>
              <w:t>2</w:t>
            </w:r>
            <w:r w:rsidRPr="0043215C">
              <w:rPr>
                <w:rFonts w:asciiTheme="minorHAnsi" w:hAnsiTheme="minorHAnsi" w:cstheme="minorHAnsi"/>
                <w:sz w:val="20"/>
                <w:szCs w:val="20"/>
              </w:rPr>
              <w:t xml:space="preserve"> eq)</w:t>
            </w:r>
          </w:p>
        </w:tc>
        <w:tc>
          <w:tcPr>
            <w:tcW w:w="1612" w:type="dxa"/>
          </w:tcPr>
          <w:p w14:paraId="65B9C331"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2050" w:type="dxa"/>
          </w:tcPr>
          <w:p w14:paraId="22820D70"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1520" w:type="dxa"/>
          </w:tcPr>
          <w:p w14:paraId="724A44F8"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r>
      <w:tr w:rsidR="00945D18" w:rsidRPr="0043215C" w14:paraId="15C04989" w14:textId="77777777" w:rsidTr="00651F36">
        <w:trPr>
          <w:cantSplit/>
        </w:trPr>
        <w:tc>
          <w:tcPr>
            <w:tcW w:w="4173" w:type="dxa"/>
            <w:shd w:val="clear" w:color="auto" w:fill="D9E2F3" w:themeFill="accent1" w:themeFillTint="33"/>
          </w:tcPr>
          <w:p w14:paraId="3BB793DB"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REI 2. Variable Renewable Energy Installed Capacity available to the grid (MW) – direct/indirect</w:t>
            </w:r>
          </w:p>
        </w:tc>
        <w:tc>
          <w:tcPr>
            <w:tcW w:w="1612" w:type="dxa"/>
          </w:tcPr>
          <w:p w14:paraId="0CB01014"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p w14:paraId="596588BC" w14:textId="77777777" w:rsidR="00945D18" w:rsidRPr="0043215C" w:rsidRDefault="00945D18" w:rsidP="00651F36">
            <w:pPr>
              <w:pStyle w:val="BodyText"/>
              <w:jc w:val="center"/>
              <w:rPr>
                <w:rFonts w:asciiTheme="minorHAnsi" w:hAnsiTheme="minorHAnsi" w:cstheme="minorHAnsi"/>
                <w:sz w:val="20"/>
                <w:szCs w:val="20"/>
                <w:highlight w:val="yellow"/>
              </w:rPr>
            </w:pPr>
          </w:p>
        </w:tc>
        <w:tc>
          <w:tcPr>
            <w:tcW w:w="2050" w:type="dxa"/>
          </w:tcPr>
          <w:p w14:paraId="273B7A5A"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1520" w:type="dxa"/>
          </w:tcPr>
          <w:p w14:paraId="2FD1914F"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r>
      <w:tr w:rsidR="00945D18" w:rsidRPr="0043215C" w14:paraId="60481DBE" w14:textId="77777777" w:rsidTr="00651F36">
        <w:trPr>
          <w:cantSplit/>
          <w:trHeight w:val="341"/>
        </w:trPr>
        <w:tc>
          <w:tcPr>
            <w:tcW w:w="4173" w:type="dxa"/>
            <w:shd w:val="clear" w:color="auto" w:fill="D9E2F3" w:themeFill="accent1" w:themeFillTint="33"/>
          </w:tcPr>
          <w:p w14:paraId="0CD1CB57"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REI 3. Renewable Energy Production (GWh/year)</w:t>
            </w:r>
          </w:p>
        </w:tc>
        <w:tc>
          <w:tcPr>
            <w:tcW w:w="1612" w:type="dxa"/>
          </w:tcPr>
          <w:p w14:paraId="67726F6B"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2050" w:type="dxa"/>
          </w:tcPr>
          <w:p w14:paraId="2C293929"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1520" w:type="dxa"/>
          </w:tcPr>
          <w:p w14:paraId="448292D7"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r>
      <w:tr w:rsidR="00945D18" w:rsidRPr="0043215C" w14:paraId="2EB5D1CD" w14:textId="77777777" w:rsidTr="00651F36">
        <w:trPr>
          <w:cantSplit/>
        </w:trPr>
        <w:tc>
          <w:tcPr>
            <w:tcW w:w="4173" w:type="dxa"/>
            <w:shd w:val="clear" w:color="auto" w:fill="D9E2F3" w:themeFill="accent1" w:themeFillTint="33"/>
          </w:tcPr>
          <w:p w14:paraId="49A9E17B"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REI 4. Grid Services (#)</w:t>
            </w:r>
          </w:p>
        </w:tc>
        <w:tc>
          <w:tcPr>
            <w:tcW w:w="1612" w:type="dxa"/>
          </w:tcPr>
          <w:p w14:paraId="153C1543"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2050" w:type="dxa"/>
          </w:tcPr>
          <w:p w14:paraId="3D085C32"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1520" w:type="dxa"/>
          </w:tcPr>
          <w:p w14:paraId="04C5AE21"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r>
      <w:tr w:rsidR="00945D18" w:rsidRPr="0043215C" w14:paraId="0F3DCF3F" w14:textId="77777777" w:rsidTr="00651F36">
        <w:trPr>
          <w:cantSplit/>
        </w:trPr>
        <w:tc>
          <w:tcPr>
            <w:tcW w:w="4173" w:type="dxa"/>
            <w:shd w:val="clear" w:color="auto" w:fill="D9E2F3" w:themeFill="accent1" w:themeFillTint="33"/>
          </w:tcPr>
          <w:p w14:paraId="103E6697"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REI 5. Policies</w:t>
            </w:r>
          </w:p>
        </w:tc>
        <w:tc>
          <w:tcPr>
            <w:tcW w:w="1612" w:type="dxa"/>
          </w:tcPr>
          <w:p w14:paraId="44F25C69" w14:textId="77777777" w:rsidR="00945D18" w:rsidRPr="0043215C" w:rsidRDefault="00945D18" w:rsidP="00651F36">
            <w:pPr>
              <w:pStyle w:val="BodyText"/>
              <w:jc w:val="center"/>
              <w:rPr>
                <w:rFonts w:asciiTheme="minorHAnsi" w:hAnsiTheme="minorHAnsi" w:cstheme="minorHAnsi"/>
                <w:sz w:val="20"/>
                <w:szCs w:val="20"/>
              </w:rPr>
            </w:pPr>
          </w:p>
        </w:tc>
        <w:tc>
          <w:tcPr>
            <w:tcW w:w="2050" w:type="dxa"/>
          </w:tcPr>
          <w:p w14:paraId="20D012C5"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c>
          <w:tcPr>
            <w:tcW w:w="1520" w:type="dxa"/>
          </w:tcPr>
          <w:p w14:paraId="696CD53F" w14:textId="77777777" w:rsidR="00945D18" w:rsidRPr="0043215C" w:rsidRDefault="00945D18" w:rsidP="00651F36">
            <w:pPr>
              <w:pStyle w:val="BodyText"/>
              <w:jc w:val="center"/>
              <w:rPr>
                <w:rFonts w:asciiTheme="minorHAnsi" w:hAnsiTheme="minorHAnsi" w:cstheme="minorHAnsi"/>
                <w:sz w:val="20"/>
                <w:szCs w:val="20"/>
              </w:rPr>
            </w:pPr>
          </w:p>
        </w:tc>
      </w:tr>
      <w:tr w:rsidR="00945D18" w:rsidRPr="0043215C" w14:paraId="435469DA" w14:textId="77777777" w:rsidTr="00651F36">
        <w:trPr>
          <w:cantSplit/>
        </w:trPr>
        <w:tc>
          <w:tcPr>
            <w:tcW w:w="4173" w:type="dxa"/>
            <w:shd w:val="clear" w:color="auto" w:fill="D9E2F3" w:themeFill="accent1" w:themeFillTint="33"/>
          </w:tcPr>
          <w:p w14:paraId="514452F1" w14:textId="00B49EEF"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REI 6. Co-Finance (</w:t>
            </w:r>
            <w:r w:rsidR="00636124" w:rsidRPr="0043215C">
              <w:rPr>
                <w:rFonts w:asciiTheme="minorHAnsi" w:hAnsiTheme="minorHAnsi" w:cstheme="minorHAnsi"/>
                <w:sz w:val="20"/>
                <w:szCs w:val="20"/>
              </w:rPr>
              <w:t>US$</w:t>
            </w:r>
            <w:r w:rsidRPr="0043215C">
              <w:rPr>
                <w:rFonts w:asciiTheme="minorHAnsi" w:hAnsiTheme="minorHAnsi" w:cstheme="minorHAnsi"/>
                <w:sz w:val="20"/>
                <w:szCs w:val="20"/>
              </w:rPr>
              <w:t>)</w:t>
            </w:r>
          </w:p>
        </w:tc>
        <w:tc>
          <w:tcPr>
            <w:tcW w:w="1612" w:type="dxa"/>
          </w:tcPr>
          <w:p w14:paraId="452EC416"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2050" w:type="dxa"/>
          </w:tcPr>
          <w:p w14:paraId="2E256658"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1520" w:type="dxa"/>
          </w:tcPr>
          <w:p w14:paraId="6BD41C73"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r>
      <w:tr w:rsidR="00945D18" w:rsidRPr="0043215C" w14:paraId="2873150A" w14:textId="77777777" w:rsidTr="00651F36">
        <w:trPr>
          <w:cantSplit/>
        </w:trPr>
        <w:tc>
          <w:tcPr>
            <w:tcW w:w="4173" w:type="dxa"/>
            <w:shd w:val="clear" w:color="auto" w:fill="D9E2F3" w:themeFill="accent1" w:themeFillTint="33"/>
          </w:tcPr>
          <w:p w14:paraId="186DB6A0"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REI 7. Renewable Energy Access (# of people) – direct/indirect</w:t>
            </w:r>
          </w:p>
        </w:tc>
        <w:tc>
          <w:tcPr>
            <w:tcW w:w="1612" w:type="dxa"/>
          </w:tcPr>
          <w:p w14:paraId="4403D737" w14:textId="77777777" w:rsidR="00945D18" w:rsidRPr="0043215C" w:rsidRDefault="00945D18" w:rsidP="00651F36">
            <w:pPr>
              <w:pStyle w:val="BodyText"/>
              <w:jc w:val="center"/>
              <w:rPr>
                <w:rFonts w:asciiTheme="minorHAnsi" w:hAnsiTheme="minorHAnsi" w:cstheme="minorHAnsi"/>
                <w:sz w:val="20"/>
                <w:szCs w:val="20"/>
              </w:rPr>
            </w:pPr>
          </w:p>
        </w:tc>
        <w:tc>
          <w:tcPr>
            <w:tcW w:w="2050" w:type="dxa"/>
          </w:tcPr>
          <w:p w14:paraId="62643092"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1520" w:type="dxa"/>
          </w:tcPr>
          <w:p w14:paraId="38A837D7" w14:textId="77777777" w:rsidR="00945D18" w:rsidRPr="0043215C" w:rsidRDefault="00945D18" w:rsidP="00651F36">
            <w:pPr>
              <w:pStyle w:val="BodyText"/>
              <w:jc w:val="center"/>
              <w:rPr>
                <w:rFonts w:asciiTheme="minorHAnsi" w:hAnsiTheme="minorHAnsi" w:cstheme="minorHAnsi"/>
                <w:sz w:val="20"/>
                <w:szCs w:val="20"/>
              </w:rPr>
            </w:pPr>
          </w:p>
        </w:tc>
      </w:tr>
      <w:tr w:rsidR="00945D18" w:rsidRPr="0043215C" w14:paraId="1700E2F1" w14:textId="77777777" w:rsidTr="00651F36">
        <w:trPr>
          <w:cantSplit/>
        </w:trPr>
        <w:tc>
          <w:tcPr>
            <w:tcW w:w="4173" w:type="dxa"/>
            <w:shd w:val="clear" w:color="auto" w:fill="D9E2F3" w:themeFill="accent1" w:themeFillTint="33"/>
          </w:tcPr>
          <w:p w14:paraId="61FAE39E" w14:textId="76FD26B2"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REI 8. System costs (</w:t>
            </w:r>
            <w:r w:rsidR="00636124" w:rsidRPr="0043215C">
              <w:rPr>
                <w:rFonts w:asciiTheme="minorHAnsi" w:hAnsiTheme="minorHAnsi" w:cstheme="minorHAnsi"/>
                <w:sz w:val="20"/>
                <w:szCs w:val="20"/>
              </w:rPr>
              <w:t>US$</w:t>
            </w:r>
            <w:r w:rsidRPr="0043215C">
              <w:rPr>
                <w:rFonts w:asciiTheme="minorHAnsi" w:hAnsiTheme="minorHAnsi" w:cstheme="minorHAnsi"/>
                <w:sz w:val="20"/>
                <w:szCs w:val="20"/>
              </w:rPr>
              <w:t>/year)</w:t>
            </w:r>
          </w:p>
        </w:tc>
        <w:tc>
          <w:tcPr>
            <w:tcW w:w="1612" w:type="dxa"/>
          </w:tcPr>
          <w:p w14:paraId="70FB0D12"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c>
          <w:tcPr>
            <w:tcW w:w="2050" w:type="dxa"/>
          </w:tcPr>
          <w:p w14:paraId="6A316239"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1520" w:type="dxa"/>
          </w:tcPr>
          <w:p w14:paraId="03921A20"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r>
      <w:tr w:rsidR="00945D18" w:rsidRPr="0043215C" w14:paraId="4AFFD698" w14:textId="77777777" w:rsidTr="00651F36">
        <w:trPr>
          <w:cantSplit/>
        </w:trPr>
        <w:tc>
          <w:tcPr>
            <w:tcW w:w="4173" w:type="dxa"/>
            <w:shd w:val="clear" w:color="auto" w:fill="D9E2F3" w:themeFill="accent1" w:themeFillTint="33"/>
          </w:tcPr>
          <w:p w14:paraId="180EFC90"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REI 9. Innovation (#)</w:t>
            </w:r>
          </w:p>
        </w:tc>
        <w:tc>
          <w:tcPr>
            <w:tcW w:w="1612" w:type="dxa"/>
          </w:tcPr>
          <w:p w14:paraId="11FBDEF5"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p w14:paraId="06A50ACA" w14:textId="77777777" w:rsidR="00945D18" w:rsidRPr="0043215C" w:rsidRDefault="00945D18" w:rsidP="00651F36">
            <w:pPr>
              <w:pStyle w:val="BodyText"/>
              <w:jc w:val="center"/>
              <w:rPr>
                <w:rFonts w:asciiTheme="minorHAnsi" w:hAnsiTheme="minorHAnsi" w:cstheme="minorHAnsi"/>
                <w:sz w:val="20"/>
                <w:szCs w:val="20"/>
              </w:rPr>
            </w:pPr>
          </w:p>
        </w:tc>
        <w:tc>
          <w:tcPr>
            <w:tcW w:w="2050" w:type="dxa"/>
          </w:tcPr>
          <w:p w14:paraId="049B9A30"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1520" w:type="dxa"/>
          </w:tcPr>
          <w:p w14:paraId="6076DCC2"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r>
      <w:tr w:rsidR="7800148C" w14:paraId="3F9F23EF" w14:textId="77777777" w:rsidTr="37410CC2">
        <w:trPr>
          <w:cantSplit/>
          <w:trHeight w:val="300"/>
        </w:trPr>
        <w:tc>
          <w:tcPr>
            <w:tcW w:w="4173" w:type="dxa"/>
            <w:shd w:val="clear" w:color="auto" w:fill="FFF2CC" w:themeFill="accent4" w:themeFillTint="33"/>
          </w:tcPr>
          <w:p w14:paraId="2FA9009C" w14:textId="77777777" w:rsidR="7800148C" w:rsidRDefault="7800148C" w:rsidP="7800148C">
            <w:pPr>
              <w:pStyle w:val="BodyText"/>
              <w:jc w:val="both"/>
              <w:rPr>
                <w:rFonts w:asciiTheme="minorHAnsi" w:hAnsiTheme="minorHAnsi" w:cstheme="minorBidi"/>
                <w:sz w:val="20"/>
                <w:szCs w:val="20"/>
              </w:rPr>
            </w:pPr>
            <w:r w:rsidRPr="7800148C">
              <w:rPr>
                <w:rFonts w:asciiTheme="minorHAnsi" w:hAnsiTheme="minorHAnsi" w:cstheme="minorBidi"/>
                <w:sz w:val="20"/>
                <w:szCs w:val="20"/>
              </w:rPr>
              <w:t>Program Outcome Results Indicators</w:t>
            </w:r>
          </w:p>
        </w:tc>
        <w:tc>
          <w:tcPr>
            <w:tcW w:w="1612" w:type="dxa"/>
            <w:shd w:val="clear" w:color="auto" w:fill="FFF2CC" w:themeFill="accent4" w:themeFillTint="33"/>
          </w:tcPr>
          <w:p w14:paraId="4ED8D594" w14:textId="77777777" w:rsidR="7800148C" w:rsidRDefault="7800148C" w:rsidP="7800148C">
            <w:pPr>
              <w:pStyle w:val="BodyText"/>
              <w:jc w:val="both"/>
              <w:rPr>
                <w:rFonts w:asciiTheme="minorHAnsi" w:hAnsiTheme="minorHAnsi" w:cstheme="minorBidi"/>
                <w:sz w:val="20"/>
                <w:szCs w:val="20"/>
              </w:rPr>
            </w:pPr>
            <w:r w:rsidRPr="7800148C">
              <w:rPr>
                <w:rFonts w:asciiTheme="minorHAnsi" w:hAnsiTheme="minorHAnsi" w:cstheme="minorBidi"/>
                <w:sz w:val="20"/>
                <w:szCs w:val="20"/>
              </w:rPr>
              <w:t>1. Transforming the Power Transmission System for REI</w:t>
            </w:r>
          </w:p>
        </w:tc>
        <w:tc>
          <w:tcPr>
            <w:tcW w:w="2050" w:type="dxa"/>
            <w:shd w:val="clear" w:color="auto" w:fill="FFF2CC" w:themeFill="accent4" w:themeFillTint="33"/>
          </w:tcPr>
          <w:p w14:paraId="5C4169DA" w14:textId="46A327BC" w:rsidR="7800148C" w:rsidRDefault="7800148C" w:rsidP="7800148C">
            <w:pPr>
              <w:pStyle w:val="BodyText"/>
              <w:jc w:val="both"/>
              <w:rPr>
                <w:rFonts w:asciiTheme="minorHAnsi" w:hAnsiTheme="minorHAnsi" w:cstheme="minorBidi"/>
                <w:sz w:val="20"/>
                <w:szCs w:val="20"/>
              </w:rPr>
            </w:pPr>
            <w:r w:rsidRPr="7800148C">
              <w:rPr>
                <w:rFonts w:asciiTheme="minorHAnsi" w:hAnsiTheme="minorHAnsi" w:cstheme="minorBidi"/>
                <w:sz w:val="20"/>
                <w:szCs w:val="20"/>
              </w:rPr>
              <w:t xml:space="preserve">2. Power System Flexibility, Balancing, Stabilization and Strengthening Power </w:t>
            </w:r>
            <w:r w:rsidR="50A126F6" w:rsidRPr="37410CC2">
              <w:rPr>
                <w:rFonts w:asciiTheme="minorHAnsi" w:hAnsiTheme="minorHAnsi" w:cstheme="minorBidi"/>
                <w:sz w:val="20"/>
                <w:szCs w:val="20"/>
              </w:rPr>
              <w:t>Infrastructure</w:t>
            </w:r>
          </w:p>
        </w:tc>
        <w:tc>
          <w:tcPr>
            <w:tcW w:w="1520" w:type="dxa"/>
            <w:shd w:val="clear" w:color="auto" w:fill="FFF2CC" w:themeFill="accent4" w:themeFillTint="33"/>
          </w:tcPr>
          <w:p w14:paraId="4A72B235" w14:textId="77777777" w:rsidR="7800148C" w:rsidRDefault="7800148C" w:rsidP="7800148C">
            <w:pPr>
              <w:pStyle w:val="BodyText"/>
              <w:jc w:val="both"/>
              <w:rPr>
                <w:rFonts w:asciiTheme="minorHAnsi" w:hAnsiTheme="minorHAnsi" w:cstheme="minorBidi"/>
                <w:sz w:val="20"/>
                <w:szCs w:val="20"/>
              </w:rPr>
            </w:pPr>
            <w:r w:rsidRPr="7800148C">
              <w:rPr>
                <w:rFonts w:asciiTheme="minorHAnsi" w:hAnsiTheme="minorHAnsi" w:cstheme="minorBidi"/>
                <w:sz w:val="20"/>
                <w:szCs w:val="20"/>
              </w:rPr>
              <w:t>3. Technical Assistance</w:t>
            </w:r>
          </w:p>
        </w:tc>
      </w:tr>
      <w:tr w:rsidR="00945D18" w:rsidRPr="0043215C" w14:paraId="45F0B125" w14:textId="77777777" w:rsidTr="00651F36">
        <w:trPr>
          <w:cantSplit/>
        </w:trPr>
        <w:tc>
          <w:tcPr>
            <w:tcW w:w="4173" w:type="dxa"/>
            <w:shd w:val="clear" w:color="auto" w:fill="D9E2F3" w:themeFill="accent1" w:themeFillTint="33"/>
          </w:tcPr>
          <w:p w14:paraId="53D85012" w14:textId="77777777" w:rsidR="00945D18" w:rsidRPr="0043215C" w:rsidRDefault="00945D18" w:rsidP="00651F36">
            <w:pPr>
              <w:pStyle w:val="BodyText"/>
              <w:rPr>
                <w:rFonts w:asciiTheme="minorHAnsi" w:hAnsiTheme="minorHAnsi" w:cstheme="minorHAnsi"/>
                <w:b/>
                <w:bCs/>
                <w:sz w:val="20"/>
                <w:szCs w:val="20"/>
              </w:rPr>
            </w:pPr>
            <w:r w:rsidRPr="0043215C">
              <w:rPr>
                <w:rFonts w:asciiTheme="minorHAnsi" w:hAnsiTheme="minorHAnsi" w:cstheme="minorHAnsi"/>
                <w:b/>
                <w:bCs/>
                <w:sz w:val="20"/>
                <w:szCs w:val="20"/>
              </w:rPr>
              <w:t>Energy Storage Indicators</w:t>
            </w:r>
          </w:p>
        </w:tc>
        <w:tc>
          <w:tcPr>
            <w:tcW w:w="1612" w:type="dxa"/>
            <w:shd w:val="clear" w:color="auto" w:fill="D0CECE" w:themeFill="background2" w:themeFillShade="E6"/>
          </w:tcPr>
          <w:p w14:paraId="2C84ADFD" w14:textId="77777777" w:rsidR="00945D18" w:rsidRPr="0043215C" w:rsidRDefault="00945D18" w:rsidP="00651F36">
            <w:pPr>
              <w:pStyle w:val="BodyText"/>
              <w:rPr>
                <w:rFonts w:asciiTheme="minorHAnsi" w:hAnsiTheme="minorHAnsi" w:cstheme="minorHAnsi"/>
                <w:sz w:val="20"/>
                <w:szCs w:val="20"/>
              </w:rPr>
            </w:pPr>
          </w:p>
        </w:tc>
        <w:tc>
          <w:tcPr>
            <w:tcW w:w="2050" w:type="dxa"/>
            <w:shd w:val="clear" w:color="auto" w:fill="D0CECE" w:themeFill="background2" w:themeFillShade="E6"/>
          </w:tcPr>
          <w:p w14:paraId="79138884" w14:textId="77777777" w:rsidR="00945D18" w:rsidRPr="0043215C" w:rsidRDefault="00945D18" w:rsidP="00651F36">
            <w:pPr>
              <w:pStyle w:val="BodyText"/>
              <w:rPr>
                <w:rFonts w:asciiTheme="minorHAnsi" w:hAnsiTheme="minorHAnsi" w:cstheme="minorHAnsi"/>
                <w:sz w:val="20"/>
                <w:szCs w:val="20"/>
              </w:rPr>
            </w:pPr>
          </w:p>
        </w:tc>
        <w:tc>
          <w:tcPr>
            <w:tcW w:w="1520" w:type="dxa"/>
            <w:shd w:val="clear" w:color="auto" w:fill="D0CECE" w:themeFill="background2" w:themeFillShade="E6"/>
          </w:tcPr>
          <w:p w14:paraId="7D692656" w14:textId="77777777" w:rsidR="00945D18" w:rsidRPr="0043215C" w:rsidRDefault="00945D18" w:rsidP="00651F36">
            <w:pPr>
              <w:pStyle w:val="BodyText"/>
              <w:rPr>
                <w:rFonts w:asciiTheme="minorHAnsi" w:hAnsiTheme="minorHAnsi" w:cstheme="minorHAnsi"/>
                <w:sz w:val="20"/>
                <w:szCs w:val="20"/>
              </w:rPr>
            </w:pPr>
          </w:p>
        </w:tc>
      </w:tr>
      <w:tr w:rsidR="00945D18" w:rsidRPr="0043215C" w14:paraId="5203BF49" w14:textId="77777777" w:rsidTr="00651F36">
        <w:trPr>
          <w:cantSplit/>
        </w:trPr>
        <w:tc>
          <w:tcPr>
            <w:tcW w:w="4173" w:type="dxa"/>
            <w:shd w:val="clear" w:color="auto" w:fill="D9E2F3" w:themeFill="accent1" w:themeFillTint="33"/>
          </w:tcPr>
          <w:p w14:paraId="3DC8B4AE"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 xml:space="preserve">GESP 1. Energy rating of storage system installed (MWh) </w:t>
            </w:r>
          </w:p>
        </w:tc>
        <w:tc>
          <w:tcPr>
            <w:tcW w:w="1612" w:type="dxa"/>
          </w:tcPr>
          <w:p w14:paraId="57C841B0"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c>
          <w:tcPr>
            <w:tcW w:w="2050" w:type="dxa"/>
          </w:tcPr>
          <w:p w14:paraId="388CEBE8"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1520" w:type="dxa"/>
          </w:tcPr>
          <w:p w14:paraId="1142FD80"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r>
      <w:tr w:rsidR="00945D18" w:rsidRPr="0043215C" w14:paraId="53D01AEF" w14:textId="77777777" w:rsidTr="00651F36">
        <w:trPr>
          <w:cantSplit/>
        </w:trPr>
        <w:tc>
          <w:tcPr>
            <w:tcW w:w="4173" w:type="dxa"/>
            <w:shd w:val="clear" w:color="auto" w:fill="D9E2F3" w:themeFill="accent1" w:themeFillTint="33"/>
          </w:tcPr>
          <w:p w14:paraId="74CE3EAA"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GESP 2. Power rating of storage system installed (MW)</w:t>
            </w:r>
          </w:p>
        </w:tc>
        <w:tc>
          <w:tcPr>
            <w:tcW w:w="1612" w:type="dxa"/>
          </w:tcPr>
          <w:p w14:paraId="2746F639"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c>
          <w:tcPr>
            <w:tcW w:w="2050" w:type="dxa"/>
          </w:tcPr>
          <w:p w14:paraId="6860A2ED"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1520" w:type="dxa"/>
          </w:tcPr>
          <w:p w14:paraId="5E573D1B"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r>
      <w:tr w:rsidR="00945D18" w:rsidRPr="0043215C" w14:paraId="2A58B33C" w14:textId="77777777" w:rsidTr="00651F36">
        <w:trPr>
          <w:cantSplit/>
        </w:trPr>
        <w:tc>
          <w:tcPr>
            <w:tcW w:w="4173" w:type="dxa"/>
            <w:shd w:val="clear" w:color="auto" w:fill="D9E2F3" w:themeFill="accent1" w:themeFillTint="33"/>
          </w:tcPr>
          <w:p w14:paraId="71A632C4" w14:textId="77777777" w:rsidR="00945D18" w:rsidRPr="0043215C" w:rsidRDefault="00945D18" w:rsidP="00651F36">
            <w:pPr>
              <w:pStyle w:val="BodyText"/>
              <w:rPr>
                <w:rFonts w:asciiTheme="minorHAnsi" w:hAnsiTheme="minorHAnsi" w:cstheme="minorHAnsi"/>
                <w:b/>
                <w:bCs/>
                <w:sz w:val="20"/>
                <w:szCs w:val="20"/>
              </w:rPr>
            </w:pPr>
            <w:r w:rsidRPr="0043215C">
              <w:rPr>
                <w:rFonts w:asciiTheme="minorHAnsi" w:hAnsiTheme="minorHAnsi" w:cstheme="minorHAnsi"/>
                <w:b/>
                <w:bCs/>
                <w:sz w:val="20"/>
                <w:szCs w:val="20"/>
              </w:rPr>
              <w:t>REI Co-Benefit Indicators</w:t>
            </w:r>
          </w:p>
        </w:tc>
        <w:tc>
          <w:tcPr>
            <w:tcW w:w="1612" w:type="dxa"/>
            <w:shd w:val="clear" w:color="auto" w:fill="D0CECE" w:themeFill="background2" w:themeFillShade="E6"/>
          </w:tcPr>
          <w:p w14:paraId="0FF67148" w14:textId="77777777" w:rsidR="00945D18" w:rsidRPr="0043215C" w:rsidRDefault="00945D18" w:rsidP="00651F36">
            <w:pPr>
              <w:pStyle w:val="BodyText"/>
              <w:jc w:val="center"/>
              <w:rPr>
                <w:rFonts w:asciiTheme="minorHAnsi" w:hAnsiTheme="minorHAnsi" w:cstheme="minorHAnsi"/>
                <w:sz w:val="20"/>
                <w:szCs w:val="20"/>
                <w:highlight w:val="yellow"/>
              </w:rPr>
            </w:pPr>
          </w:p>
        </w:tc>
        <w:tc>
          <w:tcPr>
            <w:tcW w:w="2050" w:type="dxa"/>
            <w:shd w:val="clear" w:color="auto" w:fill="D0CECE" w:themeFill="background2" w:themeFillShade="E6"/>
          </w:tcPr>
          <w:p w14:paraId="7C64962B" w14:textId="77777777" w:rsidR="00945D18" w:rsidRPr="0043215C" w:rsidRDefault="00945D18" w:rsidP="00651F36">
            <w:pPr>
              <w:pStyle w:val="BodyText"/>
              <w:jc w:val="center"/>
              <w:rPr>
                <w:rFonts w:asciiTheme="minorHAnsi" w:hAnsiTheme="minorHAnsi" w:cstheme="minorHAnsi"/>
                <w:sz w:val="20"/>
                <w:szCs w:val="20"/>
              </w:rPr>
            </w:pPr>
          </w:p>
        </w:tc>
        <w:tc>
          <w:tcPr>
            <w:tcW w:w="1520" w:type="dxa"/>
            <w:shd w:val="clear" w:color="auto" w:fill="D0CECE" w:themeFill="background2" w:themeFillShade="E6"/>
          </w:tcPr>
          <w:p w14:paraId="39E1E69C" w14:textId="77777777" w:rsidR="00945D18" w:rsidRPr="0043215C" w:rsidRDefault="00945D18" w:rsidP="00651F36">
            <w:pPr>
              <w:pStyle w:val="BodyText"/>
              <w:jc w:val="center"/>
              <w:rPr>
                <w:rFonts w:asciiTheme="minorHAnsi" w:hAnsiTheme="minorHAnsi" w:cstheme="minorHAnsi"/>
                <w:sz w:val="20"/>
                <w:szCs w:val="20"/>
              </w:rPr>
            </w:pPr>
          </w:p>
        </w:tc>
      </w:tr>
      <w:tr w:rsidR="00945D18" w:rsidRPr="0043215C" w14:paraId="45DF8493" w14:textId="77777777" w:rsidTr="00651F36">
        <w:trPr>
          <w:cantSplit/>
        </w:trPr>
        <w:tc>
          <w:tcPr>
            <w:tcW w:w="4173" w:type="dxa"/>
            <w:shd w:val="clear" w:color="auto" w:fill="D9E2F3" w:themeFill="accent1" w:themeFillTint="33"/>
          </w:tcPr>
          <w:p w14:paraId="27E0BFFE"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Varies per REI project</w:t>
            </w:r>
          </w:p>
        </w:tc>
        <w:tc>
          <w:tcPr>
            <w:tcW w:w="5182" w:type="dxa"/>
            <w:gridSpan w:val="3"/>
          </w:tcPr>
          <w:p w14:paraId="743239C7"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Must be reported by MDBs (at least one indicator)</w:t>
            </w:r>
          </w:p>
        </w:tc>
      </w:tr>
      <w:tr w:rsidR="00945D18" w:rsidRPr="0043215C" w14:paraId="7F6590D9" w14:textId="77777777" w:rsidTr="00651F36">
        <w:trPr>
          <w:cantSplit/>
        </w:trPr>
        <w:tc>
          <w:tcPr>
            <w:tcW w:w="9355" w:type="dxa"/>
            <w:gridSpan w:val="4"/>
            <w:shd w:val="clear" w:color="auto" w:fill="D9E2F3" w:themeFill="accent1" w:themeFillTint="33"/>
          </w:tcPr>
          <w:p w14:paraId="2AEDC9DB"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b/>
                <w:bCs/>
                <w:sz w:val="20"/>
                <w:szCs w:val="20"/>
              </w:rPr>
              <w:t>Optional Outcome Indicators</w:t>
            </w:r>
          </w:p>
        </w:tc>
      </w:tr>
      <w:tr w:rsidR="00945D18" w:rsidRPr="0043215C" w14:paraId="048E582D" w14:textId="77777777" w:rsidTr="00651F36">
        <w:trPr>
          <w:cantSplit/>
        </w:trPr>
        <w:tc>
          <w:tcPr>
            <w:tcW w:w="4173" w:type="dxa"/>
            <w:shd w:val="clear" w:color="auto" w:fill="D9E2F3" w:themeFill="accent1" w:themeFillTint="33"/>
          </w:tcPr>
          <w:p w14:paraId="7672E12B"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REI Optional 1: Increase in grid interconnections to accommodate higher share of variable renewable energy (#)</w:t>
            </w:r>
          </w:p>
        </w:tc>
        <w:tc>
          <w:tcPr>
            <w:tcW w:w="5182" w:type="dxa"/>
            <w:gridSpan w:val="3"/>
            <w:vMerge w:val="restart"/>
            <w:vAlign w:val="center"/>
          </w:tcPr>
          <w:p w14:paraId="30353711"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Can be adopted by MDBs as they see fit; CIF Secretariat will aggregate information as available.</w:t>
            </w:r>
          </w:p>
        </w:tc>
      </w:tr>
      <w:tr w:rsidR="00945D18" w:rsidRPr="0043215C" w14:paraId="49DF48C0" w14:textId="77777777" w:rsidTr="00651F36">
        <w:trPr>
          <w:cantSplit/>
        </w:trPr>
        <w:tc>
          <w:tcPr>
            <w:tcW w:w="4173" w:type="dxa"/>
            <w:shd w:val="clear" w:color="auto" w:fill="D9E2F3" w:themeFill="accent1" w:themeFillTint="33"/>
          </w:tcPr>
          <w:p w14:paraId="63D97762"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REI Optional 2: Reduced curtailment (% or MW)</w:t>
            </w:r>
          </w:p>
        </w:tc>
        <w:tc>
          <w:tcPr>
            <w:tcW w:w="5182" w:type="dxa"/>
            <w:gridSpan w:val="3"/>
            <w:vMerge/>
          </w:tcPr>
          <w:p w14:paraId="28C5DDEB" w14:textId="77777777" w:rsidR="00945D18" w:rsidRPr="0043215C" w:rsidRDefault="00945D18" w:rsidP="00651F36">
            <w:pPr>
              <w:pStyle w:val="BodyText"/>
              <w:jc w:val="center"/>
              <w:rPr>
                <w:rFonts w:asciiTheme="minorHAnsi" w:hAnsiTheme="minorHAnsi" w:cstheme="minorHAnsi"/>
                <w:sz w:val="20"/>
                <w:szCs w:val="20"/>
              </w:rPr>
            </w:pPr>
          </w:p>
        </w:tc>
      </w:tr>
      <w:tr w:rsidR="00945D18" w:rsidRPr="0043215C" w14:paraId="28112F69" w14:textId="77777777" w:rsidTr="00651F36">
        <w:trPr>
          <w:cantSplit/>
        </w:trPr>
        <w:tc>
          <w:tcPr>
            <w:tcW w:w="4173" w:type="dxa"/>
            <w:shd w:val="clear" w:color="auto" w:fill="D9E2F3" w:themeFill="accent1" w:themeFillTint="33"/>
          </w:tcPr>
          <w:p w14:paraId="15F6D96D"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REI Optional 3: Reduced loss of load (%)</w:t>
            </w:r>
          </w:p>
        </w:tc>
        <w:tc>
          <w:tcPr>
            <w:tcW w:w="5182" w:type="dxa"/>
            <w:gridSpan w:val="3"/>
            <w:vMerge/>
          </w:tcPr>
          <w:p w14:paraId="39FFDEC0" w14:textId="77777777" w:rsidR="00945D18" w:rsidRPr="0043215C" w:rsidRDefault="00945D18" w:rsidP="00651F36">
            <w:pPr>
              <w:pStyle w:val="BodyText"/>
              <w:jc w:val="center"/>
              <w:rPr>
                <w:rFonts w:asciiTheme="minorHAnsi" w:hAnsiTheme="minorHAnsi" w:cstheme="minorHAnsi"/>
                <w:sz w:val="20"/>
                <w:szCs w:val="20"/>
              </w:rPr>
            </w:pPr>
          </w:p>
        </w:tc>
      </w:tr>
      <w:tr w:rsidR="00945D18" w:rsidRPr="0043215C" w14:paraId="3C19D388" w14:textId="77777777" w:rsidTr="00651F36">
        <w:trPr>
          <w:cantSplit/>
        </w:trPr>
        <w:tc>
          <w:tcPr>
            <w:tcW w:w="4173" w:type="dxa"/>
            <w:shd w:val="clear" w:color="auto" w:fill="D9E2F3" w:themeFill="accent1" w:themeFillTint="33"/>
          </w:tcPr>
          <w:p w14:paraId="3654A9CF"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REI Optional 4: Reduced reserve inadequacy (% or MW)</w:t>
            </w:r>
          </w:p>
        </w:tc>
        <w:tc>
          <w:tcPr>
            <w:tcW w:w="5182" w:type="dxa"/>
            <w:gridSpan w:val="3"/>
            <w:vMerge/>
          </w:tcPr>
          <w:p w14:paraId="69033BCB" w14:textId="77777777" w:rsidR="00945D18" w:rsidRPr="0043215C" w:rsidRDefault="00945D18" w:rsidP="00651F36">
            <w:pPr>
              <w:pStyle w:val="BodyText"/>
              <w:jc w:val="center"/>
              <w:rPr>
                <w:rFonts w:asciiTheme="minorHAnsi" w:hAnsiTheme="minorHAnsi" w:cstheme="minorHAnsi"/>
                <w:sz w:val="20"/>
                <w:szCs w:val="20"/>
              </w:rPr>
            </w:pPr>
          </w:p>
        </w:tc>
      </w:tr>
      <w:tr w:rsidR="00945D18" w:rsidRPr="0043215C" w14:paraId="49825646" w14:textId="77777777" w:rsidTr="00651F36">
        <w:trPr>
          <w:cantSplit/>
        </w:trPr>
        <w:tc>
          <w:tcPr>
            <w:tcW w:w="4173" w:type="dxa"/>
            <w:shd w:val="clear" w:color="auto" w:fill="D9E2F3" w:themeFill="accent1" w:themeFillTint="33"/>
          </w:tcPr>
          <w:p w14:paraId="45D4DAC1"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REI Optional 5: Reduction in unplanned system outages (#)</w:t>
            </w:r>
          </w:p>
        </w:tc>
        <w:tc>
          <w:tcPr>
            <w:tcW w:w="5182" w:type="dxa"/>
            <w:gridSpan w:val="3"/>
            <w:vMerge/>
          </w:tcPr>
          <w:p w14:paraId="11D8E97F" w14:textId="77777777" w:rsidR="00945D18" w:rsidRPr="0043215C" w:rsidRDefault="00945D18" w:rsidP="00651F36">
            <w:pPr>
              <w:pStyle w:val="BodyText"/>
              <w:jc w:val="center"/>
              <w:rPr>
                <w:rFonts w:asciiTheme="minorHAnsi" w:hAnsiTheme="minorHAnsi" w:cstheme="minorHAnsi"/>
                <w:sz w:val="20"/>
                <w:szCs w:val="20"/>
              </w:rPr>
            </w:pPr>
          </w:p>
        </w:tc>
      </w:tr>
      <w:tr w:rsidR="00945D18" w:rsidRPr="0043215C" w14:paraId="57778AAF" w14:textId="77777777" w:rsidTr="00651F36">
        <w:trPr>
          <w:cantSplit/>
        </w:trPr>
        <w:tc>
          <w:tcPr>
            <w:tcW w:w="4173" w:type="dxa"/>
            <w:shd w:val="clear" w:color="auto" w:fill="D9E2F3" w:themeFill="accent1" w:themeFillTint="33"/>
          </w:tcPr>
          <w:p w14:paraId="28348A8E"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 xml:space="preserve">REI Optional 7: Number of innovative products, services, technologies, and processes that have entered a new market context </w:t>
            </w:r>
          </w:p>
        </w:tc>
        <w:tc>
          <w:tcPr>
            <w:tcW w:w="5182" w:type="dxa"/>
            <w:gridSpan w:val="3"/>
            <w:vMerge/>
          </w:tcPr>
          <w:p w14:paraId="02B43C3C" w14:textId="77777777" w:rsidR="00945D18" w:rsidRPr="0043215C" w:rsidRDefault="00945D18" w:rsidP="00651F36">
            <w:pPr>
              <w:pStyle w:val="BodyText"/>
              <w:jc w:val="center"/>
              <w:rPr>
                <w:rFonts w:asciiTheme="minorHAnsi" w:hAnsiTheme="minorHAnsi" w:cstheme="minorHAnsi"/>
                <w:sz w:val="20"/>
                <w:szCs w:val="20"/>
              </w:rPr>
            </w:pPr>
          </w:p>
        </w:tc>
      </w:tr>
    </w:tbl>
    <w:p w14:paraId="201040F5" w14:textId="77777777" w:rsidR="00945D18" w:rsidRPr="0043215C" w:rsidRDefault="00945D18" w:rsidP="00945D18">
      <w:pPr>
        <w:pStyle w:val="BodyText"/>
        <w:rPr>
          <w:rFonts w:asciiTheme="minorHAnsi" w:hAnsiTheme="minorHAnsi" w:cstheme="minorHAnsi"/>
          <w:sz w:val="20"/>
          <w:szCs w:val="20"/>
        </w:rPr>
      </w:pPr>
    </w:p>
    <w:p w14:paraId="2A98B845" w14:textId="77777777" w:rsidR="00945D18" w:rsidRPr="0043215C" w:rsidRDefault="00945D18" w:rsidP="00945D18">
      <w:pPr>
        <w:pStyle w:val="BodyText"/>
        <w:jc w:val="both"/>
        <w:rPr>
          <w:rFonts w:asciiTheme="minorHAnsi" w:hAnsiTheme="minorHAnsi" w:cstheme="minorHAnsi"/>
          <w:sz w:val="20"/>
          <w:szCs w:val="20"/>
        </w:rPr>
      </w:pPr>
      <w:r w:rsidRPr="0043215C">
        <w:rPr>
          <w:rFonts w:asciiTheme="minorHAnsi" w:hAnsiTheme="minorHAnsi" w:cstheme="minorHAnsi"/>
          <w:i/>
          <w:iCs/>
          <w:sz w:val="20"/>
          <w:szCs w:val="20"/>
        </w:rPr>
        <w:t xml:space="preserve">[Elaborate details of how each project / component will contribute to these indicators. Note that the REI M&amp;R System expects targets to be set for each indicator]. </w:t>
      </w:r>
      <w:r w:rsidRPr="0043215C">
        <w:rPr>
          <w:rFonts w:asciiTheme="minorHAnsi" w:hAnsiTheme="minorHAnsi" w:cstheme="minorHAnsi"/>
          <w:sz w:val="20"/>
          <w:szCs w:val="20"/>
        </w:rPr>
        <w:t>See respective annexes on each Component Brief for further details of results indicators and target values.</w:t>
      </w:r>
    </w:p>
    <w:p w14:paraId="4FAE6315" w14:textId="138340B7" w:rsidR="00CA0053" w:rsidRPr="00CA0053" w:rsidRDefault="00945D18" w:rsidP="722B49A1">
      <w:pPr>
        <w:pStyle w:val="Heading2"/>
        <w:rPr>
          <w:sz w:val="20"/>
          <w:szCs w:val="20"/>
        </w:rPr>
      </w:pPr>
      <w:bookmarkStart w:id="151" w:name="_Toc170319848"/>
      <w:r w:rsidRPr="722B49A1">
        <w:rPr>
          <w:sz w:val="20"/>
          <w:szCs w:val="20"/>
        </w:rPr>
        <w:lastRenderedPageBreak/>
        <w:t>Program Output Results</w:t>
      </w:r>
      <w:bookmarkEnd w:id="151"/>
      <w:r w:rsidRPr="722B49A1">
        <w:rPr>
          <w:sz w:val="20"/>
          <w:szCs w:val="20"/>
        </w:rPr>
        <w:t xml:space="preserve"> </w:t>
      </w:r>
    </w:p>
    <w:p w14:paraId="16934D50" w14:textId="101A99A5" w:rsidR="00945D18" w:rsidRPr="0043215C" w:rsidRDefault="00945D18" w:rsidP="00945D18">
      <w:pPr>
        <w:pStyle w:val="BodyText"/>
        <w:jc w:val="both"/>
        <w:rPr>
          <w:rFonts w:asciiTheme="minorHAnsi" w:hAnsiTheme="minorHAnsi" w:cstheme="minorHAnsi"/>
          <w:sz w:val="20"/>
          <w:szCs w:val="20"/>
        </w:rPr>
      </w:pPr>
      <w:r w:rsidRPr="0043215C">
        <w:rPr>
          <w:rFonts w:asciiTheme="minorHAnsi" w:hAnsiTheme="minorHAnsi" w:cstheme="minorHAnsi"/>
          <w:sz w:val="20"/>
          <w:szCs w:val="20"/>
        </w:rPr>
        <w:t xml:space="preserve">Program output result indicators are chosen for specific projects or components as applicable. These indicators are selected independently, drawing from REI Optional Indicators (numbered 8 through 18 for output level). See </w:t>
      </w:r>
      <w:r w:rsidR="005B7561" w:rsidRPr="0043215C">
        <w:rPr>
          <w:rFonts w:asciiTheme="minorHAnsi" w:hAnsiTheme="minorHAnsi" w:cstheme="minorHAnsi"/>
          <w:sz w:val="20"/>
          <w:szCs w:val="20"/>
        </w:rPr>
        <w:t xml:space="preserve">Table </w:t>
      </w:r>
      <w:r w:rsidRPr="0043215C">
        <w:rPr>
          <w:rFonts w:asciiTheme="minorHAnsi" w:hAnsiTheme="minorHAnsi" w:cstheme="minorHAnsi"/>
          <w:sz w:val="20"/>
          <w:szCs w:val="20"/>
        </w:rPr>
        <w:t>4.</w:t>
      </w:r>
    </w:p>
    <w:p w14:paraId="180CCF43" w14:textId="77777777" w:rsidR="00945D18" w:rsidRPr="0043215C" w:rsidRDefault="00945D18" w:rsidP="00945D18">
      <w:pPr>
        <w:pStyle w:val="BodyText"/>
        <w:rPr>
          <w:rFonts w:asciiTheme="minorHAnsi" w:hAnsiTheme="minorHAnsi" w:cstheme="minorBidi"/>
          <w:sz w:val="20"/>
          <w:szCs w:val="20"/>
        </w:rPr>
      </w:pPr>
    </w:p>
    <w:p w14:paraId="1BFC40FA" w14:textId="188D3C8A" w:rsidR="00945D18" w:rsidRPr="0043215C" w:rsidRDefault="00945D18" w:rsidP="722B49A1">
      <w:pPr>
        <w:pStyle w:val="Caption"/>
        <w:keepNext/>
        <w:jc w:val="left"/>
        <w:rPr>
          <w:sz w:val="20"/>
          <w:szCs w:val="20"/>
        </w:rPr>
      </w:pPr>
      <w:r w:rsidRPr="722B49A1">
        <w:rPr>
          <w:sz w:val="20"/>
          <w:szCs w:val="20"/>
        </w:rPr>
        <w:t>Table 4: Program Output indicators for Türkiye CTF-REI IP by component</w:t>
      </w:r>
    </w:p>
    <w:tbl>
      <w:tblPr>
        <w:tblStyle w:val="TableGrid"/>
        <w:tblW w:w="935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263"/>
        <w:gridCol w:w="1611"/>
        <w:gridCol w:w="2050"/>
        <w:gridCol w:w="1431"/>
      </w:tblGrid>
      <w:tr w:rsidR="00945D18" w:rsidRPr="0043215C" w14:paraId="1D7472E6" w14:textId="77777777" w:rsidTr="00651F36">
        <w:trPr>
          <w:cantSplit/>
          <w:tblHeader/>
        </w:trPr>
        <w:tc>
          <w:tcPr>
            <w:tcW w:w="4263" w:type="dxa"/>
            <w:shd w:val="clear" w:color="auto" w:fill="FFF2CC" w:themeFill="accent4" w:themeFillTint="33"/>
          </w:tcPr>
          <w:p w14:paraId="37557E3A"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Program Output Results Indicators</w:t>
            </w:r>
          </w:p>
        </w:tc>
        <w:tc>
          <w:tcPr>
            <w:tcW w:w="1611" w:type="dxa"/>
            <w:shd w:val="clear" w:color="auto" w:fill="FFF2CC" w:themeFill="accent4" w:themeFillTint="33"/>
          </w:tcPr>
          <w:p w14:paraId="65D854E1"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1. Transforming the Power Transmission System for REI</w:t>
            </w:r>
          </w:p>
        </w:tc>
        <w:tc>
          <w:tcPr>
            <w:tcW w:w="2050" w:type="dxa"/>
            <w:shd w:val="clear" w:color="auto" w:fill="FFF2CC" w:themeFill="accent4" w:themeFillTint="33"/>
          </w:tcPr>
          <w:p w14:paraId="373D2577" w14:textId="23FEC9B2" w:rsidR="00945D18" w:rsidRPr="0043215C" w:rsidRDefault="00945D18" w:rsidP="00651F36">
            <w:pPr>
              <w:pStyle w:val="BodyText"/>
              <w:rPr>
                <w:rFonts w:asciiTheme="minorHAnsi" w:hAnsiTheme="minorHAnsi" w:cstheme="minorBidi"/>
                <w:sz w:val="20"/>
                <w:szCs w:val="20"/>
              </w:rPr>
            </w:pPr>
            <w:r w:rsidRPr="095F79A2">
              <w:rPr>
                <w:rFonts w:asciiTheme="minorHAnsi" w:hAnsiTheme="minorHAnsi" w:cstheme="minorBidi"/>
                <w:sz w:val="20"/>
                <w:szCs w:val="20"/>
              </w:rPr>
              <w:t xml:space="preserve">2. Power System Flexibility, Balancing, Stabilization and Strengthening Power </w:t>
            </w:r>
            <w:r w:rsidR="1BCF263C" w:rsidRPr="095F79A2">
              <w:rPr>
                <w:rFonts w:asciiTheme="minorHAnsi" w:hAnsiTheme="minorHAnsi" w:cstheme="minorBidi"/>
                <w:sz w:val="20"/>
                <w:szCs w:val="20"/>
              </w:rPr>
              <w:t>Infrastructure</w:t>
            </w:r>
          </w:p>
        </w:tc>
        <w:tc>
          <w:tcPr>
            <w:tcW w:w="1431" w:type="dxa"/>
            <w:shd w:val="clear" w:color="auto" w:fill="FFF2CC" w:themeFill="accent4" w:themeFillTint="33"/>
          </w:tcPr>
          <w:p w14:paraId="3FD30505"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3. Technical Assistance</w:t>
            </w:r>
          </w:p>
        </w:tc>
      </w:tr>
      <w:tr w:rsidR="00945D18" w:rsidRPr="0043215C" w14:paraId="6296D23E" w14:textId="77777777" w:rsidTr="00651F36">
        <w:trPr>
          <w:cantSplit/>
          <w:tblHeader/>
        </w:trPr>
        <w:tc>
          <w:tcPr>
            <w:tcW w:w="4263" w:type="dxa"/>
            <w:shd w:val="clear" w:color="auto" w:fill="D0CECE" w:themeFill="background2" w:themeFillShade="E6"/>
          </w:tcPr>
          <w:p w14:paraId="1768B27B" w14:textId="77777777" w:rsidR="00945D18" w:rsidRPr="0043215C" w:rsidRDefault="00945D18" w:rsidP="00651F36">
            <w:pPr>
              <w:pStyle w:val="BodyText"/>
              <w:rPr>
                <w:rFonts w:asciiTheme="minorHAnsi" w:hAnsiTheme="minorHAnsi" w:cstheme="minorHAnsi"/>
                <w:b/>
                <w:bCs/>
                <w:sz w:val="20"/>
                <w:szCs w:val="20"/>
              </w:rPr>
            </w:pPr>
            <w:r w:rsidRPr="0043215C">
              <w:rPr>
                <w:rFonts w:asciiTheme="minorHAnsi" w:hAnsiTheme="minorHAnsi" w:cstheme="minorHAnsi"/>
                <w:b/>
                <w:bCs/>
                <w:sz w:val="20"/>
                <w:szCs w:val="20"/>
              </w:rPr>
              <w:t>REI Optional Output Indicators</w:t>
            </w:r>
          </w:p>
        </w:tc>
        <w:tc>
          <w:tcPr>
            <w:tcW w:w="1611" w:type="dxa"/>
            <w:shd w:val="clear" w:color="auto" w:fill="D0CECE" w:themeFill="background2" w:themeFillShade="E6"/>
          </w:tcPr>
          <w:p w14:paraId="2693D2C1" w14:textId="77777777" w:rsidR="00945D18" w:rsidRPr="0043215C" w:rsidRDefault="00945D18" w:rsidP="00651F36">
            <w:pPr>
              <w:pStyle w:val="BodyText"/>
              <w:rPr>
                <w:rFonts w:asciiTheme="minorHAnsi" w:hAnsiTheme="minorHAnsi" w:cstheme="minorHAnsi"/>
                <w:sz w:val="20"/>
                <w:szCs w:val="20"/>
              </w:rPr>
            </w:pPr>
          </w:p>
        </w:tc>
        <w:tc>
          <w:tcPr>
            <w:tcW w:w="2050" w:type="dxa"/>
            <w:shd w:val="clear" w:color="auto" w:fill="D0CECE" w:themeFill="background2" w:themeFillShade="E6"/>
          </w:tcPr>
          <w:p w14:paraId="10090730" w14:textId="77777777" w:rsidR="00945D18" w:rsidRPr="0043215C" w:rsidRDefault="00945D18" w:rsidP="00651F36">
            <w:pPr>
              <w:pStyle w:val="BodyText"/>
              <w:rPr>
                <w:rFonts w:asciiTheme="minorHAnsi" w:hAnsiTheme="minorHAnsi" w:cstheme="minorHAnsi"/>
                <w:sz w:val="20"/>
                <w:szCs w:val="20"/>
              </w:rPr>
            </w:pPr>
          </w:p>
        </w:tc>
        <w:tc>
          <w:tcPr>
            <w:tcW w:w="1431" w:type="dxa"/>
            <w:shd w:val="clear" w:color="auto" w:fill="D0CECE" w:themeFill="background2" w:themeFillShade="E6"/>
          </w:tcPr>
          <w:p w14:paraId="45658472" w14:textId="77777777" w:rsidR="00945D18" w:rsidRPr="0043215C" w:rsidRDefault="00945D18" w:rsidP="00651F36">
            <w:pPr>
              <w:pStyle w:val="BodyText"/>
              <w:rPr>
                <w:rFonts w:asciiTheme="minorHAnsi" w:hAnsiTheme="minorHAnsi" w:cstheme="minorHAnsi"/>
                <w:sz w:val="20"/>
                <w:szCs w:val="20"/>
              </w:rPr>
            </w:pPr>
          </w:p>
        </w:tc>
      </w:tr>
      <w:tr w:rsidR="00945D18" w:rsidRPr="0043215C" w14:paraId="3670C06B" w14:textId="77777777" w:rsidTr="00651F36">
        <w:trPr>
          <w:cantSplit/>
        </w:trPr>
        <w:tc>
          <w:tcPr>
            <w:tcW w:w="4263" w:type="dxa"/>
            <w:shd w:val="clear" w:color="auto" w:fill="D9E2F3" w:themeFill="accent1" w:themeFillTint="33"/>
          </w:tcPr>
          <w:p w14:paraId="4F0C83A4"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REI Optional 8: Number of policies, regulations, codes, or standards supported to enhance the enabling environment for renewable energy uptake (#)</w:t>
            </w:r>
          </w:p>
        </w:tc>
        <w:tc>
          <w:tcPr>
            <w:tcW w:w="1611" w:type="dxa"/>
          </w:tcPr>
          <w:p w14:paraId="2E2312BB"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2050" w:type="dxa"/>
          </w:tcPr>
          <w:p w14:paraId="129255D8" w14:textId="77777777" w:rsidR="00945D18" w:rsidRPr="0043215C" w:rsidRDefault="00945D18" w:rsidP="00651F36">
            <w:pPr>
              <w:pStyle w:val="BodyText"/>
              <w:jc w:val="center"/>
              <w:rPr>
                <w:rFonts w:asciiTheme="minorHAnsi" w:hAnsiTheme="minorHAnsi" w:cstheme="minorHAnsi"/>
                <w:sz w:val="20"/>
                <w:szCs w:val="20"/>
                <w:highlight w:val="yellow"/>
              </w:rPr>
            </w:pPr>
            <w:r w:rsidRPr="0043215C">
              <w:rPr>
                <w:rFonts w:asciiTheme="minorHAnsi" w:hAnsiTheme="minorHAnsi" w:cstheme="minorHAnsi"/>
                <w:sz w:val="20"/>
                <w:szCs w:val="20"/>
              </w:rPr>
              <w:t>Applicable</w:t>
            </w:r>
          </w:p>
        </w:tc>
        <w:tc>
          <w:tcPr>
            <w:tcW w:w="1431" w:type="dxa"/>
          </w:tcPr>
          <w:p w14:paraId="12F40501"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r>
      <w:tr w:rsidR="00945D18" w:rsidRPr="0043215C" w14:paraId="294D471B" w14:textId="77777777" w:rsidTr="00651F36">
        <w:trPr>
          <w:cantSplit/>
        </w:trPr>
        <w:tc>
          <w:tcPr>
            <w:tcW w:w="4263" w:type="dxa"/>
            <w:shd w:val="clear" w:color="auto" w:fill="D9E2F3" w:themeFill="accent1" w:themeFillTint="33"/>
          </w:tcPr>
          <w:p w14:paraId="1E92A689"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REI Optional 9: Number of technical/financial analyses completed to enhance the enabling environment for renewable energy uptake (#)</w:t>
            </w:r>
          </w:p>
        </w:tc>
        <w:tc>
          <w:tcPr>
            <w:tcW w:w="1611" w:type="dxa"/>
          </w:tcPr>
          <w:p w14:paraId="7B0B8B31"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2050" w:type="dxa"/>
          </w:tcPr>
          <w:p w14:paraId="04E7C433" w14:textId="77777777" w:rsidR="00945D18" w:rsidRPr="0043215C" w:rsidRDefault="00945D18" w:rsidP="00651F36">
            <w:pPr>
              <w:pStyle w:val="BodyText"/>
              <w:jc w:val="center"/>
              <w:rPr>
                <w:rFonts w:asciiTheme="minorHAnsi" w:hAnsiTheme="minorHAnsi" w:cstheme="minorHAnsi"/>
                <w:sz w:val="20"/>
                <w:szCs w:val="20"/>
                <w:highlight w:val="yellow"/>
              </w:rPr>
            </w:pPr>
            <w:r w:rsidRPr="0043215C">
              <w:rPr>
                <w:rFonts w:asciiTheme="minorHAnsi" w:hAnsiTheme="minorHAnsi" w:cstheme="minorHAnsi"/>
                <w:sz w:val="20"/>
                <w:szCs w:val="20"/>
              </w:rPr>
              <w:t>Applicable</w:t>
            </w:r>
          </w:p>
        </w:tc>
        <w:tc>
          <w:tcPr>
            <w:tcW w:w="1431" w:type="dxa"/>
          </w:tcPr>
          <w:p w14:paraId="4A5E937F"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r>
      <w:tr w:rsidR="00945D18" w:rsidRPr="0043215C" w14:paraId="5D6F93CA" w14:textId="77777777" w:rsidTr="00651F36">
        <w:trPr>
          <w:cantSplit/>
        </w:trPr>
        <w:tc>
          <w:tcPr>
            <w:tcW w:w="4263" w:type="dxa"/>
            <w:shd w:val="clear" w:color="auto" w:fill="D9E2F3" w:themeFill="accent1" w:themeFillTint="33"/>
          </w:tcPr>
          <w:p w14:paraId="14AD93BA"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REI Optional 10: Number of persons trained on issues related to renewable energy markets and systems (#)</w:t>
            </w:r>
          </w:p>
        </w:tc>
        <w:tc>
          <w:tcPr>
            <w:tcW w:w="1611" w:type="dxa"/>
          </w:tcPr>
          <w:p w14:paraId="620913E5"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2050" w:type="dxa"/>
          </w:tcPr>
          <w:p w14:paraId="114D236B"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c>
          <w:tcPr>
            <w:tcW w:w="1431" w:type="dxa"/>
          </w:tcPr>
          <w:p w14:paraId="57547093"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r>
      <w:tr w:rsidR="00945D18" w:rsidRPr="0043215C" w14:paraId="6007D638" w14:textId="77777777" w:rsidTr="00651F36">
        <w:trPr>
          <w:cantSplit/>
        </w:trPr>
        <w:tc>
          <w:tcPr>
            <w:tcW w:w="4263" w:type="dxa"/>
            <w:shd w:val="clear" w:color="auto" w:fill="D9E2F3" w:themeFill="accent1" w:themeFillTint="33"/>
          </w:tcPr>
          <w:p w14:paraId="1C8584CD"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REI Optional 11: Number of supply management technologies, infrastructure, or other solutions deployed (#)</w:t>
            </w:r>
          </w:p>
        </w:tc>
        <w:tc>
          <w:tcPr>
            <w:tcW w:w="1611" w:type="dxa"/>
          </w:tcPr>
          <w:p w14:paraId="49446CD6"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c>
          <w:tcPr>
            <w:tcW w:w="2050" w:type="dxa"/>
          </w:tcPr>
          <w:p w14:paraId="611028B4"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c>
          <w:tcPr>
            <w:tcW w:w="1431" w:type="dxa"/>
          </w:tcPr>
          <w:p w14:paraId="43F66EDC"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r>
      <w:tr w:rsidR="00945D18" w:rsidRPr="0043215C" w14:paraId="59E86958" w14:textId="77777777" w:rsidTr="00651F36">
        <w:trPr>
          <w:cantSplit/>
        </w:trPr>
        <w:tc>
          <w:tcPr>
            <w:tcW w:w="4263" w:type="dxa"/>
            <w:shd w:val="clear" w:color="auto" w:fill="D9E2F3" w:themeFill="accent1" w:themeFillTint="33"/>
          </w:tcPr>
          <w:p w14:paraId="27B21C8E"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 xml:space="preserve">REI Optional 12: Number of demand management technologies, infrastructure, or other solutions deployed (#) </w:t>
            </w:r>
          </w:p>
        </w:tc>
        <w:tc>
          <w:tcPr>
            <w:tcW w:w="1611" w:type="dxa"/>
          </w:tcPr>
          <w:p w14:paraId="76FE30E0"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c>
          <w:tcPr>
            <w:tcW w:w="2050" w:type="dxa"/>
          </w:tcPr>
          <w:p w14:paraId="10A5F18C"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c>
          <w:tcPr>
            <w:tcW w:w="1431" w:type="dxa"/>
          </w:tcPr>
          <w:p w14:paraId="49303830"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r>
      <w:tr w:rsidR="00945D18" w:rsidRPr="0043215C" w14:paraId="2C052D29" w14:textId="77777777" w:rsidTr="00651F36">
        <w:trPr>
          <w:cantSplit/>
        </w:trPr>
        <w:tc>
          <w:tcPr>
            <w:tcW w:w="4263" w:type="dxa"/>
            <w:shd w:val="clear" w:color="auto" w:fill="D9E2F3" w:themeFill="accent1" w:themeFillTint="33"/>
          </w:tcPr>
          <w:p w14:paraId="441E41FD"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REI Optional 13: Number of energy storage systems installed (#)</w:t>
            </w:r>
          </w:p>
        </w:tc>
        <w:tc>
          <w:tcPr>
            <w:tcW w:w="1611" w:type="dxa"/>
          </w:tcPr>
          <w:p w14:paraId="57D66BC3"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c>
          <w:tcPr>
            <w:tcW w:w="2050" w:type="dxa"/>
          </w:tcPr>
          <w:p w14:paraId="57F10469"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1431" w:type="dxa"/>
          </w:tcPr>
          <w:p w14:paraId="5443118D"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r>
      <w:tr w:rsidR="00945D18" w:rsidRPr="0043215C" w14:paraId="6D979174" w14:textId="77777777" w:rsidTr="00651F36">
        <w:trPr>
          <w:cantSplit/>
        </w:trPr>
        <w:tc>
          <w:tcPr>
            <w:tcW w:w="4263" w:type="dxa"/>
            <w:shd w:val="clear" w:color="auto" w:fill="D9E2F3" w:themeFill="accent1" w:themeFillTint="33"/>
          </w:tcPr>
          <w:p w14:paraId="5DA236B0"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REI Optional 14: Number of end-use electrification solutions deployed (#)</w:t>
            </w:r>
          </w:p>
        </w:tc>
        <w:tc>
          <w:tcPr>
            <w:tcW w:w="1611" w:type="dxa"/>
          </w:tcPr>
          <w:p w14:paraId="3318F201"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c>
          <w:tcPr>
            <w:tcW w:w="2050" w:type="dxa"/>
          </w:tcPr>
          <w:p w14:paraId="5F08D1B3"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1431" w:type="dxa"/>
          </w:tcPr>
          <w:p w14:paraId="7061A8D9"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r>
      <w:tr w:rsidR="00945D18" w:rsidRPr="0043215C" w14:paraId="03798CC3" w14:textId="77777777" w:rsidTr="00651F36">
        <w:trPr>
          <w:cantSplit/>
        </w:trPr>
        <w:tc>
          <w:tcPr>
            <w:tcW w:w="4263" w:type="dxa"/>
            <w:shd w:val="clear" w:color="auto" w:fill="D9E2F3" w:themeFill="accent1" w:themeFillTint="33"/>
          </w:tcPr>
          <w:p w14:paraId="6AB3FC75"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REI Optional 15: Number of women and men reached with new end-use electrification solutions (# of people)</w:t>
            </w:r>
          </w:p>
        </w:tc>
        <w:tc>
          <w:tcPr>
            <w:tcW w:w="1611" w:type="dxa"/>
          </w:tcPr>
          <w:p w14:paraId="15E9154F"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c>
          <w:tcPr>
            <w:tcW w:w="2050" w:type="dxa"/>
          </w:tcPr>
          <w:p w14:paraId="29E33465"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c>
          <w:tcPr>
            <w:tcW w:w="1431" w:type="dxa"/>
          </w:tcPr>
          <w:p w14:paraId="0C5DBF1E"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r>
      <w:tr w:rsidR="00945D18" w:rsidRPr="0043215C" w14:paraId="3FEDB0A4" w14:textId="77777777" w:rsidTr="00651F36">
        <w:trPr>
          <w:cantSplit/>
        </w:trPr>
        <w:tc>
          <w:tcPr>
            <w:tcW w:w="4263" w:type="dxa"/>
            <w:shd w:val="clear" w:color="auto" w:fill="D9E2F3" w:themeFill="accent1" w:themeFillTint="33"/>
          </w:tcPr>
          <w:p w14:paraId="6919C46B"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ES.1.10 Installed power generated by the YEKA method</w:t>
            </w:r>
          </w:p>
        </w:tc>
        <w:tc>
          <w:tcPr>
            <w:tcW w:w="1611" w:type="dxa"/>
          </w:tcPr>
          <w:p w14:paraId="1C9123D3"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c>
          <w:tcPr>
            <w:tcW w:w="2050" w:type="dxa"/>
          </w:tcPr>
          <w:p w14:paraId="07181F29"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1431" w:type="dxa"/>
          </w:tcPr>
          <w:p w14:paraId="437022A3"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r>
      <w:tr w:rsidR="00945D18" w:rsidRPr="0043215C" w14:paraId="673AB381" w14:textId="77777777" w:rsidTr="00651F36">
        <w:trPr>
          <w:cantSplit/>
        </w:trPr>
        <w:tc>
          <w:tcPr>
            <w:tcW w:w="4263" w:type="dxa"/>
            <w:shd w:val="clear" w:color="auto" w:fill="D9E2F3" w:themeFill="accent1" w:themeFillTint="33"/>
          </w:tcPr>
          <w:p w14:paraId="1C9E4CDC"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ES.1.11 Road map prepared for wind, solar and wave energy technologies</w:t>
            </w:r>
          </w:p>
        </w:tc>
        <w:tc>
          <w:tcPr>
            <w:tcW w:w="1611" w:type="dxa"/>
          </w:tcPr>
          <w:p w14:paraId="7FF7601F"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c>
          <w:tcPr>
            <w:tcW w:w="2050" w:type="dxa"/>
          </w:tcPr>
          <w:p w14:paraId="502F7B0C"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c>
          <w:tcPr>
            <w:tcW w:w="1431" w:type="dxa"/>
          </w:tcPr>
          <w:p w14:paraId="489069E1"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r>
      <w:tr w:rsidR="00945D18" w:rsidRPr="0043215C" w14:paraId="2102F4DC" w14:textId="77777777" w:rsidTr="00651F36">
        <w:trPr>
          <w:cantSplit/>
        </w:trPr>
        <w:tc>
          <w:tcPr>
            <w:tcW w:w="4263" w:type="dxa"/>
            <w:shd w:val="clear" w:color="auto" w:fill="D9E2F3" w:themeFill="accent1" w:themeFillTint="33"/>
          </w:tcPr>
          <w:p w14:paraId="520542BD"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ES.2.2 Number of green charging stations</w:t>
            </w:r>
          </w:p>
        </w:tc>
        <w:tc>
          <w:tcPr>
            <w:tcW w:w="1611" w:type="dxa"/>
          </w:tcPr>
          <w:p w14:paraId="2EDE3590"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c>
          <w:tcPr>
            <w:tcW w:w="2050" w:type="dxa"/>
          </w:tcPr>
          <w:p w14:paraId="1DB9942E"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1431" w:type="dxa"/>
          </w:tcPr>
          <w:p w14:paraId="73766B65"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r>
      <w:tr w:rsidR="00945D18" w:rsidRPr="0043215C" w14:paraId="624E3FA8" w14:textId="77777777" w:rsidTr="00651F36">
        <w:trPr>
          <w:cantSplit/>
        </w:trPr>
        <w:tc>
          <w:tcPr>
            <w:tcW w:w="4263" w:type="dxa"/>
            <w:shd w:val="clear" w:color="auto" w:fill="D9E2F3" w:themeFill="accent1" w:themeFillTint="33"/>
          </w:tcPr>
          <w:p w14:paraId="09785672"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ES.3.4 Number of smart grids installed</w:t>
            </w:r>
          </w:p>
        </w:tc>
        <w:tc>
          <w:tcPr>
            <w:tcW w:w="1611" w:type="dxa"/>
          </w:tcPr>
          <w:p w14:paraId="68990191"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2050" w:type="dxa"/>
          </w:tcPr>
          <w:p w14:paraId="50DE13AE"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Applicable</w:t>
            </w:r>
          </w:p>
        </w:tc>
        <w:tc>
          <w:tcPr>
            <w:tcW w:w="1431" w:type="dxa"/>
          </w:tcPr>
          <w:p w14:paraId="72A5EBA6"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r>
      <w:tr w:rsidR="00945D18" w:rsidRPr="0043215C" w14:paraId="1A39958A" w14:textId="77777777" w:rsidTr="00651F36">
        <w:trPr>
          <w:cantSplit/>
        </w:trPr>
        <w:tc>
          <w:tcPr>
            <w:tcW w:w="4263" w:type="dxa"/>
            <w:shd w:val="clear" w:color="auto" w:fill="D9E2F3" w:themeFill="accent1" w:themeFillTint="33"/>
          </w:tcPr>
          <w:p w14:paraId="6EECEFB6" w14:textId="77777777" w:rsidR="00945D18" w:rsidRPr="0043215C" w:rsidRDefault="00945D18" w:rsidP="00651F36">
            <w:pPr>
              <w:pStyle w:val="BodyText"/>
              <w:rPr>
                <w:rFonts w:asciiTheme="minorHAnsi" w:hAnsiTheme="minorHAnsi" w:cstheme="minorHAnsi"/>
                <w:sz w:val="20"/>
                <w:szCs w:val="20"/>
              </w:rPr>
            </w:pPr>
            <w:r w:rsidRPr="0043215C">
              <w:rPr>
                <w:rFonts w:asciiTheme="minorHAnsi" w:hAnsiTheme="minorHAnsi" w:cstheme="minorHAnsi"/>
                <w:sz w:val="20"/>
                <w:szCs w:val="20"/>
              </w:rPr>
              <w:t>ES.3.6 Published “Digital in Energy in Türkiye Transformation Technologies Roadmap” (by 2025)</w:t>
            </w:r>
          </w:p>
        </w:tc>
        <w:tc>
          <w:tcPr>
            <w:tcW w:w="1611" w:type="dxa"/>
          </w:tcPr>
          <w:p w14:paraId="12B51799"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c>
          <w:tcPr>
            <w:tcW w:w="2050" w:type="dxa"/>
          </w:tcPr>
          <w:p w14:paraId="4857136F"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c>
          <w:tcPr>
            <w:tcW w:w="1431" w:type="dxa"/>
          </w:tcPr>
          <w:p w14:paraId="4F9174C5" w14:textId="77777777" w:rsidR="00945D18" w:rsidRPr="0043215C" w:rsidRDefault="00945D18" w:rsidP="00651F36">
            <w:pPr>
              <w:pStyle w:val="BodyText"/>
              <w:jc w:val="center"/>
              <w:rPr>
                <w:rFonts w:asciiTheme="minorHAnsi" w:hAnsiTheme="minorHAnsi" w:cstheme="minorHAnsi"/>
                <w:sz w:val="20"/>
                <w:szCs w:val="20"/>
              </w:rPr>
            </w:pPr>
            <w:r w:rsidRPr="0043215C">
              <w:rPr>
                <w:rFonts w:asciiTheme="minorHAnsi" w:hAnsiTheme="minorHAnsi" w:cstheme="minorHAnsi"/>
                <w:sz w:val="20"/>
                <w:szCs w:val="20"/>
              </w:rPr>
              <w:t>n/a</w:t>
            </w:r>
          </w:p>
        </w:tc>
      </w:tr>
    </w:tbl>
    <w:p w14:paraId="2E2A9F28" w14:textId="77777777" w:rsidR="00945D18" w:rsidRPr="0043215C" w:rsidRDefault="00945D18" w:rsidP="00945D18">
      <w:pPr>
        <w:pStyle w:val="BodyText"/>
        <w:rPr>
          <w:rFonts w:asciiTheme="minorHAnsi" w:hAnsiTheme="minorHAnsi" w:cstheme="minorHAnsi"/>
          <w:sz w:val="20"/>
          <w:szCs w:val="20"/>
        </w:rPr>
      </w:pPr>
      <w:r w:rsidRPr="0043215C">
        <w:rPr>
          <w:rFonts w:asciiTheme="minorHAnsi" w:hAnsiTheme="minorHAnsi" w:cstheme="minorHAnsi"/>
          <w:sz w:val="20"/>
          <w:szCs w:val="20"/>
        </w:rPr>
        <w:t>Note: Indicators marked ‘ES’ refer to those in Republic of Türkiye (2024) Climate Change Mitigation Strategy and Action Plan 2024-2030.</w:t>
      </w:r>
    </w:p>
    <w:p w14:paraId="5F4A1128" w14:textId="77777777" w:rsidR="00E87832" w:rsidRPr="0043215C" w:rsidRDefault="00E87832" w:rsidP="00E87832">
      <w:pPr>
        <w:rPr>
          <w:rFonts w:cstheme="minorHAnsi"/>
          <w:sz w:val="20"/>
          <w:szCs w:val="20"/>
        </w:rPr>
      </w:pPr>
      <w:bookmarkStart w:id="152" w:name="_Toc162898784"/>
      <w:bookmarkStart w:id="153" w:name="_Toc162898851"/>
      <w:bookmarkStart w:id="154" w:name="_Toc162962973"/>
      <w:bookmarkStart w:id="155" w:name="_Toc162964155"/>
      <w:bookmarkEnd w:id="149"/>
    </w:p>
    <w:p w14:paraId="5A9DE4F6" w14:textId="244B9B1B" w:rsidR="008F574F" w:rsidRPr="0043215C" w:rsidRDefault="00416E91" w:rsidP="00CA0053">
      <w:pPr>
        <w:jc w:val="left"/>
        <w:rPr>
          <w:sz w:val="20"/>
          <w:szCs w:val="20"/>
          <w:lang w:val="en-GB"/>
        </w:rPr>
      </w:pPr>
      <w:r w:rsidRPr="52B54638">
        <w:rPr>
          <w:sz w:val="20"/>
          <w:szCs w:val="20"/>
        </w:rPr>
        <w:br w:type="page"/>
      </w:r>
      <w:r w:rsidR="008F574F" w:rsidRPr="52B54638">
        <w:rPr>
          <w:sz w:val="20"/>
          <w:szCs w:val="20"/>
        </w:rPr>
        <w:lastRenderedPageBreak/>
        <w:t>Lis</w:t>
      </w:r>
      <w:r w:rsidR="008F574F" w:rsidRPr="52B54638">
        <w:rPr>
          <w:sz w:val="20"/>
          <w:szCs w:val="20"/>
          <w:lang w:val="en-GB"/>
        </w:rPr>
        <w:t>t of Annexes</w:t>
      </w:r>
      <w:bookmarkEnd w:id="152"/>
      <w:bookmarkEnd w:id="153"/>
      <w:bookmarkEnd w:id="154"/>
      <w:bookmarkEnd w:id="155"/>
    </w:p>
    <w:p w14:paraId="7665880E" w14:textId="77777777" w:rsidR="008F574F" w:rsidRPr="0043215C" w:rsidRDefault="008F574F" w:rsidP="00996556">
      <w:pPr>
        <w:pStyle w:val="Default"/>
        <w:numPr>
          <w:ilvl w:val="0"/>
          <w:numId w:val="5"/>
        </w:numPr>
        <w:spacing w:after="44"/>
        <w:rPr>
          <w:rFonts w:asciiTheme="minorHAnsi" w:hAnsiTheme="minorHAnsi" w:cstheme="minorBidi"/>
          <w:sz w:val="20"/>
          <w:szCs w:val="20"/>
          <w:lang w:val="en-GB"/>
        </w:rPr>
      </w:pPr>
      <w:r w:rsidRPr="52B54638">
        <w:rPr>
          <w:rFonts w:asciiTheme="minorHAnsi" w:hAnsiTheme="minorHAnsi" w:cstheme="minorBidi"/>
          <w:sz w:val="20"/>
          <w:szCs w:val="20"/>
          <w:lang w:val="en-GB"/>
        </w:rPr>
        <w:t xml:space="preserve">Assessment of Country’s Absorptive Capacity for Integration Activities </w:t>
      </w:r>
    </w:p>
    <w:p w14:paraId="3021875C" w14:textId="77777777" w:rsidR="008F574F" w:rsidRPr="0043215C" w:rsidRDefault="008F574F" w:rsidP="00996556">
      <w:pPr>
        <w:pStyle w:val="Default"/>
        <w:numPr>
          <w:ilvl w:val="0"/>
          <w:numId w:val="5"/>
        </w:numPr>
        <w:spacing w:after="44"/>
        <w:rPr>
          <w:rFonts w:asciiTheme="minorHAnsi" w:hAnsiTheme="minorHAnsi" w:cstheme="minorBidi"/>
          <w:sz w:val="20"/>
          <w:szCs w:val="20"/>
          <w:lang w:val="en-GB"/>
        </w:rPr>
      </w:pPr>
      <w:r w:rsidRPr="52B54638">
        <w:rPr>
          <w:rFonts w:asciiTheme="minorHAnsi" w:hAnsiTheme="minorHAnsi" w:cstheme="minorBidi"/>
          <w:sz w:val="20"/>
          <w:szCs w:val="20"/>
          <w:lang w:val="en-GB"/>
        </w:rPr>
        <w:t>RE Legislation and Executing Authorities</w:t>
      </w:r>
    </w:p>
    <w:p w14:paraId="11529B15" w14:textId="77777777" w:rsidR="008F574F" w:rsidRPr="0043215C" w:rsidRDefault="008F574F" w:rsidP="00996556">
      <w:pPr>
        <w:pStyle w:val="Default"/>
        <w:numPr>
          <w:ilvl w:val="0"/>
          <w:numId w:val="5"/>
        </w:numPr>
        <w:spacing w:after="44"/>
        <w:rPr>
          <w:rFonts w:asciiTheme="minorHAnsi" w:hAnsiTheme="minorHAnsi" w:cstheme="minorBidi"/>
          <w:sz w:val="20"/>
          <w:szCs w:val="20"/>
          <w:lang w:val="en-GB"/>
        </w:rPr>
      </w:pPr>
      <w:r w:rsidRPr="52B54638">
        <w:rPr>
          <w:rFonts w:asciiTheme="minorHAnsi" w:hAnsiTheme="minorHAnsi" w:cstheme="minorBidi"/>
          <w:sz w:val="20"/>
          <w:szCs w:val="20"/>
          <w:lang w:val="en-GB"/>
        </w:rPr>
        <w:t>Overview of the Power Sector</w:t>
      </w:r>
    </w:p>
    <w:p w14:paraId="2914331F" w14:textId="77777777" w:rsidR="008F574F" w:rsidRPr="0043215C" w:rsidRDefault="008F574F" w:rsidP="00996556">
      <w:pPr>
        <w:pStyle w:val="Default"/>
        <w:numPr>
          <w:ilvl w:val="0"/>
          <w:numId w:val="5"/>
        </w:numPr>
        <w:spacing w:after="44"/>
        <w:rPr>
          <w:rFonts w:asciiTheme="minorHAnsi" w:hAnsiTheme="minorHAnsi" w:cstheme="minorBidi"/>
          <w:sz w:val="20"/>
          <w:szCs w:val="20"/>
          <w:lang w:val="en-GB"/>
        </w:rPr>
      </w:pPr>
      <w:r w:rsidRPr="52B54638">
        <w:rPr>
          <w:rFonts w:asciiTheme="minorHAnsi" w:hAnsiTheme="minorHAnsi" w:cstheme="minorBidi"/>
          <w:sz w:val="20"/>
          <w:szCs w:val="20"/>
          <w:lang w:val="en-GB"/>
        </w:rPr>
        <w:t>Previous CIF / CTF Program in Türkiye</w:t>
      </w:r>
    </w:p>
    <w:p w14:paraId="06F9F279" w14:textId="77777777" w:rsidR="008F574F" w:rsidRPr="0043215C" w:rsidRDefault="008F574F" w:rsidP="00996556">
      <w:pPr>
        <w:pStyle w:val="Default"/>
        <w:numPr>
          <w:ilvl w:val="0"/>
          <w:numId w:val="5"/>
        </w:numPr>
        <w:spacing w:after="44"/>
        <w:rPr>
          <w:rFonts w:asciiTheme="minorHAnsi" w:hAnsiTheme="minorHAnsi" w:cstheme="minorBidi"/>
          <w:sz w:val="20"/>
          <w:szCs w:val="20"/>
          <w:lang w:val="en-GB"/>
        </w:rPr>
      </w:pPr>
      <w:r w:rsidRPr="52B54638">
        <w:rPr>
          <w:rFonts w:asciiTheme="minorHAnsi" w:hAnsiTheme="minorHAnsi" w:cstheme="minorBidi"/>
          <w:sz w:val="20"/>
          <w:szCs w:val="20"/>
          <w:lang w:val="en-GB"/>
        </w:rPr>
        <w:t xml:space="preserve">Development Co-Benefits </w:t>
      </w:r>
    </w:p>
    <w:p w14:paraId="3DD7C700" w14:textId="77777777" w:rsidR="008F574F" w:rsidRPr="0043215C" w:rsidRDefault="008F574F" w:rsidP="00996556">
      <w:pPr>
        <w:pStyle w:val="Default"/>
        <w:numPr>
          <w:ilvl w:val="0"/>
          <w:numId w:val="5"/>
        </w:numPr>
        <w:spacing w:after="44"/>
        <w:rPr>
          <w:rFonts w:asciiTheme="minorHAnsi" w:hAnsiTheme="minorHAnsi" w:cstheme="minorBidi"/>
          <w:sz w:val="20"/>
          <w:szCs w:val="20"/>
          <w:lang w:val="en-GB"/>
        </w:rPr>
      </w:pPr>
      <w:r w:rsidRPr="52B54638">
        <w:rPr>
          <w:rFonts w:asciiTheme="minorHAnsi" w:hAnsiTheme="minorHAnsi" w:cstheme="minorBidi"/>
          <w:sz w:val="20"/>
          <w:szCs w:val="20"/>
          <w:lang w:val="en-GB"/>
        </w:rPr>
        <w:t xml:space="preserve">Stakeholder consultations </w:t>
      </w:r>
    </w:p>
    <w:p w14:paraId="19FA29F0" w14:textId="77777777" w:rsidR="008F574F" w:rsidRPr="0043215C" w:rsidRDefault="008F574F" w:rsidP="00996556">
      <w:pPr>
        <w:pStyle w:val="Default"/>
        <w:numPr>
          <w:ilvl w:val="0"/>
          <w:numId w:val="5"/>
        </w:numPr>
        <w:rPr>
          <w:rFonts w:asciiTheme="minorHAnsi" w:hAnsiTheme="minorHAnsi" w:cstheme="minorBidi"/>
          <w:sz w:val="20"/>
          <w:szCs w:val="20"/>
          <w:lang w:val="en-GB"/>
        </w:rPr>
      </w:pPr>
      <w:r w:rsidRPr="52B54638">
        <w:rPr>
          <w:rFonts w:asciiTheme="minorHAnsi" w:hAnsiTheme="minorHAnsi" w:cstheme="minorBidi"/>
          <w:sz w:val="20"/>
          <w:szCs w:val="20"/>
          <w:lang w:val="en-GB"/>
        </w:rPr>
        <w:t xml:space="preserve">Existing activities in the field of renewable energy, particularly activities of other development partners </w:t>
      </w:r>
    </w:p>
    <w:p w14:paraId="2D2794FC" w14:textId="77777777" w:rsidR="008F574F" w:rsidRPr="0043215C" w:rsidRDefault="008F574F" w:rsidP="00996556">
      <w:pPr>
        <w:pStyle w:val="Default"/>
        <w:numPr>
          <w:ilvl w:val="0"/>
          <w:numId w:val="5"/>
        </w:numPr>
        <w:rPr>
          <w:rFonts w:asciiTheme="minorHAnsi" w:hAnsiTheme="minorHAnsi" w:cstheme="minorBidi"/>
          <w:sz w:val="20"/>
          <w:szCs w:val="20"/>
          <w:lang w:val="en-GB"/>
        </w:rPr>
      </w:pPr>
      <w:r w:rsidRPr="52B54638">
        <w:rPr>
          <w:rFonts w:asciiTheme="minorHAnsi" w:hAnsiTheme="minorHAnsi" w:cstheme="minorBidi"/>
          <w:sz w:val="20"/>
          <w:szCs w:val="20"/>
          <w:lang w:val="en-GB"/>
        </w:rPr>
        <w:t>Component 1 Brief</w:t>
      </w:r>
    </w:p>
    <w:p w14:paraId="628B553F" w14:textId="77777777" w:rsidR="008F574F" w:rsidRPr="0043215C" w:rsidRDefault="008F574F" w:rsidP="00996556">
      <w:pPr>
        <w:pStyle w:val="Default"/>
        <w:numPr>
          <w:ilvl w:val="0"/>
          <w:numId w:val="5"/>
        </w:numPr>
        <w:rPr>
          <w:rFonts w:asciiTheme="minorHAnsi" w:hAnsiTheme="minorHAnsi" w:cstheme="minorBidi"/>
          <w:sz w:val="20"/>
          <w:szCs w:val="20"/>
          <w:lang w:val="en-GB"/>
        </w:rPr>
      </w:pPr>
      <w:r w:rsidRPr="52B54638">
        <w:rPr>
          <w:rFonts w:asciiTheme="minorHAnsi" w:hAnsiTheme="minorHAnsi" w:cstheme="minorBidi"/>
          <w:sz w:val="20"/>
          <w:szCs w:val="20"/>
          <w:lang w:val="en-GB"/>
        </w:rPr>
        <w:t>Component 2 Brief</w:t>
      </w:r>
    </w:p>
    <w:p w14:paraId="40B8D146" w14:textId="59709D58" w:rsidR="007C03F8" w:rsidRPr="008673D2" w:rsidRDefault="007C03F8" w:rsidP="007C03F8">
      <w:pPr>
        <w:pStyle w:val="Default"/>
        <w:numPr>
          <w:ilvl w:val="0"/>
          <w:numId w:val="5"/>
        </w:numPr>
        <w:rPr>
          <w:rFonts w:asciiTheme="minorHAnsi" w:hAnsiTheme="minorHAnsi" w:cstheme="minorBidi"/>
          <w:sz w:val="20"/>
          <w:szCs w:val="20"/>
          <w:lang w:val="en-GB"/>
        </w:rPr>
      </w:pPr>
      <w:r>
        <w:rPr>
          <w:rFonts w:asciiTheme="minorHAnsi" w:hAnsiTheme="minorHAnsi" w:cstheme="minorBidi"/>
          <w:sz w:val="20"/>
          <w:szCs w:val="20"/>
          <w:lang w:val="en-GB"/>
        </w:rPr>
        <w:t xml:space="preserve">The </w:t>
      </w:r>
      <w:r>
        <w:rPr>
          <w:rFonts w:asciiTheme="minorHAnsi" w:hAnsiTheme="minorHAnsi" w:cstheme="minorBidi"/>
          <w:sz w:val="20"/>
          <w:szCs w:val="20"/>
          <w:lang w:val="en-GB"/>
        </w:rPr>
        <w:t xml:space="preserve">Correspondence on the </w:t>
      </w:r>
      <w:r>
        <w:rPr>
          <w:rFonts w:asciiTheme="minorHAnsi" w:hAnsiTheme="minorHAnsi" w:cstheme="minorBidi"/>
          <w:sz w:val="20"/>
          <w:szCs w:val="20"/>
          <w:lang w:val="en-GB"/>
        </w:rPr>
        <w:t>Government’s Final Decision on the Components 1 and 3</w:t>
      </w:r>
    </w:p>
    <w:p w14:paraId="797B0E56" w14:textId="41F10A1D" w:rsidR="00FE641D" w:rsidRDefault="008673D2" w:rsidP="00FE641D">
      <w:pPr>
        <w:pStyle w:val="Default"/>
        <w:numPr>
          <w:ilvl w:val="0"/>
          <w:numId w:val="5"/>
        </w:numPr>
        <w:rPr>
          <w:rFonts w:asciiTheme="minorHAnsi" w:hAnsiTheme="minorHAnsi" w:cstheme="minorBidi"/>
          <w:sz w:val="20"/>
          <w:szCs w:val="20"/>
          <w:lang w:val="en-GB"/>
        </w:rPr>
      </w:pPr>
      <w:r w:rsidRPr="52B54638">
        <w:rPr>
          <w:rFonts w:asciiTheme="minorHAnsi" w:hAnsiTheme="minorHAnsi" w:cstheme="minorBidi"/>
          <w:sz w:val="20"/>
          <w:szCs w:val="20"/>
          <w:lang w:val="en-GB"/>
        </w:rPr>
        <w:t>CIF Integrated Results Framework Toolkit- Renewable Energy Integration Program</w:t>
      </w:r>
    </w:p>
    <w:p w14:paraId="1DE392CF" w14:textId="636D7991" w:rsidR="095F79A2" w:rsidRDefault="095F79A2" w:rsidP="095F79A2">
      <w:pPr>
        <w:jc w:val="left"/>
        <w:rPr>
          <w:sz w:val="20"/>
          <w:szCs w:val="20"/>
        </w:rPr>
      </w:pPr>
    </w:p>
    <w:p w14:paraId="73B1DB95" w14:textId="605C1C2F" w:rsidR="0029433C" w:rsidRPr="0043215C" w:rsidRDefault="0029433C">
      <w:pPr>
        <w:jc w:val="left"/>
        <w:rPr>
          <w:rFonts w:cstheme="minorHAnsi"/>
          <w:sz w:val="20"/>
          <w:szCs w:val="20"/>
        </w:rPr>
        <w:sectPr w:rsidR="0029433C" w:rsidRPr="0043215C" w:rsidSect="00D40A77">
          <w:pgSz w:w="12240" w:h="15840"/>
          <w:pgMar w:top="1440" w:right="1440" w:bottom="1526" w:left="1440" w:header="720" w:footer="720" w:gutter="0"/>
          <w:cols w:space="720"/>
          <w:docGrid w:linePitch="360"/>
        </w:sectPr>
      </w:pPr>
    </w:p>
    <w:p w14:paraId="4FF25340" w14:textId="0BC37E5E" w:rsidR="00433959" w:rsidRPr="0043215C" w:rsidRDefault="00DE58D0" w:rsidP="00433959">
      <w:pPr>
        <w:pStyle w:val="Heading3"/>
        <w:rPr>
          <w:rFonts w:cstheme="minorHAnsi"/>
          <w:sz w:val="20"/>
          <w:szCs w:val="20"/>
        </w:rPr>
      </w:pPr>
      <w:bookmarkStart w:id="156" w:name="_Toc162962974"/>
      <w:bookmarkStart w:id="157" w:name="_Toc162964156"/>
      <w:bookmarkStart w:id="158" w:name="_Toc170319849"/>
      <w:r w:rsidRPr="0043215C">
        <w:rPr>
          <w:rFonts w:cstheme="minorHAnsi"/>
          <w:sz w:val="20"/>
          <w:szCs w:val="20"/>
        </w:rPr>
        <w:lastRenderedPageBreak/>
        <w:t>ANNEX 1</w:t>
      </w:r>
      <w:r w:rsidR="00433959" w:rsidRPr="0043215C">
        <w:rPr>
          <w:rFonts w:cstheme="minorHAnsi"/>
          <w:sz w:val="20"/>
          <w:szCs w:val="20"/>
        </w:rPr>
        <w:t>: Assessment of country’s absorptive capacity for integration activities</w:t>
      </w:r>
      <w:bookmarkEnd w:id="156"/>
      <w:bookmarkEnd w:id="157"/>
      <w:bookmarkEnd w:id="158"/>
      <w:r w:rsidR="00433959" w:rsidRPr="0043215C">
        <w:rPr>
          <w:rFonts w:cstheme="minorHAnsi"/>
          <w:sz w:val="20"/>
          <w:szCs w:val="20"/>
        </w:rPr>
        <w:t xml:space="preserve"> </w:t>
      </w:r>
    </w:p>
    <w:p w14:paraId="56A2B8F5" w14:textId="77777777" w:rsidR="000B46AF" w:rsidRPr="0043215C" w:rsidRDefault="000B46AF" w:rsidP="000B46AF">
      <w:pPr>
        <w:autoSpaceDE w:val="0"/>
        <w:autoSpaceDN w:val="0"/>
        <w:adjustRightInd w:val="0"/>
        <w:spacing w:after="0" w:line="240" w:lineRule="auto"/>
        <w:rPr>
          <w:rFonts w:cstheme="minorHAnsi"/>
          <w:i/>
          <w:sz w:val="20"/>
          <w:szCs w:val="20"/>
        </w:rPr>
      </w:pPr>
      <w:bookmarkStart w:id="159" w:name="_Toc162962975"/>
      <w:bookmarkStart w:id="160" w:name="_Toc162964157"/>
      <w:r w:rsidRPr="0043215C">
        <w:rPr>
          <w:rFonts w:cstheme="minorHAnsi"/>
          <w:i/>
          <w:iCs/>
          <w:sz w:val="20"/>
          <w:szCs w:val="20"/>
        </w:rPr>
        <w:t>Macroeconomic Context</w:t>
      </w:r>
    </w:p>
    <w:p w14:paraId="3B9E6446" w14:textId="77777777" w:rsidR="000B46AF" w:rsidRPr="0043215C" w:rsidRDefault="000B46AF" w:rsidP="000B46AF">
      <w:pPr>
        <w:autoSpaceDE w:val="0"/>
        <w:autoSpaceDN w:val="0"/>
        <w:adjustRightInd w:val="0"/>
        <w:spacing w:after="0" w:line="240" w:lineRule="auto"/>
        <w:rPr>
          <w:rFonts w:cstheme="minorHAnsi"/>
          <w:i/>
          <w:iCs/>
          <w:sz w:val="20"/>
          <w:szCs w:val="20"/>
        </w:rPr>
      </w:pPr>
    </w:p>
    <w:p w14:paraId="4679A008" w14:textId="6FD4AC16" w:rsidR="000B46AF" w:rsidRPr="0043215C" w:rsidRDefault="000B46AF" w:rsidP="000B46AF">
      <w:pPr>
        <w:autoSpaceDE w:val="0"/>
        <w:autoSpaceDN w:val="0"/>
        <w:adjustRightInd w:val="0"/>
        <w:spacing w:after="0" w:line="240" w:lineRule="auto"/>
        <w:rPr>
          <w:rFonts w:eastAsia="Calibri" w:cstheme="minorHAnsi"/>
          <w:sz w:val="20"/>
          <w:szCs w:val="20"/>
        </w:rPr>
      </w:pPr>
      <w:r w:rsidRPr="0043215C">
        <w:rPr>
          <w:rFonts w:eastAsia="Calibri" w:cstheme="minorHAnsi"/>
          <w:b/>
          <w:bCs/>
          <w:sz w:val="20"/>
          <w:szCs w:val="20"/>
        </w:rPr>
        <w:t>Türkiye’s rapid growth in recent decades (4.</w:t>
      </w:r>
      <w:r w:rsidR="00A803B5" w:rsidRPr="0043215C">
        <w:rPr>
          <w:rFonts w:eastAsia="Calibri" w:cstheme="minorHAnsi"/>
          <w:b/>
          <w:bCs/>
          <w:sz w:val="20"/>
          <w:szCs w:val="20"/>
        </w:rPr>
        <w:t>2</w:t>
      </w:r>
      <w:r w:rsidRPr="0043215C">
        <w:rPr>
          <w:rFonts w:eastAsia="Calibri" w:cstheme="minorHAnsi"/>
          <w:b/>
          <w:bCs/>
          <w:sz w:val="20"/>
          <w:szCs w:val="20"/>
        </w:rPr>
        <w:t xml:space="preserve"> percent in per capita terms on average over 2002-22) made it the </w:t>
      </w:r>
      <w:r w:rsidR="007F0C09" w:rsidRPr="0043215C">
        <w:rPr>
          <w:rFonts w:eastAsia="Calibri" w:cstheme="minorHAnsi"/>
          <w:b/>
          <w:bCs/>
          <w:sz w:val="20"/>
          <w:szCs w:val="20"/>
        </w:rPr>
        <w:t>24</w:t>
      </w:r>
      <w:r w:rsidR="007F0C09" w:rsidRPr="0043215C">
        <w:rPr>
          <w:rFonts w:eastAsia="Calibri" w:cstheme="minorHAnsi"/>
          <w:b/>
          <w:bCs/>
          <w:sz w:val="20"/>
          <w:szCs w:val="20"/>
          <w:vertAlign w:val="superscript"/>
        </w:rPr>
        <w:t>th</w:t>
      </w:r>
      <w:r w:rsidRPr="0043215C">
        <w:rPr>
          <w:rFonts w:eastAsia="Calibri" w:cstheme="minorHAnsi"/>
          <w:b/>
          <w:bCs/>
          <w:sz w:val="20"/>
          <w:szCs w:val="20"/>
        </w:rPr>
        <w:t xml:space="preserve"> fastest growing country in the world over that period. </w:t>
      </w:r>
      <w:r w:rsidRPr="0043215C">
        <w:rPr>
          <w:rFonts w:eastAsia="Calibri" w:cstheme="minorHAnsi"/>
          <w:sz w:val="20"/>
          <w:szCs w:val="20"/>
        </w:rPr>
        <w:t>While the COVID-19 pandemic had a negative impact on growth, Türkiye still managed to have growth in 2020 (1.9 percent). This performance was largely due to the government’s economic response to the pandemic, focusing on loosening monetary policy and rapid credit expansion. Moreover, supported by domestic and external demand, Türkiye achieved double-digit GDP growth in 2021 (11.4 percent) and maintained significant momentum in 2022 (5.5 percent) and 2023 (4.5 percent).</w:t>
      </w:r>
    </w:p>
    <w:p w14:paraId="42FD1B23" w14:textId="77777777" w:rsidR="000B46AF" w:rsidRPr="0043215C" w:rsidRDefault="000B46AF" w:rsidP="000B46AF">
      <w:pPr>
        <w:autoSpaceDE w:val="0"/>
        <w:autoSpaceDN w:val="0"/>
        <w:adjustRightInd w:val="0"/>
        <w:spacing w:after="0" w:line="240" w:lineRule="auto"/>
        <w:rPr>
          <w:rFonts w:eastAsia="Calibri" w:cstheme="minorHAnsi"/>
          <w:sz w:val="20"/>
          <w:szCs w:val="20"/>
        </w:rPr>
      </w:pPr>
      <w:r w:rsidRPr="0043215C">
        <w:rPr>
          <w:rFonts w:eastAsia="Calibri" w:cstheme="minorHAnsi"/>
          <w:sz w:val="20"/>
          <w:szCs w:val="20"/>
        </w:rPr>
        <w:t xml:space="preserve"> </w:t>
      </w:r>
    </w:p>
    <w:p w14:paraId="51786627" w14:textId="390F015E" w:rsidR="00360CDD" w:rsidRPr="0043215C" w:rsidRDefault="000B46AF" w:rsidP="000B46AF">
      <w:pPr>
        <w:autoSpaceDE w:val="0"/>
        <w:autoSpaceDN w:val="0"/>
        <w:adjustRightInd w:val="0"/>
        <w:spacing w:after="0" w:line="240" w:lineRule="auto"/>
        <w:rPr>
          <w:rFonts w:eastAsia="Calibri" w:cstheme="minorHAnsi"/>
          <w:sz w:val="20"/>
          <w:szCs w:val="20"/>
        </w:rPr>
      </w:pPr>
      <w:r w:rsidRPr="1E9D41E1">
        <w:rPr>
          <w:rFonts w:eastAsia="Calibri"/>
          <w:b/>
          <w:sz w:val="20"/>
          <w:szCs w:val="20"/>
        </w:rPr>
        <w:t xml:space="preserve">However, the policy framework that ensured strong economic performance also heightened macroeconomic risks and created vulnerabilities in the economy, which have been compounded by the effects of other recent shocks. </w:t>
      </w:r>
      <w:r w:rsidRPr="1E9D41E1">
        <w:rPr>
          <w:rFonts w:eastAsia="Calibri"/>
          <w:sz w:val="20"/>
          <w:szCs w:val="20"/>
        </w:rPr>
        <w:t>The country has been affected by persistently high inflation in recent months (</w:t>
      </w:r>
      <w:r w:rsidR="007F0C09" w:rsidRPr="1E9D41E1">
        <w:rPr>
          <w:rFonts w:eastAsia="Calibri"/>
          <w:sz w:val="20"/>
          <w:szCs w:val="20"/>
        </w:rPr>
        <w:t>69</w:t>
      </w:r>
      <w:r w:rsidR="001A4D74" w:rsidRPr="1E9D41E1">
        <w:rPr>
          <w:rFonts w:eastAsia="Calibri"/>
          <w:sz w:val="20"/>
          <w:szCs w:val="20"/>
        </w:rPr>
        <w:t>.</w:t>
      </w:r>
      <w:r w:rsidR="007F0C09" w:rsidRPr="1E9D41E1">
        <w:rPr>
          <w:rFonts w:eastAsia="Calibri"/>
          <w:sz w:val="20"/>
          <w:szCs w:val="20"/>
        </w:rPr>
        <w:t>8</w:t>
      </w:r>
      <w:r w:rsidRPr="1E9D41E1">
        <w:rPr>
          <w:rFonts w:eastAsia="Calibri"/>
          <w:sz w:val="20"/>
          <w:szCs w:val="20"/>
        </w:rPr>
        <w:t xml:space="preserve"> percent in </w:t>
      </w:r>
      <w:r w:rsidR="005C5949" w:rsidRPr="1E9D41E1">
        <w:rPr>
          <w:rFonts w:eastAsia="Calibri"/>
          <w:sz w:val="20"/>
          <w:szCs w:val="20"/>
        </w:rPr>
        <w:t>Apr</w:t>
      </w:r>
      <w:r w:rsidR="005C5949" w:rsidRPr="1E9D41E1">
        <w:rPr>
          <w:rFonts w:eastAsia="Calibri"/>
          <w:sz w:val="20"/>
          <w:szCs w:val="20"/>
          <w:lang w:val="tr-TR"/>
        </w:rPr>
        <w:t>il</w:t>
      </w:r>
      <w:r w:rsidR="006D4C70" w:rsidRPr="1E9D41E1">
        <w:rPr>
          <w:rFonts w:eastAsia="Calibri"/>
          <w:sz w:val="20"/>
          <w:szCs w:val="20"/>
          <w:lang w:val="tr-TR"/>
        </w:rPr>
        <w:t xml:space="preserve"> </w:t>
      </w:r>
      <w:r w:rsidRPr="1E9D41E1">
        <w:rPr>
          <w:rFonts w:eastAsia="Calibri"/>
          <w:sz w:val="20"/>
          <w:szCs w:val="20"/>
        </w:rPr>
        <w:t>2024 after having peaked at 85.5 percent in October 2022) and the Turkish lira has depreciated sharply (</w:t>
      </w:r>
      <w:r w:rsidR="00070D95" w:rsidRPr="1E9D41E1">
        <w:rPr>
          <w:rFonts w:eastAsia="Calibri"/>
          <w:sz w:val="20"/>
          <w:szCs w:val="20"/>
        </w:rPr>
        <w:t>336</w:t>
      </w:r>
      <w:r w:rsidRPr="1E9D41E1">
        <w:rPr>
          <w:rFonts w:eastAsia="Calibri"/>
          <w:sz w:val="20"/>
          <w:szCs w:val="20"/>
        </w:rPr>
        <w:t xml:space="preserve"> percent against the dollar between January 2021 and </w:t>
      </w:r>
      <w:r w:rsidR="00070D95" w:rsidRPr="1E9D41E1">
        <w:rPr>
          <w:rFonts w:eastAsia="Calibri"/>
          <w:sz w:val="20"/>
          <w:szCs w:val="20"/>
        </w:rPr>
        <w:t>April</w:t>
      </w:r>
      <w:r w:rsidRPr="1E9D41E1">
        <w:rPr>
          <w:rFonts w:eastAsia="Calibri"/>
          <w:sz w:val="20"/>
          <w:szCs w:val="20"/>
        </w:rPr>
        <w:t xml:space="preserve"> 2024). This was accompanied by a decline in Central Bank reserve buffers, which started to recover after the May 2023 elections. But even before the emergence of these challenges, there were concerns about growth prospects given: (i) declines in the contribution of total factor productivity</w:t>
      </w:r>
      <w:r w:rsidR="009325EF" w:rsidRPr="1E9D41E1">
        <w:rPr>
          <w:rStyle w:val="FootnoteReference"/>
          <w:rFonts w:eastAsia="Calibri"/>
          <w:sz w:val="20"/>
          <w:szCs w:val="20"/>
        </w:rPr>
        <w:footnoteReference w:id="37"/>
      </w:r>
      <w:r w:rsidRPr="1E9D41E1">
        <w:rPr>
          <w:rFonts w:eastAsia="Calibri"/>
          <w:sz w:val="20"/>
          <w:szCs w:val="20"/>
        </w:rPr>
        <w:t xml:space="preserve"> to growth (down to 0.4 percentage points over 2016-2022 from 1.2 percentage points over 2004-2015); (ii) the trend and composition of investment, which since 2010 was mainly driven by residential and commercial property construction (i.e., a construction boom), despite a decline in recent years; and (iii) food price inflation diverging from global trends over the last ten years in Türkiye – also being higher than the overall inflation. </w:t>
      </w:r>
    </w:p>
    <w:p w14:paraId="5EC8F7F6" w14:textId="77777777" w:rsidR="008F574F" w:rsidRPr="0043215C" w:rsidRDefault="008F574F" w:rsidP="000B46AF">
      <w:pPr>
        <w:autoSpaceDE w:val="0"/>
        <w:autoSpaceDN w:val="0"/>
        <w:adjustRightInd w:val="0"/>
        <w:spacing w:after="0" w:line="240" w:lineRule="auto"/>
        <w:rPr>
          <w:rFonts w:eastAsia="Calibri" w:cstheme="minorHAnsi"/>
          <w:sz w:val="20"/>
          <w:szCs w:val="20"/>
        </w:rPr>
      </w:pPr>
    </w:p>
    <w:p w14:paraId="4C8405EC" w14:textId="787923EF" w:rsidR="000B46AF" w:rsidRPr="0043215C" w:rsidRDefault="000B46AF" w:rsidP="000B46AF">
      <w:pPr>
        <w:autoSpaceDE w:val="0"/>
        <w:autoSpaceDN w:val="0"/>
        <w:adjustRightInd w:val="0"/>
        <w:spacing w:after="0" w:line="240" w:lineRule="auto"/>
        <w:rPr>
          <w:rFonts w:eastAsia="Calibri" w:cstheme="minorHAnsi"/>
          <w:b/>
          <w:bCs/>
          <w:color w:val="000000" w:themeColor="text1"/>
          <w:sz w:val="20"/>
          <w:szCs w:val="20"/>
        </w:rPr>
      </w:pPr>
      <w:r w:rsidRPr="0043215C">
        <w:rPr>
          <w:rFonts w:eastAsia="Calibri" w:cstheme="minorHAnsi"/>
          <w:b/>
          <w:bCs/>
          <w:color w:val="000000" w:themeColor="text1"/>
          <w:sz w:val="20"/>
          <w:szCs w:val="20"/>
        </w:rPr>
        <w:t>Table 5: Türkiye: Key Economic Indicators</w:t>
      </w:r>
    </w:p>
    <w:p w14:paraId="5814BC16" w14:textId="77777777" w:rsidR="008F574F" w:rsidRPr="0043215C" w:rsidRDefault="008F574F" w:rsidP="000B46AF">
      <w:pPr>
        <w:autoSpaceDE w:val="0"/>
        <w:autoSpaceDN w:val="0"/>
        <w:adjustRightInd w:val="0"/>
        <w:spacing w:after="0" w:line="240" w:lineRule="auto"/>
        <w:rPr>
          <w:rFonts w:eastAsia="Calibri" w:cstheme="minorHAnsi"/>
          <w:b/>
          <w:bCs/>
          <w:sz w:val="20"/>
          <w:szCs w:val="2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6A0" w:firstRow="1" w:lastRow="0" w:firstColumn="1" w:lastColumn="0" w:noHBand="1" w:noVBand="1"/>
      </w:tblPr>
      <w:tblGrid>
        <w:gridCol w:w="4354"/>
        <w:gridCol w:w="676"/>
        <w:gridCol w:w="675"/>
        <w:gridCol w:w="675"/>
        <w:gridCol w:w="675"/>
        <w:gridCol w:w="678"/>
        <w:gridCol w:w="678"/>
        <w:gridCol w:w="678"/>
      </w:tblGrid>
      <w:tr w:rsidR="008A191B" w:rsidRPr="0043215C" w14:paraId="569593B3" w14:textId="77777777" w:rsidTr="008F574F">
        <w:trPr>
          <w:trHeight w:val="210"/>
        </w:trPr>
        <w:tc>
          <w:tcPr>
            <w:tcW w:w="4354" w:type="dxa"/>
            <w:shd w:val="clear" w:color="auto" w:fill="D9E2F3" w:themeFill="accent1" w:themeFillTint="33"/>
            <w:tcMar>
              <w:top w:w="15" w:type="dxa"/>
              <w:left w:w="15" w:type="dxa"/>
              <w:right w:w="15" w:type="dxa"/>
            </w:tcMar>
            <w:vAlign w:val="center"/>
          </w:tcPr>
          <w:p w14:paraId="1A0DB9C9" w14:textId="77777777" w:rsidR="001A4D74" w:rsidRPr="0043215C" w:rsidRDefault="001A4D74">
            <w:pPr>
              <w:spacing w:after="0"/>
              <w:jc w:val="right"/>
              <w:rPr>
                <w:rFonts w:cstheme="minorHAnsi"/>
                <w:color w:val="000000" w:themeColor="text1"/>
                <w:sz w:val="20"/>
                <w:szCs w:val="20"/>
              </w:rPr>
            </w:pPr>
          </w:p>
        </w:tc>
        <w:tc>
          <w:tcPr>
            <w:tcW w:w="676" w:type="dxa"/>
            <w:shd w:val="clear" w:color="auto" w:fill="D9E2F3" w:themeFill="accent1" w:themeFillTint="33"/>
            <w:tcMar>
              <w:top w:w="15" w:type="dxa"/>
              <w:left w:w="15" w:type="dxa"/>
              <w:right w:w="15" w:type="dxa"/>
            </w:tcMar>
            <w:vAlign w:val="center"/>
          </w:tcPr>
          <w:p w14:paraId="1B9D161C" w14:textId="77777777" w:rsidR="001A4D74" w:rsidRPr="0043215C" w:rsidRDefault="001A4D74">
            <w:pPr>
              <w:spacing w:after="0"/>
              <w:jc w:val="center"/>
              <w:rPr>
                <w:rFonts w:cstheme="minorHAnsi"/>
                <w:color w:val="000000" w:themeColor="text1"/>
                <w:sz w:val="20"/>
                <w:szCs w:val="20"/>
              </w:rPr>
            </w:pPr>
            <w:r w:rsidRPr="0043215C">
              <w:rPr>
                <w:rFonts w:eastAsia="Calibri" w:cstheme="minorHAnsi"/>
                <w:b/>
                <w:bCs/>
                <w:color w:val="000000" w:themeColor="text1"/>
                <w:sz w:val="20"/>
                <w:szCs w:val="20"/>
              </w:rPr>
              <w:t>2020</w:t>
            </w:r>
            <w:r w:rsidRPr="0043215C">
              <w:rPr>
                <w:rFonts w:eastAsia="Calibri" w:cstheme="minorHAnsi"/>
                <w:color w:val="000000" w:themeColor="text1"/>
                <w:sz w:val="20"/>
                <w:szCs w:val="20"/>
              </w:rPr>
              <w:t xml:space="preserve"> </w:t>
            </w:r>
          </w:p>
        </w:tc>
        <w:tc>
          <w:tcPr>
            <w:tcW w:w="675" w:type="dxa"/>
            <w:shd w:val="clear" w:color="auto" w:fill="D9E2F3" w:themeFill="accent1" w:themeFillTint="33"/>
            <w:tcMar>
              <w:top w:w="15" w:type="dxa"/>
              <w:left w:w="15" w:type="dxa"/>
              <w:right w:w="15" w:type="dxa"/>
            </w:tcMar>
            <w:vAlign w:val="center"/>
          </w:tcPr>
          <w:p w14:paraId="7465EB96" w14:textId="77777777" w:rsidR="001A4D74" w:rsidRPr="0043215C" w:rsidRDefault="001A4D74">
            <w:pPr>
              <w:spacing w:after="0"/>
              <w:jc w:val="center"/>
              <w:rPr>
                <w:rFonts w:cstheme="minorHAnsi"/>
                <w:color w:val="000000" w:themeColor="text1"/>
                <w:sz w:val="20"/>
                <w:szCs w:val="20"/>
              </w:rPr>
            </w:pPr>
            <w:r w:rsidRPr="0043215C">
              <w:rPr>
                <w:rFonts w:eastAsia="Calibri" w:cstheme="minorHAnsi"/>
                <w:b/>
                <w:bCs/>
                <w:color w:val="000000" w:themeColor="text1"/>
                <w:sz w:val="20"/>
                <w:szCs w:val="20"/>
              </w:rPr>
              <w:t>2021</w:t>
            </w:r>
            <w:r w:rsidRPr="0043215C">
              <w:rPr>
                <w:rFonts w:eastAsia="Calibri" w:cstheme="minorHAnsi"/>
                <w:color w:val="000000" w:themeColor="text1"/>
                <w:sz w:val="20"/>
                <w:szCs w:val="20"/>
              </w:rPr>
              <w:t xml:space="preserve"> </w:t>
            </w:r>
          </w:p>
        </w:tc>
        <w:tc>
          <w:tcPr>
            <w:tcW w:w="675" w:type="dxa"/>
            <w:shd w:val="clear" w:color="auto" w:fill="D9E2F3" w:themeFill="accent1" w:themeFillTint="33"/>
            <w:tcMar>
              <w:top w:w="15" w:type="dxa"/>
              <w:left w:w="15" w:type="dxa"/>
              <w:right w:w="15" w:type="dxa"/>
            </w:tcMar>
            <w:vAlign w:val="center"/>
          </w:tcPr>
          <w:p w14:paraId="050BDB46" w14:textId="77777777" w:rsidR="001A4D74" w:rsidRPr="0043215C" w:rsidRDefault="001A4D74">
            <w:pPr>
              <w:spacing w:after="0"/>
              <w:jc w:val="center"/>
              <w:rPr>
                <w:rFonts w:cstheme="minorHAnsi"/>
                <w:color w:val="000000" w:themeColor="text1"/>
                <w:sz w:val="20"/>
                <w:szCs w:val="20"/>
              </w:rPr>
            </w:pPr>
            <w:r w:rsidRPr="0043215C">
              <w:rPr>
                <w:rFonts w:eastAsia="Calibri" w:cstheme="minorHAnsi"/>
                <w:b/>
                <w:bCs/>
                <w:color w:val="000000" w:themeColor="text1"/>
                <w:sz w:val="20"/>
                <w:szCs w:val="20"/>
              </w:rPr>
              <w:t>2022</w:t>
            </w:r>
            <w:r w:rsidRPr="0043215C">
              <w:rPr>
                <w:rFonts w:eastAsia="Calibri" w:cstheme="minorHAnsi"/>
                <w:color w:val="000000" w:themeColor="text1"/>
                <w:sz w:val="20"/>
                <w:szCs w:val="20"/>
              </w:rPr>
              <w:t xml:space="preserve"> </w:t>
            </w:r>
          </w:p>
        </w:tc>
        <w:tc>
          <w:tcPr>
            <w:tcW w:w="675" w:type="dxa"/>
            <w:shd w:val="clear" w:color="auto" w:fill="D9E2F3" w:themeFill="accent1" w:themeFillTint="33"/>
            <w:tcMar>
              <w:top w:w="15" w:type="dxa"/>
              <w:left w:w="15" w:type="dxa"/>
              <w:right w:w="15" w:type="dxa"/>
            </w:tcMar>
            <w:vAlign w:val="center"/>
          </w:tcPr>
          <w:p w14:paraId="32E7B09F" w14:textId="77777777" w:rsidR="001A4D74" w:rsidRPr="0043215C" w:rsidRDefault="001A4D74">
            <w:pPr>
              <w:spacing w:after="0"/>
              <w:jc w:val="center"/>
              <w:rPr>
                <w:rFonts w:cstheme="minorHAnsi"/>
                <w:color w:val="000000" w:themeColor="text1"/>
                <w:sz w:val="20"/>
                <w:szCs w:val="20"/>
              </w:rPr>
            </w:pPr>
            <w:r w:rsidRPr="0043215C">
              <w:rPr>
                <w:rFonts w:eastAsia="Calibri" w:cstheme="minorHAnsi"/>
                <w:b/>
                <w:bCs/>
                <w:color w:val="000000" w:themeColor="text1"/>
                <w:sz w:val="20"/>
                <w:szCs w:val="20"/>
              </w:rPr>
              <w:t>2023</w:t>
            </w:r>
            <w:r w:rsidRPr="0043215C">
              <w:rPr>
                <w:rFonts w:eastAsia="Calibri" w:cstheme="minorHAnsi"/>
                <w:color w:val="000000" w:themeColor="text1"/>
                <w:sz w:val="20"/>
                <w:szCs w:val="20"/>
              </w:rPr>
              <w:t xml:space="preserve"> </w:t>
            </w:r>
          </w:p>
        </w:tc>
        <w:tc>
          <w:tcPr>
            <w:tcW w:w="678" w:type="dxa"/>
            <w:shd w:val="clear" w:color="auto" w:fill="D9E2F3" w:themeFill="accent1" w:themeFillTint="33"/>
            <w:tcMar>
              <w:top w:w="15" w:type="dxa"/>
              <w:left w:w="15" w:type="dxa"/>
              <w:right w:w="15" w:type="dxa"/>
            </w:tcMar>
            <w:vAlign w:val="center"/>
          </w:tcPr>
          <w:p w14:paraId="7D6F9355" w14:textId="77777777" w:rsidR="001A4D74" w:rsidRPr="0043215C" w:rsidRDefault="001A4D74">
            <w:pPr>
              <w:spacing w:after="0"/>
              <w:jc w:val="center"/>
              <w:rPr>
                <w:rFonts w:cstheme="minorHAnsi"/>
                <w:color w:val="000000" w:themeColor="text1"/>
                <w:sz w:val="20"/>
                <w:szCs w:val="20"/>
              </w:rPr>
            </w:pPr>
            <w:r w:rsidRPr="0043215C">
              <w:rPr>
                <w:rFonts w:eastAsia="Calibri" w:cstheme="minorHAnsi"/>
                <w:b/>
                <w:bCs/>
                <w:color w:val="000000" w:themeColor="text1"/>
                <w:sz w:val="20"/>
                <w:szCs w:val="20"/>
              </w:rPr>
              <w:t>2024</w:t>
            </w:r>
            <w:r w:rsidRPr="0043215C">
              <w:rPr>
                <w:rFonts w:eastAsia="Calibri" w:cstheme="minorHAnsi"/>
                <w:color w:val="000000" w:themeColor="text1"/>
                <w:sz w:val="20"/>
                <w:szCs w:val="20"/>
              </w:rPr>
              <w:t xml:space="preserve"> </w:t>
            </w:r>
          </w:p>
        </w:tc>
        <w:tc>
          <w:tcPr>
            <w:tcW w:w="678" w:type="dxa"/>
            <w:shd w:val="clear" w:color="auto" w:fill="D9E2F3" w:themeFill="accent1" w:themeFillTint="33"/>
            <w:tcMar>
              <w:top w:w="15" w:type="dxa"/>
              <w:left w:w="15" w:type="dxa"/>
              <w:right w:w="15" w:type="dxa"/>
            </w:tcMar>
            <w:vAlign w:val="center"/>
          </w:tcPr>
          <w:p w14:paraId="3C742056" w14:textId="77777777" w:rsidR="001A4D74" w:rsidRPr="0043215C" w:rsidRDefault="001A4D74">
            <w:pPr>
              <w:spacing w:after="0"/>
              <w:jc w:val="center"/>
              <w:rPr>
                <w:rFonts w:cstheme="minorHAnsi"/>
                <w:color w:val="000000" w:themeColor="text1"/>
                <w:sz w:val="20"/>
                <w:szCs w:val="20"/>
              </w:rPr>
            </w:pPr>
            <w:r w:rsidRPr="0043215C">
              <w:rPr>
                <w:rFonts w:eastAsia="Calibri" w:cstheme="minorHAnsi"/>
                <w:b/>
                <w:bCs/>
                <w:color w:val="000000" w:themeColor="text1"/>
                <w:sz w:val="20"/>
                <w:szCs w:val="20"/>
              </w:rPr>
              <w:t>2025</w:t>
            </w:r>
            <w:r w:rsidRPr="0043215C">
              <w:rPr>
                <w:rFonts w:eastAsia="Calibri" w:cstheme="minorHAnsi"/>
                <w:color w:val="000000" w:themeColor="text1"/>
                <w:sz w:val="20"/>
                <w:szCs w:val="20"/>
              </w:rPr>
              <w:t xml:space="preserve"> </w:t>
            </w:r>
          </w:p>
        </w:tc>
        <w:tc>
          <w:tcPr>
            <w:tcW w:w="678" w:type="dxa"/>
            <w:shd w:val="clear" w:color="auto" w:fill="D9E2F3" w:themeFill="accent1" w:themeFillTint="33"/>
            <w:tcMar>
              <w:top w:w="15" w:type="dxa"/>
              <w:left w:w="15" w:type="dxa"/>
              <w:right w:w="15" w:type="dxa"/>
            </w:tcMar>
            <w:vAlign w:val="center"/>
          </w:tcPr>
          <w:p w14:paraId="4E0951D7" w14:textId="77777777" w:rsidR="001A4D74" w:rsidRPr="0043215C" w:rsidRDefault="001A4D74">
            <w:pPr>
              <w:spacing w:after="0"/>
              <w:jc w:val="center"/>
              <w:rPr>
                <w:rFonts w:cstheme="minorHAnsi"/>
                <w:color w:val="000000" w:themeColor="text1"/>
                <w:sz w:val="20"/>
                <w:szCs w:val="20"/>
              </w:rPr>
            </w:pPr>
            <w:r w:rsidRPr="0043215C">
              <w:rPr>
                <w:rFonts w:eastAsia="Calibri" w:cstheme="minorHAnsi"/>
                <w:b/>
                <w:bCs/>
                <w:color w:val="000000" w:themeColor="text1"/>
                <w:sz w:val="20"/>
                <w:szCs w:val="20"/>
              </w:rPr>
              <w:t>2026</w:t>
            </w:r>
            <w:r w:rsidRPr="0043215C">
              <w:rPr>
                <w:rFonts w:eastAsia="Calibri" w:cstheme="minorHAnsi"/>
                <w:color w:val="000000" w:themeColor="text1"/>
                <w:sz w:val="20"/>
                <w:szCs w:val="20"/>
              </w:rPr>
              <w:t xml:space="preserve"> </w:t>
            </w:r>
          </w:p>
        </w:tc>
      </w:tr>
      <w:tr w:rsidR="001A4D74" w:rsidRPr="0043215C" w14:paraId="59A3432D" w14:textId="77777777" w:rsidTr="008F574F">
        <w:trPr>
          <w:trHeight w:val="210"/>
        </w:trPr>
        <w:tc>
          <w:tcPr>
            <w:tcW w:w="4354" w:type="dxa"/>
            <w:tcMar>
              <w:top w:w="15" w:type="dxa"/>
              <w:left w:w="15" w:type="dxa"/>
              <w:right w:w="15" w:type="dxa"/>
            </w:tcMar>
            <w:vAlign w:val="center"/>
          </w:tcPr>
          <w:p w14:paraId="435017C3" w14:textId="77777777" w:rsidR="001A4D74" w:rsidRPr="0043215C" w:rsidRDefault="001A4D74">
            <w:pPr>
              <w:spacing w:after="0"/>
              <w:rPr>
                <w:rFonts w:cstheme="minorHAnsi"/>
                <w:sz w:val="20"/>
                <w:szCs w:val="20"/>
              </w:rPr>
            </w:pPr>
            <w:r w:rsidRPr="0043215C">
              <w:rPr>
                <w:rFonts w:eastAsia="Calibri" w:cstheme="minorHAnsi"/>
                <w:b/>
                <w:bCs/>
                <w:color w:val="000000" w:themeColor="text1"/>
                <w:sz w:val="20"/>
                <w:szCs w:val="20"/>
              </w:rPr>
              <w:t>Real GDP growth, at constant market prices</w:t>
            </w:r>
            <w:r w:rsidRPr="0043215C">
              <w:rPr>
                <w:rFonts w:eastAsia="Calibri" w:cstheme="minorHAnsi"/>
                <w:color w:val="000000" w:themeColor="text1"/>
                <w:sz w:val="20"/>
                <w:szCs w:val="20"/>
              </w:rPr>
              <w:t xml:space="preserve"> </w:t>
            </w:r>
          </w:p>
        </w:tc>
        <w:tc>
          <w:tcPr>
            <w:tcW w:w="676" w:type="dxa"/>
            <w:tcMar>
              <w:top w:w="15" w:type="dxa"/>
              <w:left w:w="15" w:type="dxa"/>
              <w:right w:w="15" w:type="dxa"/>
            </w:tcMar>
            <w:vAlign w:val="center"/>
          </w:tcPr>
          <w:p w14:paraId="72AC7698"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1.9 </w:t>
            </w:r>
          </w:p>
        </w:tc>
        <w:tc>
          <w:tcPr>
            <w:tcW w:w="675" w:type="dxa"/>
            <w:tcMar>
              <w:top w:w="15" w:type="dxa"/>
              <w:left w:w="15" w:type="dxa"/>
              <w:right w:w="15" w:type="dxa"/>
            </w:tcMar>
            <w:vAlign w:val="center"/>
          </w:tcPr>
          <w:p w14:paraId="5D4E8E7E"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11.4 </w:t>
            </w:r>
          </w:p>
        </w:tc>
        <w:tc>
          <w:tcPr>
            <w:tcW w:w="675" w:type="dxa"/>
            <w:tcMar>
              <w:top w:w="15" w:type="dxa"/>
              <w:left w:w="15" w:type="dxa"/>
              <w:right w:w="15" w:type="dxa"/>
            </w:tcMar>
            <w:vAlign w:val="center"/>
          </w:tcPr>
          <w:p w14:paraId="29BD598E"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5.5 </w:t>
            </w:r>
          </w:p>
        </w:tc>
        <w:tc>
          <w:tcPr>
            <w:tcW w:w="675" w:type="dxa"/>
            <w:tcMar>
              <w:top w:w="15" w:type="dxa"/>
              <w:left w:w="15" w:type="dxa"/>
              <w:right w:w="15" w:type="dxa"/>
            </w:tcMar>
            <w:vAlign w:val="center"/>
          </w:tcPr>
          <w:p w14:paraId="602177FF"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4.5 </w:t>
            </w:r>
          </w:p>
        </w:tc>
        <w:tc>
          <w:tcPr>
            <w:tcW w:w="678" w:type="dxa"/>
            <w:tcMar>
              <w:top w:w="15" w:type="dxa"/>
              <w:left w:w="15" w:type="dxa"/>
              <w:right w:w="15" w:type="dxa"/>
            </w:tcMar>
            <w:vAlign w:val="bottom"/>
          </w:tcPr>
          <w:p w14:paraId="7F05628D" w14:textId="42D1962A"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3.</w:t>
            </w:r>
            <w:r w:rsidR="00F3351F" w:rsidRPr="0043215C">
              <w:rPr>
                <w:rStyle w:val="normaltextrun"/>
                <w:rFonts w:cstheme="minorHAnsi"/>
                <w:color w:val="000000"/>
                <w:sz w:val="20"/>
                <w:szCs w:val="20"/>
              </w:rPr>
              <w:t>0</w:t>
            </w:r>
            <w:r w:rsidR="00F3351F" w:rsidRPr="0043215C">
              <w:rPr>
                <w:rStyle w:val="eop"/>
                <w:rFonts w:cstheme="minorHAnsi"/>
                <w:color w:val="000000"/>
                <w:sz w:val="20"/>
                <w:szCs w:val="20"/>
              </w:rPr>
              <w:t> </w:t>
            </w:r>
          </w:p>
        </w:tc>
        <w:tc>
          <w:tcPr>
            <w:tcW w:w="678" w:type="dxa"/>
            <w:tcMar>
              <w:top w:w="15" w:type="dxa"/>
              <w:left w:w="15" w:type="dxa"/>
              <w:right w:w="15" w:type="dxa"/>
            </w:tcMar>
            <w:vAlign w:val="bottom"/>
          </w:tcPr>
          <w:p w14:paraId="0CA2B12A" w14:textId="05F8BDA2"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3.</w:t>
            </w:r>
            <w:r w:rsidR="00F3351F" w:rsidRPr="0043215C">
              <w:rPr>
                <w:rStyle w:val="normaltextrun"/>
                <w:rFonts w:cstheme="minorHAnsi"/>
                <w:color w:val="000000"/>
                <w:sz w:val="20"/>
                <w:szCs w:val="20"/>
              </w:rPr>
              <w:t>6</w:t>
            </w:r>
            <w:r w:rsidR="00F3351F" w:rsidRPr="0043215C">
              <w:rPr>
                <w:rStyle w:val="eop"/>
                <w:rFonts w:cstheme="minorHAnsi"/>
                <w:color w:val="000000"/>
                <w:sz w:val="20"/>
                <w:szCs w:val="20"/>
              </w:rPr>
              <w:t> </w:t>
            </w:r>
          </w:p>
        </w:tc>
        <w:tc>
          <w:tcPr>
            <w:tcW w:w="678" w:type="dxa"/>
            <w:tcMar>
              <w:top w:w="15" w:type="dxa"/>
              <w:left w:w="15" w:type="dxa"/>
              <w:right w:w="15" w:type="dxa"/>
            </w:tcMar>
            <w:vAlign w:val="bottom"/>
          </w:tcPr>
          <w:p w14:paraId="58734823" w14:textId="2DEF7A30"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4.</w:t>
            </w:r>
            <w:r w:rsidR="00F3351F" w:rsidRPr="0043215C">
              <w:rPr>
                <w:rStyle w:val="normaltextrun"/>
                <w:rFonts w:cstheme="minorHAnsi"/>
                <w:color w:val="000000"/>
                <w:sz w:val="20"/>
                <w:szCs w:val="20"/>
              </w:rPr>
              <w:t>3</w:t>
            </w:r>
            <w:r w:rsidR="00F3351F" w:rsidRPr="0043215C">
              <w:rPr>
                <w:rStyle w:val="eop"/>
                <w:rFonts w:cstheme="minorHAnsi"/>
                <w:color w:val="000000"/>
                <w:sz w:val="20"/>
                <w:szCs w:val="20"/>
              </w:rPr>
              <w:t> </w:t>
            </w:r>
          </w:p>
        </w:tc>
      </w:tr>
      <w:tr w:rsidR="001A4D74" w:rsidRPr="0043215C" w14:paraId="2411CD64" w14:textId="77777777" w:rsidTr="008F574F">
        <w:trPr>
          <w:trHeight w:val="210"/>
        </w:trPr>
        <w:tc>
          <w:tcPr>
            <w:tcW w:w="4354" w:type="dxa"/>
            <w:tcMar>
              <w:top w:w="15" w:type="dxa"/>
              <w:left w:w="15" w:type="dxa"/>
              <w:right w:w="15" w:type="dxa"/>
            </w:tcMar>
            <w:vAlign w:val="center"/>
          </w:tcPr>
          <w:p w14:paraId="6754F4BB" w14:textId="77777777" w:rsidR="001A4D74" w:rsidRPr="0043215C" w:rsidRDefault="001A4D74">
            <w:pPr>
              <w:spacing w:after="0"/>
              <w:rPr>
                <w:rFonts w:cstheme="minorHAnsi"/>
                <w:sz w:val="20"/>
                <w:szCs w:val="20"/>
              </w:rPr>
            </w:pPr>
            <w:r w:rsidRPr="0043215C">
              <w:rPr>
                <w:rFonts w:eastAsia="Calibri" w:cstheme="minorHAnsi"/>
                <w:color w:val="000000" w:themeColor="text1"/>
                <w:sz w:val="20"/>
                <w:szCs w:val="20"/>
              </w:rPr>
              <w:t xml:space="preserve">Private Consumption </w:t>
            </w:r>
          </w:p>
        </w:tc>
        <w:tc>
          <w:tcPr>
            <w:tcW w:w="676" w:type="dxa"/>
            <w:tcMar>
              <w:top w:w="15" w:type="dxa"/>
              <w:left w:w="15" w:type="dxa"/>
              <w:right w:w="15" w:type="dxa"/>
            </w:tcMar>
            <w:vAlign w:val="center"/>
          </w:tcPr>
          <w:p w14:paraId="413D8C8A"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3.2 </w:t>
            </w:r>
          </w:p>
        </w:tc>
        <w:tc>
          <w:tcPr>
            <w:tcW w:w="675" w:type="dxa"/>
            <w:tcMar>
              <w:top w:w="15" w:type="dxa"/>
              <w:left w:w="15" w:type="dxa"/>
              <w:right w:w="15" w:type="dxa"/>
            </w:tcMar>
            <w:vAlign w:val="center"/>
          </w:tcPr>
          <w:p w14:paraId="71456578"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15.4 </w:t>
            </w:r>
          </w:p>
        </w:tc>
        <w:tc>
          <w:tcPr>
            <w:tcW w:w="675" w:type="dxa"/>
            <w:tcMar>
              <w:top w:w="15" w:type="dxa"/>
              <w:left w:w="15" w:type="dxa"/>
              <w:right w:w="15" w:type="dxa"/>
            </w:tcMar>
            <w:vAlign w:val="center"/>
          </w:tcPr>
          <w:p w14:paraId="0E52968C"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18.9 </w:t>
            </w:r>
          </w:p>
        </w:tc>
        <w:tc>
          <w:tcPr>
            <w:tcW w:w="675" w:type="dxa"/>
            <w:tcMar>
              <w:top w:w="15" w:type="dxa"/>
              <w:left w:w="15" w:type="dxa"/>
              <w:right w:w="15" w:type="dxa"/>
            </w:tcMar>
            <w:vAlign w:val="center"/>
          </w:tcPr>
          <w:p w14:paraId="11662658"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12.8 </w:t>
            </w:r>
          </w:p>
        </w:tc>
        <w:tc>
          <w:tcPr>
            <w:tcW w:w="678" w:type="dxa"/>
            <w:tcMar>
              <w:top w:w="15" w:type="dxa"/>
              <w:left w:w="15" w:type="dxa"/>
              <w:right w:w="15" w:type="dxa"/>
            </w:tcMar>
            <w:vAlign w:val="bottom"/>
          </w:tcPr>
          <w:p w14:paraId="16D9BB43" w14:textId="572F5E2D" w:rsidR="001A4D74" w:rsidRPr="0043215C" w:rsidRDefault="00F3351F">
            <w:pPr>
              <w:spacing w:after="0"/>
              <w:jc w:val="center"/>
              <w:rPr>
                <w:rFonts w:cstheme="minorHAnsi"/>
                <w:sz w:val="20"/>
                <w:szCs w:val="20"/>
              </w:rPr>
            </w:pPr>
            <w:r w:rsidRPr="0043215C">
              <w:rPr>
                <w:rStyle w:val="normaltextrun"/>
                <w:rFonts w:cstheme="minorHAnsi"/>
                <w:color w:val="000000"/>
                <w:sz w:val="20"/>
                <w:szCs w:val="20"/>
              </w:rPr>
              <w:t>2.3</w:t>
            </w:r>
            <w:r w:rsidRPr="0043215C">
              <w:rPr>
                <w:rStyle w:val="eop"/>
                <w:rFonts w:cstheme="minorHAnsi"/>
                <w:color w:val="000000"/>
                <w:sz w:val="20"/>
                <w:szCs w:val="20"/>
              </w:rPr>
              <w:t> </w:t>
            </w:r>
          </w:p>
        </w:tc>
        <w:tc>
          <w:tcPr>
            <w:tcW w:w="678" w:type="dxa"/>
            <w:tcMar>
              <w:top w:w="15" w:type="dxa"/>
              <w:left w:w="15" w:type="dxa"/>
              <w:right w:w="15" w:type="dxa"/>
            </w:tcMar>
            <w:vAlign w:val="bottom"/>
          </w:tcPr>
          <w:p w14:paraId="39F1C325" w14:textId="4F3CBCEA"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3.</w:t>
            </w:r>
            <w:r w:rsidR="00F3351F" w:rsidRPr="0043215C">
              <w:rPr>
                <w:rStyle w:val="normaltextrun"/>
                <w:rFonts w:cstheme="minorHAnsi"/>
                <w:color w:val="000000"/>
                <w:sz w:val="20"/>
                <w:szCs w:val="20"/>
              </w:rPr>
              <w:t>1</w:t>
            </w:r>
            <w:r w:rsidR="00F3351F" w:rsidRPr="0043215C">
              <w:rPr>
                <w:rStyle w:val="eop"/>
                <w:rFonts w:cstheme="minorHAnsi"/>
                <w:color w:val="000000"/>
                <w:sz w:val="20"/>
                <w:szCs w:val="20"/>
              </w:rPr>
              <w:t> </w:t>
            </w:r>
          </w:p>
        </w:tc>
        <w:tc>
          <w:tcPr>
            <w:tcW w:w="678" w:type="dxa"/>
            <w:tcMar>
              <w:top w:w="15" w:type="dxa"/>
              <w:left w:w="15" w:type="dxa"/>
              <w:right w:w="15" w:type="dxa"/>
            </w:tcMar>
            <w:vAlign w:val="bottom"/>
          </w:tcPr>
          <w:p w14:paraId="0AD83910" w14:textId="68282B4E"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4.</w:t>
            </w:r>
            <w:r w:rsidR="00F3351F" w:rsidRPr="0043215C">
              <w:rPr>
                <w:rStyle w:val="normaltextrun"/>
                <w:rFonts w:cstheme="minorHAnsi"/>
                <w:color w:val="000000"/>
                <w:sz w:val="20"/>
                <w:szCs w:val="20"/>
              </w:rPr>
              <w:t>2</w:t>
            </w:r>
            <w:r w:rsidR="00F3351F" w:rsidRPr="0043215C">
              <w:rPr>
                <w:rStyle w:val="eop"/>
                <w:rFonts w:cstheme="minorHAnsi"/>
                <w:color w:val="000000"/>
                <w:sz w:val="20"/>
                <w:szCs w:val="20"/>
              </w:rPr>
              <w:t> </w:t>
            </w:r>
          </w:p>
        </w:tc>
      </w:tr>
      <w:tr w:rsidR="001A4D74" w:rsidRPr="0043215C" w14:paraId="2BF2D2FF" w14:textId="77777777" w:rsidTr="008F574F">
        <w:trPr>
          <w:trHeight w:val="210"/>
        </w:trPr>
        <w:tc>
          <w:tcPr>
            <w:tcW w:w="4354" w:type="dxa"/>
            <w:tcMar>
              <w:top w:w="15" w:type="dxa"/>
              <w:left w:w="15" w:type="dxa"/>
              <w:right w:w="15" w:type="dxa"/>
            </w:tcMar>
            <w:vAlign w:val="center"/>
          </w:tcPr>
          <w:p w14:paraId="5A01401B" w14:textId="77777777" w:rsidR="001A4D74" w:rsidRPr="0043215C" w:rsidRDefault="001A4D74">
            <w:pPr>
              <w:spacing w:after="0"/>
              <w:rPr>
                <w:rFonts w:cstheme="minorHAnsi"/>
                <w:sz w:val="20"/>
                <w:szCs w:val="20"/>
              </w:rPr>
            </w:pPr>
            <w:r w:rsidRPr="0043215C">
              <w:rPr>
                <w:rFonts w:eastAsia="Calibri" w:cstheme="minorHAnsi"/>
                <w:color w:val="000000" w:themeColor="text1"/>
                <w:sz w:val="20"/>
                <w:szCs w:val="20"/>
              </w:rPr>
              <w:t xml:space="preserve">Government Consumption </w:t>
            </w:r>
          </w:p>
        </w:tc>
        <w:tc>
          <w:tcPr>
            <w:tcW w:w="676" w:type="dxa"/>
            <w:tcMar>
              <w:top w:w="15" w:type="dxa"/>
              <w:left w:w="15" w:type="dxa"/>
              <w:right w:w="15" w:type="dxa"/>
            </w:tcMar>
            <w:vAlign w:val="center"/>
          </w:tcPr>
          <w:p w14:paraId="7D053049"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2.2 </w:t>
            </w:r>
          </w:p>
        </w:tc>
        <w:tc>
          <w:tcPr>
            <w:tcW w:w="675" w:type="dxa"/>
            <w:tcMar>
              <w:top w:w="15" w:type="dxa"/>
              <w:left w:w="15" w:type="dxa"/>
              <w:right w:w="15" w:type="dxa"/>
            </w:tcMar>
            <w:vAlign w:val="center"/>
          </w:tcPr>
          <w:p w14:paraId="4B1A509D"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3.0 </w:t>
            </w:r>
          </w:p>
        </w:tc>
        <w:tc>
          <w:tcPr>
            <w:tcW w:w="675" w:type="dxa"/>
            <w:tcMar>
              <w:top w:w="15" w:type="dxa"/>
              <w:left w:w="15" w:type="dxa"/>
              <w:right w:w="15" w:type="dxa"/>
            </w:tcMar>
            <w:vAlign w:val="center"/>
          </w:tcPr>
          <w:p w14:paraId="4B9366AF"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4.2 </w:t>
            </w:r>
          </w:p>
        </w:tc>
        <w:tc>
          <w:tcPr>
            <w:tcW w:w="675" w:type="dxa"/>
            <w:tcMar>
              <w:top w:w="15" w:type="dxa"/>
              <w:left w:w="15" w:type="dxa"/>
              <w:right w:w="15" w:type="dxa"/>
            </w:tcMar>
            <w:vAlign w:val="center"/>
          </w:tcPr>
          <w:p w14:paraId="70D724A2"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5.2 </w:t>
            </w:r>
          </w:p>
        </w:tc>
        <w:tc>
          <w:tcPr>
            <w:tcW w:w="678" w:type="dxa"/>
            <w:tcMar>
              <w:top w:w="15" w:type="dxa"/>
              <w:left w:w="15" w:type="dxa"/>
              <w:right w:w="15" w:type="dxa"/>
            </w:tcMar>
            <w:vAlign w:val="bottom"/>
          </w:tcPr>
          <w:p w14:paraId="08A54B9F" w14:textId="6812486B"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2.</w:t>
            </w:r>
            <w:r w:rsidR="00F3351F" w:rsidRPr="0043215C">
              <w:rPr>
                <w:rStyle w:val="normaltextrun"/>
                <w:rFonts w:cstheme="minorHAnsi"/>
                <w:color w:val="000000"/>
                <w:sz w:val="20"/>
                <w:szCs w:val="20"/>
              </w:rPr>
              <w:t>5</w:t>
            </w:r>
            <w:r w:rsidR="00F3351F" w:rsidRPr="0043215C">
              <w:rPr>
                <w:rStyle w:val="eop"/>
                <w:rFonts w:cstheme="minorHAnsi"/>
                <w:color w:val="000000"/>
                <w:sz w:val="20"/>
                <w:szCs w:val="20"/>
              </w:rPr>
              <w:t> </w:t>
            </w:r>
          </w:p>
        </w:tc>
        <w:tc>
          <w:tcPr>
            <w:tcW w:w="678" w:type="dxa"/>
            <w:tcMar>
              <w:top w:w="15" w:type="dxa"/>
              <w:left w:w="15" w:type="dxa"/>
              <w:right w:w="15" w:type="dxa"/>
            </w:tcMar>
            <w:vAlign w:val="bottom"/>
          </w:tcPr>
          <w:p w14:paraId="4852D479" w14:textId="20711F18"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2.</w:t>
            </w:r>
            <w:r w:rsidR="00F3351F" w:rsidRPr="0043215C">
              <w:rPr>
                <w:rStyle w:val="normaltextrun"/>
                <w:rFonts w:cstheme="minorHAnsi"/>
                <w:color w:val="000000"/>
                <w:sz w:val="20"/>
                <w:szCs w:val="20"/>
              </w:rPr>
              <w:t>1</w:t>
            </w:r>
            <w:r w:rsidR="00F3351F" w:rsidRPr="0043215C">
              <w:rPr>
                <w:rStyle w:val="eop"/>
                <w:rFonts w:cstheme="minorHAnsi"/>
                <w:color w:val="000000"/>
                <w:sz w:val="20"/>
                <w:szCs w:val="20"/>
              </w:rPr>
              <w:t> </w:t>
            </w:r>
          </w:p>
        </w:tc>
        <w:tc>
          <w:tcPr>
            <w:tcW w:w="678" w:type="dxa"/>
            <w:tcMar>
              <w:top w:w="15" w:type="dxa"/>
              <w:left w:w="15" w:type="dxa"/>
              <w:right w:w="15" w:type="dxa"/>
            </w:tcMar>
            <w:vAlign w:val="bottom"/>
          </w:tcPr>
          <w:p w14:paraId="2CAE0B43" w14:textId="2EC2969D"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1</w:t>
            </w:r>
            <w:r w:rsidR="00F3351F" w:rsidRPr="0043215C">
              <w:rPr>
                <w:rStyle w:val="normaltextrun"/>
                <w:rFonts w:cstheme="minorHAnsi"/>
                <w:color w:val="000000"/>
                <w:sz w:val="20"/>
                <w:szCs w:val="20"/>
              </w:rPr>
              <w:t>.7</w:t>
            </w:r>
            <w:r w:rsidR="00F3351F" w:rsidRPr="0043215C">
              <w:rPr>
                <w:rStyle w:val="eop"/>
                <w:rFonts w:cstheme="minorHAnsi"/>
                <w:color w:val="000000"/>
                <w:sz w:val="20"/>
                <w:szCs w:val="20"/>
              </w:rPr>
              <w:t> </w:t>
            </w:r>
          </w:p>
        </w:tc>
      </w:tr>
      <w:tr w:rsidR="001A4D74" w:rsidRPr="0043215C" w14:paraId="61150BD2" w14:textId="77777777" w:rsidTr="008F574F">
        <w:trPr>
          <w:trHeight w:val="210"/>
        </w:trPr>
        <w:tc>
          <w:tcPr>
            <w:tcW w:w="4354" w:type="dxa"/>
            <w:tcMar>
              <w:top w:w="15" w:type="dxa"/>
              <w:left w:w="15" w:type="dxa"/>
              <w:right w:w="15" w:type="dxa"/>
            </w:tcMar>
            <w:vAlign w:val="center"/>
          </w:tcPr>
          <w:p w14:paraId="1D954952" w14:textId="77777777" w:rsidR="001A4D74" w:rsidRPr="0043215C" w:rsidRDefault="001A4D74">
            <w:pPr>
              <w:spacing w:after="0"/>
              <w:rPr>
                <w:rFonts w:cstheme="minorHAnsi"/>
                <w:sz w:val="20"/>
                <w:szCs w:val="20"/>
              </w:rPr>
            </w:pPr>
            <w:r w:rsidRPr="0043215C">
              <w:rPr>
                <w:rFonts w:eastAsia="Calibri" w:cstheme="minorHAnsi"/>
                <w:color w:val="000000" w:themeColor="text1"/>
                <w:sz w:val="20"/>
                <w:szCs w:val="20"/>
              </w:rPr>
              <w:t xml:space="preserve">Gross Fixed Capital Formation </w:t>
            </w:r>
          </w:p>
        </w:tc>
        <w:tc>
          <w:tcPr>
            <w:tcW w:w="676" w:type="dxa"/>
            <w:tcMar>
              <w:top w:w="15" w:type="dxa"/>
              <w:left w:w="15" w:type="dxa"/>
              <w:right w:w="15" w:type="dxa"/>
            </w:tcMar>
            <w:vAlign w:val="center"/>
          </w:tcPr>
          <w:p w14:paraId="032A899D"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7.3 </w:t>
            </w:r>
          </w:p>
        </w:tc>
        <w:tc>
          <w:tcPr>
            <w:tcW w:w="675" w:type="dxa"/>
            <w:tcMar>
              <w:top w:w="15" w:type="dxa"/>
              <w:left w:w="15" w:type="dxa"/>
              <w:right w:w="15" w:type="dxa"/>
            </w:tcMar>
            <w:vAlign w:val="center"/>
          </w:tcPr>
          <w:p w14:paraId="11EDEFB4"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7.2 </w:t>
            </w:r>
          </w:p>
        </w:tc>
        <w:tc>
          <w:tcPr>
            <w:tcW w:w="675" w:type="dxa"/>
            <w:tcMar>
              <w:top w:w="15" w:type="dxa"/>
              <w:left w:w="15" w:type="dxa"/>
              <w:right w:w="15" w:type="dxa"/>
            </w:tcMar>
            <w:vAlign w:val="center"/>
          </w:tcPr>
          <w:p w14:paraId="7011918D"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1.3 </w:t>
            </w:r>
          </w:p>
        </w:tc>
        <w:tc>
          <w:tcPr>
            <w:tcW w:w="675" w:type="dxa"/>
            <w:tcMar>
              <w:top w:w="15" w:type="dxa"/>
              <w:left w:w="15" w:type="dxa"/>
              <w:right w:w="15" w:type="dxa"/>
            </w:tcMar>
            <w:vAlign w:val="center"/>
          </w:tcPr>
          <w:p w14:paraId="6D09B1CD"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8.9 </w:t>
            </w:r>
          </w:p>
        </w:tc>
        <w:tc>
          <w:tcPr>
            <w:tcW w:w="678" w:type="dxa"/>
            <w:tcMar>
              <w:top w:w="15" w:type="dxa"/>
              <w:left w:w="15" w:type="dxa"/>
              <w:right w:w="15" w:type="dxa"/>
            </w:tcMar>
            <w:vAlign w:val="bottom"/>
          </w:tcPr>
          <w:p w14:paraId="27F6EEC0" w14:textId="7A18D608" w:rsidR="001A4D74" w:rsidRPr="0043215C" w:rsidRDefault="00F3351F">
            <w:pPr>
              <w:spacing w:after="0"/>
              <w:jc w:val="center"/>
              <w:rPr>
                <w:rFonts w:cstheme="minorHAnsi"/>
                <w:sz w:val="20"/>
                <w:szCs w:val="20"/>
              </w:rPr>
            </w:pPr>
            <w:r w:rsidRPr="0043215C">
              <w:rPr>
                <w:rStyle w:val="normaltextrun"/>
                <w:rFonts w:cstheme="minorHAnsi"/>
                <w:color w:val="000000"/>
                <w:sz w:val="20"/>
                <w:szCs w:val="20"/>
              </w:rPr>
              <w:t>2.9</w:t>
            </w:r>
            <w:r w:rsidRPr="0043215C">
              <w:rPr>
                <w:rStyle w:val="eop"/>
                <w:rFonts w:cstheme="minorHAnsi"/>
                <w:color w:val="000000"/>
                <w:sz w:val="20"/>
                <w:szCs w:val="20"/>
              </w:rPr>
              <w:t> </w:t>
            </w:r>
          </w:p>
        </w:tc>
        <w:tc>
          <w:tcPr>
            <w:tcW w:w="678" w:type="dxa"/>
            <w:tcMar>
              <w:top w:w="15" w:type="dxa"/>
              <w:left w:w="15" w:type="dxa"/>
              <w:right w:w="15" w:type="dxa"/>
            </w:tcMar>
            <w:vAlign w:val="bottom"/>
          </w:tcPr>
          <w:p w14:paraId="4731F72B" w14:textId="25D7D84F" w:rsidR="001A4D74" w:rsidRPr="0043215C" w:rsidRDefault="00F3351F">
            <w:pPr>
              <w:spacing w:after="0"/>
              <w:jc w:val="center"/>
              <w:rPr>
                <w:rFonts w:cstheme="minorHAnsi"/>
                <w:sz w:val="20"/>
                <w:szCs w:val="20"/>
              </w:rPr>
            </w:pPr>
            <w:r w:rsidRPr="0043215C">
              <w:rPr>
                <w:rStyle w:val="normaltextrun"/>
                <w:rFonts w:cstheme="minorHAnsi"/>
                <w:color w:val="000000"/>
                <w:sz w:val="20"/>
                <w:szCs w:val="20"/>
              </w:rPr>
              <w:t>2.9</w:t>
            </w:r>
            <w:r w:rsidRPr="0043215C">
              <w:rPr>
                <w:rStyle w:val="eop"/>
                <w:rFonts w:cstheme="minorHAnsi"/>
                <w:color w:val="000000"/>
                <w:sz w:val="20"/>
                <w:szCs w:val="20"/>
              </w:rPr>
              <w:t> </w:t>
            </w:r>
          </w:p>
        </w:tc>
        <w:tc>
          <w:tcPr>
            <w:tcW w:w="678" w:type="dxa"/>
            <w:tcMar>
              <w:top w:w="15" w:type="dxa"/>
              <w:left w:w="15" w:type="dxa"/>
              <w:right w:w="15" w:type="dxa"/>
            </w:tcMar>
            <w:vAlign w:val="bottom"/>
          </w:tcPr>
          <w:p w14:paraId="62E40808" w14:textId="64921BA6" w:rsidR="001A4D74" w:rsidRPr="0043215C" w:rsidRDefault="00F3351F">
            <w:pPr>
              <w:spacing w:after="0"/>
              <w:jc w:val="center"/>
              <w:rPr>
                <w:rFonts w:cstheme="minorHAnsi"/>
                <w:sz w:val="20"/>
                <w:szCs w:val="20"/>
              </w:rPr>
            </w:pPr>
            <w:r w:rsidRPr="0043215C">
              <w:rPr>
                <w:rStyle w:val="normaltextrun"/>
                <w:rFonts w:cstheme="minorHAnsi"/>
                <w:color w:val="000000"/>
                <w:sz w:val="20"/>
                <w:szCs w:val="20"/>
              </w:rPr>
              <w:t>3.1</w:t>
            </w:r>
            <w:r w:rsidRPr="0043215C">
              <w:rPr>
                <w:rStyle w:val="eop"/>
                <w:rFonts w:cstheme="minorHAnsi"/>
                <w:color w:val="000000"/>
                <w:sz w:val="20"/>
                <w:szCs w:val="20"/>
              </w:rPr>
              <w:t> </w:t>
            </w:r>
          </w:p>
        </w:tc>
      </w:tr>
      <w:tr w:rsidR="001A4D74" w:rsidRPr="0043215C" w14:paraId="40A70085" w14:textId="77777777" w:rsidTr="008F574F">
        <w:trPr>
          <w:trHeight w:val="210"/>
        </w:trPr>
        <w:tc>
          <w:tcPr>
            <w:tcW w:w="4354" w:type="dxa"/>
            <w:tcMar>
              <w:top w:w="15" w:type="dxa"/>
              <w:left w:w="15" w:type="dxa"/>
              <w:right w:w="15" w:type="dxa"/>
            </w:tcMar>
            <w:vAlign w:val="center"/>
          </w:tcPr>
          <w:p w14:paraId="7F736D39" w14:textId="77777777" w:rsidR="001A4D74" w:rsidRPr="0043215C" w:rsidRDefault="001A4D74">
            <w:pPr>
              <w:spacing w:after="0"/>
              <w:rPr>
                <w:rFonts w:cstheme="minorHAnsi"/>
                <w:sz w:val="20"/>
                <w:szCs w:val="20"/>
              </w:rPr>
            </w:pPr>
            <w:r w:rsidRPr="0043215C">
              <w:rPr>
                <w:rFonts w:eastAsia="Calibri" w:cstheme="minorHAnsi"/>
                <w:color w:val="000000" w:themeColor="text1"/>
                <w:sz w:val="20"/>
                <w:szCs w:val="20"/>
              </w:rPr>
              <w:t xml:space="preserve">Exports </w:t>
            </w:r>
          </w:p>
        </w:tc>
        <w:tc>
          <w:tcPr>
            <w:tcW w:w="676" w:type="dxa"/>
            <w:tcMar>
              <w:top w:w="15" w:type="dxa"/>
              <w:left w:w="15" w:type="dxa"/>
              <w:right w:w="15" w:type="dxa"/>
            </w:tcMar>
            <w:vAlign w:val="center"/>
          </w:tcPr>
          <w:p w14:paraId="0A32202B"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-14.6 </w:t>
            </w:r>
          </w:p>
        </w:tc>
        <w:tc>
          <w:tcPr>
            <w:tcW w:w="675" w:type="dxa"/>
            <w:tcMar>
              <w:top w:w="15" w:type="dxa"/>
              <w:left w:w="15" w:type="dxa"/>
              <w:right w:w="15" w:type="dxa"/>
            </w:tcMar>
            <w:vAlign w:val="center"/>
          </w:tcPr>
          <w:p w14:paraId="4008B9DC"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25.1 </w:t>
            </w:r>
          </w:p>
        </w:tc>
        <w:tc>
          <w:tcPr>
            <w:tcW w:w="675" w:type="dxa"/>
            <w:tcMar>
              <w:top w:w="15" w:type="dxa"/>
              <w:left w:w="15" w:type="dxa"/>
              <w:right w:w="15" w:type="dxa"/>
            </w:tcMar>
            <w:vAlign w:val="center"/>
          </w:tcPr>
          <w:p w14:paraId="29CEF528"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9.9 </w:t>
            </w:r>
          </w:p>
        </w:tc>
        <w:tc>
          <w:tcPr>
            <w:tcW w:w="675" w:type="dxa"/>
            <w:tcMar>
              <w:top w:w="15" w:type="dxa"/>
              <w:left w:w="15" w:type="dxa"/>
              <w:right w:w="15" w:type="dxa"/>
            </w:tcMar>
            <w:vAlign w:val="center"/>
          </w:tcPr>
          <w:p w14:paraId="039FB6E8"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-2.7 </w:t>
            </w:r>
          </w:p>
        </w:tc>
        <w:tc>
          <w:tcPr>
            <w:tcW w:w="678" w:type="dxa"/>
            <w:tcMar>
              <w:top w:w="15" w:type="dxa"/>
              <w:left w:w="15" w:type="dxa"/>
              <w:right w:w="15" w:type="dxa"/>
            </w:tcMar>
            <w:vAlign w:val="bottom"/>
          </w:tcPr>
          <w:p w14:paraId="21389EAD" w14:textId="0188CB78" w:rsidR="001A4D74" w:rsidRPr="0043215C" w:rsidRDefault="00F3351F">
            <w:pPr>
              <w:spacing w:after="0"/>
              <w:jc w:val="center"/>
              <w:rPr>
                <w:rFonts w:cstheme="minorHAnsi"/>
                <w:sz w:val="20"/>
                <w:szCs w:val="20"/>
              </w:rPr>
            </w:pPr>
            <w:r w:rsidRPr="0043215C">
              <w:rPr>
                <w:rStyle w:val="normaltextrun"/>
                <w:rFonts w:cstheme="minorHAnsi"/>
                <w:color w:val="000000"/>
                <w:sz w:val="20"/>
                <w:szCs w:val="20"/>
              </w:rPr>
              <w:t>4.</w:t>
            </w:r>
            <w:r w:rsidR="001A4D74" w:rsidRPr="0043215C">
              <w:rPr>
                <w:rStyle w:val="normaltextrun"/>
                <w:rFonts w:cstheme="minorHAnsi"/>
                <w:color w:val="000000"/>
                <w:sz w:val="20"/>
                <w:szCs w:val="20"/>
              </w:rPr>
              <w:t>5</w:t>
            </w:r>
            <w:r w:rsidRPr="0043215C">
              <w:rPr>
                <w:rStyle w:val="eop"/>
                <w:rFonts w:cstheme="minorHAnsi"/>
                <w:color w:val="000000"/>
                <w:sz w:val="20"/>
                <w:szCs w:val="20"/>
              </w:rPr>
              <w:t> </w:t>
            </w:r>
          </w:p>
        </w:tc>
        <w:tc>
          <w:tcPr>
            <w:tcW w:w="678" w:type="dxa"/>
            <w:tcMar>
              <w:top w:w="15" w:type="dxa"/>
              <w:left w:w="15" w:type="dxa"/>
              <w:right w:w="15" w:type="dxa"/>
            </w:tcMar>
            <w:vAlign w:val="bottom"/>
          </w:tcPr>
          <w:p w14:paraId="142C15C3" w14:textId="77F27D0D"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5.</w:t>
            </w:r>
            <w:r w:rsidR="00F3351F" w:rsidRPr="0043215C">
              <w:rPr>
                <w:rStyle w:val="normaltextrun"/>
                <w:rFonts w:cstheme="minorHAnsi"/>
                <w:color w:val="000000"/>
                <w:sz w:val="20"/>
                <w:szCs w:val="20"/>
              </w:rPr>
              <w:t>2</w:t>
            </w:r>
            <w:r w:rsidR="00F3351F" w:rsidRPr="0043215C">
              <w:rPr>
                <w:rStyle w:val="eop"/>
                <w:rFonts w:cstheme="minorHAnsi"/>
                <w:color w:val="000000"/>
                <w:sz w:val="20"/>
                <w:szCs w:val="20"/>
              </w:rPr>
              <w:t> </w:t>
            </w:r>
          </w:p>
        </w:tc>
        <w:tc>
          <w:tcPr>
            <w:tcW w:w="678" w:type="dxa"/>
            <w:tcMar>
              <w:top w:w="15" w:type="dxa"/>
              <w:left w:w="15" w:type="dxa"/>
              <w:right w:w="15" w:type="dxa"/>
            </w:tcMar>
            <w:vAlign w:val="bottom"/>
          </w:tcPr>
          <w:p w14:paraId="7A4B952E" w14:textId="2CB46059" w:rsidR="001A4D74" w:rsidRPr="0043215C" w:rsidRDefault="00F3351F">
            <w:pPr>
              <w:spacing w:after="0"/>
              <w:jc w:val="center"/>
              <w:rPr>
                <w:rFonts w:cstheme="minorHAnsi"/>
                <w:sz w:val="20"/>
                <w:szCs w:val="20"/>
              </w:rPr>
            </w:pPr>
            <w:r w:rsidRPr="0043215C">
              <w:rPr>
                <w:rStyle w:val="normaltextrun"/>
                <w:rFonts w:cstheme="minorHAnsi"/>
                <w:color w:val="000000"/>
                <w:sz w:val="20"/>
                <w:szCs w:val="20"/>
              </w:rPr>
              <w:t>5.9</w:t>
            </w:r>
            <w:r w:rsidRPr="0043215C">
              <w:rPr>
                <w:rStyle w:val="eop"/>
                <w:rFonts w:cstheme="minorHAnsi"/>
                <w:color w:val="000000"/>
                <w:sz w:val="20"/>
                <w:szCs w:val="20"/>
              </w:rPr>
              <w:t> </w:t>
            </w:r>
          </w:p>
        </w:tc>
      </w:tr>
      <w:tr w:rsidR="001A4D74" w:rsidRPr="0043215C" w14:paraId="14D55F4A" w14:textId="77777777" w:rsidTr="008F574F">
        <w:trPr>
          <w:trHeight w:val="210"/>
        </w:trPr>
        <w:tc>
          <w:tcPr>
            <w:tcW w:w="4354" w:type="dxa"/>
            <w:tcMar>
              <w:top w:w="15" w:type="dxa"/>
              <w:left w:w="15" w:type="dxa"/>
              <w:right w:w="15" w:type="dxa"/>
            </w:tcMar>
            <w:vAlign w:val="center"/>
          </w:tcPr>
          <w:p w14:paraId="61CBBD10" w14:textId="77777777" w:rsidR="001A4D74" w:rsidRPr="0043215C" w:rsidRDefault="001A4D74">
            <w:pPr>
              <w:spacing w:after="0"/>
              <w:rPr>
                <w:rFonts w:cstheme="minorHAnsi"/>
                <w:sz w:val="20"/>
                <w:szCs w:val="20"/>
              </w:rPr>
            </w:pPr>
            <w:r w:rsidRPr="0043215C">
              <w:rPr>
                <w:rFonts w:eastAsia="Calibri" w:cstheme="minorHAnsi"/>
                <w:color w:val="000000" w:themeColor="text1"/>
                <w:sz w:val="20"/>
                <w:szCs w:val="20"/>
              </w:rPr>
              <w:t xml:space="preserve">Imports </w:t>
            </w:r>
          </w:p>
        </w:tc>
        <w:tc>
          <w:tcPr>
            <w:tcW w:w="676" w:type="dxa"/>
            <w:tcMar>
              <w:top w:w="15" w:type="dxa"/>
              <w:left w:w="15" w:type="dxa"/>
              <w:right w:w="15" w:type="dxa"/>
            </w:tcMar>
            <w:vAlign w:val="center"/>
          </w:tcPr>
          <w:p w14:paraId="60210B57"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6.8 </w:t>
            </w:r>
          </w:p>
        </w:tc>
        <w:tc>
          <w:tcPr>
            <w:tcW w:w="675" w:type="dxa"/>
            <w:tcMar>
              <w:top w:w="15" w:type="dxa"/>
              <w:left w:w="15" w:type="dxa"/>
              <w:right w:w="15" w:type="dxa"/>
            </w:tcMar>
            <w:vAlign w:val="center"/>
          </w:tcPr>
          <w:p w14:paraId="6EBD0476"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1.7 </w:t>
            </w:r>
          </w:p>
        </w:tc>
        <w:tc>
          <w:tcPr>
            <w:tcW w:w="675" w:type="dxa"/>
            <w:tcMar>
              <w:top w:w="15" w:type="dxa"/>
              <w:left w:w="15" w:type="dxa"/>
              <w:right w:w="15" w:type="dxa"/>
            </w:tcMar>
            <w:vAlign w:val="center"/>
          </w:tcPr>
          <w:p w14:paraId="6461065F"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8.6 </w:t>
            </w:r>
          </w:p>
        </w:tc>
        <w:tc>
          <w:tcPr>
            <w:tcW w:w="675" w:type="dxa"/>
            <w:tcMar>
              <w:top w:w="15" w:type="dxa"/>
              <w:left w:w="15" w:type="dxa"/>
              <w:right w:w="15" w:type="dxa"/>
            </w:tcMar>
            <w:vAlign w:val="center"/>
          </w:tcPr>
          <w:p w14:paraId="793E4CBD"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11.7 </w:t>
            </w:r>
          </w:p>
        </w:tc>
        <w:tc>
          <w:tcPr>
            <w:tcW w:w="678" w:type="dxa"/>
            <w:tcMar>
              <w:top w:w="15" w:type="dxa"/>
              <w:left w:w="15" w:type="dxa"/>
              <w:right w:w="15" w:type="dxa"/>
            </w:tcMar>
            <w:vAlign w:val="bottom"/>
          </w:tcPr>
          <w:p w14:paraId="6612F3E1" w14:textId="1EE108AE" w:rsidR="001A4D74" w:rsidRPr="0043215C" w:rsidRDefault="00F3351F">
            <w:pPr>
              <w:spacing w:after="0"/>
              <w:jc w:val="center"/>
              <w:rPr>
                <w:rFonts w:cstheme="minorHAnsi"/>
                <w:sz w:val="20"/>
                <w:szCs w:val="20"/>
              </w:rPr>
            </w:pPr>
            <w:r w:rsidRPr="0043215C">
              <w:rPr>
                <w:rStyle w:val="normaltextrun"/>
                <w:rFonts w:cstheme="minorHAnsi"/>
                <w:color w:val="000000"/>
                <w:sz w:val="20"/>
                <w:szCs w:val="20"/>
              </w:rPr>
              <w:t>3.7</w:t>
            </w:r>
            <w:r w:rsidRPr="0043215C">
              <w:rPr>
                <w:rStyle w:val="eop"/>
                <w:rFonts w:cstheme="minorHAnsi"/>
                <w:color w:val="000000"/>
                <w:sz w:val="20"/>
                <w:szCs w:val="20"/>
              </w:rPr>
              <w:t> </w:t>
            </w:r>
          </w:p>
        </w:tc>
        <w:tc>
          <w:tcPr>
            <w:tcW w:w="678" w:type="dxa"/>
            <w:tcMar>
              <w:top w:w="15" w:type="dxa"/>
              <w:left w:w="15" w:type="dxa"/>
              <w:right w:w="15" w:type="dxa"/>
            </w:tcMar>
            <w:vAlign w:val="bottom"/>
          </w:tcPr>
          <w:p w14:paraId="0022FD72" w14:textId="7B012E7C"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4</w:t>
            </w:r>
            <w:r w:rsidR="00F3351F" w:rsidRPr="0043215C">
              <w:rPr>
                <w:rStyle w:val="normaltextrun"/>
                <w:rFonts w:cstheme="minorHAnsi"/>
                <w:color w:val="000000"/>
                <w:sz w:val="20"/>
                <w:szCs w:val="20"/>
              </w:rPr>
              <w:t>.2</w:t>
            </w:r>
            <w:r w:rsidR="00F3351F" w:rsidRPr="0043215C">
              <w:rPr>
                <w:rStyle w:val="eop"/>
                <w:rFonts w:cstheme="minorHAnsi"/>
                <w:color w:val="000000"/>
                <w:sz w:val="20"/>
                <w:szCs w:val="20"/>
              </w:rPr>
              <w:t> </w:t>
            </w:r>
          </w:p>
        </w:tc>
        <w:tc>
          <w:tcPr>
            <w:tcW w:w="678" w:type="dxa"/>
            <w:tcMar>
              <w:top w:w="15" w:type="dxa"/>
              <w:left w:w="15" w:type="dxa"/>
              <w:right w:w="15" w:type="dxa"/>
            </w:tcMar>
            <w:vAlign w:val="bottom"/>
          </w:tcPr>
          <w:p w14:paraId="5961B7CF" w14:textId="776137C4"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5.</w:t>
            </w:r>
            <w:r w:rsidR="00F3351F" w:rsidRPr="0043215C">
              <w:rPr>
                <w:rStyle w:val="normaltextrun"/>
                <w:rFonts w:cstheme="minorHAnsi"/>
                <w:color w:val="000000"/>
                <w:sz w:val="20"/>
                <w:szCs w:val="20"/>
              </w:rPr>
              <w:t>6</w:t>
            </w:r>
            <w:r w:rsidR="00F3351F" w:rsidRPr="0043215C">
              <w:rPr>
                <w:rStyle w:val="eop"/>
                <w:rFonts w:cstheme="minorHAnsi"/>
                <w:color w:val="000000"/>
                <w:sz w:val="20"/>
                <w:szCs w:val="20"/>
              </w:rPr>
              <w:t> </w:t>
            </w:r>
          </w:p>
        </w:tc>
      </w:tr>
      <w:tr w:rsidR="001A4D74" w:rsidRPr="0043215C" w14:paraId="3B757E05" w14:textId="77777777" w:rsidTr="008F574F">
        <w:trPr>
          <w:trHeight w:val="210"/>
        </w:trPr>
        <w:tc>
          <w:tcPr>
            <w:tcW w:w="4354" w:type="dxa"/>
            <w:tcMar>
              <w:top w:w="15" w:type="dxa"/>
              <w:left w:w="15" w:type="dxa"/>
              <w:right w:w="15" w:type="dxa"/>
            </w:tcMar>
            <w:vAlign w:val="center"/>
          </w:tcPr>
          <w:p w14:paraId="58B548A3" w14:textId="77777777" w:rsidR="001A4D74" w:rsidRPr="0043215C" w:rsidRDefault="001A4D74">
            <w:pPr>
              <w:spacing w:after="0"/>
              <w:rPr>
                <w:rFonts w:cstheme="minorHAnsi"/>
                <w:sz w:val="20"/>
                <w:szCs w:val="20"/>
              </w:rPr>
            </w:pPr>
            <w:r w:rsidRPr="0043215C">
              <w:rPr>
                <w:rFonts w:eastAsia="Calibri" w:cstheme="minorHAnsi"/>
                <w:b/>
                <w:bCs/>
                <w:color w:val="000000" w:themeColor="text1"/>
                <w:sz w:val="20"/>
                <w:szCs w:val="20"/>
              </w:rPr>
              <w:t>Real GDP Growth, at constant factor prices</w:t>
            </w:r>
            <w:r w:rsidRPr="0043215C">
              <w:rPr>
                <w:rFonts w:eastAsia="Calibri" w:cstheme="minorHAnsi"/>
                <w:color w:val="000000" w:themeColor="text1"/>
                <w:sz w:val="20"/>
                <w:szCs w:val="20"/>
              </w:rPr>
              <w:t xml:space="preserve"> </w:t>
            </w:r>
          </w:p>
        </w:tc>
        <w:tc>
          <w:tcPr>
            <w:tcW w:w="676" w:type="dxa"/>
            <w:tcMar>
              <w:top w:w="15" w:type="dxa"/>
              <w:left w:w="15" w:type="dxa"/>
              <w:right w:w="15" w:type="dxa"/>
            </w:tcMar>
            <w:vAlign w:val="center"/>
          </w:tcPr>
          <w:p w14:paraId="3DB07C3E"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1.2 </w:t>
            </w:r>
          </w:p>
        </w:tc>
        <w:tc>
          <w:tcPr>
            <w:tcW w:w="675" w:type="dxa"/>
            <w:tcMar>
              <w:top w:w="15" w:type="dxa"/>
              <w:left w:w="15" w:type="dxa"/>
              <w:right w:w="15" w:type="dxa"/>
            </w:tcMar>
            <w:vAlign w:val="center"/>
          </w:tcPr>
          <w:p w14:paraId="369B26FF"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11.9 </w:t>
            </w:r>
          </w:p>
        </w:tc>
        <w:tc>
          <w:tcPr>
            <w:tcW w:w="675" w:type="dxa"/>
            <w:tcMar>
              <w:top w:w="15" w:type="dxa"/>
              <w:left w:w="15" w:type="dxa"/>
              <w:right w:w="15" w:type="dxa"/>
            </w:tcMar>
            <w:vAlign w:val="center"/>
          </w:tcPr>
          <w:p w14:paraId="7933E19F"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6.5 </w:t>
            </w:r>
          </w:p>
        </w:tc>
        <w:tc>
          <w:tcPr>
            <w:tcW w:w="675" w:type="dxa"/>
            <w:tcMar>
              <w:top w:w="15" w:type="dxa"/>
              <w:left w:w="15" w:type="dxa"/>
              <w:right w:w="15" w:type="dxa"/>
            </w:tcMar>
            <w:vAlign w:val="center"/>
          </w:tcPr>
          <w:p w14:paraId="56637A8F"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4.5 </w:t>
            </w:r>
          </w:p>
        </w:tc>
        <w:tc>
          <w:tcPr>
            <w:tcW w:w="678" w:type="dxa"/>
            <w:tcMar>
              <w:top w:w="15" w:type="dxa"/>
              <w:left w:w="15" w:type="dxa"/>
              <w:right w:w="15" w:type="dxa"/>
            </w:tcMar>
            <w:vAlign w:val="bottom"/>
          </w:tcPr>
          <w:p w14:paraId="4161AC12" w14:textId="67A5499F"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3.</w:t>
            </w:r>
            <w:r w:rsidR="00F3351F" w:rsidRPr="0043215C">
              <w:rPr>
                <w:rStyle w:val="normaltextrun"/>
                <w:rFonts w:cstheme="minorHAnsi"/>
                <w:color w:val="000000"/>
                <w:sz w:val="20"/>
                <w:szCs w:val="20"/>
              </w:rPr>
              <w:t>0</w:t>
            </w:r>
            <w:r w:rsidR="00F3351F" w:rsidRPr="0043215C">
              <w:rPr>
                <w:rStyle w:val="eop"/>
                <w:rFonts w:cstheme="minorHAnsi"/>
                <w:color w:val="000000"/>
                <w:sz w:val="20"/>
                <w:szCs w:val="20"/>
              </w:rPr>
              <w:t> </w:t>
            </w:r>
          </w:p>
        </w:tc>
        <w:tc>
          <w:tcPr>
            <w:tcW w:w="678" w:type="dxa"/>
            <w:tcMar>
              <w:top w:w="15" w:type="dxa"/>
              <w:left w:w="15" w:type="dxa"/>
              <w:right w:w="15" w:type="dxa"/>
            </w:tcMar>
            <w:vAlign w:val="bottom"/>
          </w:tcPr>
          <w:p w14:paraId="5B130C7F" w14:textId="4B06367F"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3.</w:t>
            </w:r>
            <w:r w:rsidR="00F3351F" w:rsidRPr="0043215C">
              <w:rPr>
                <w:rStyle w:val="normaltextrun"/>
                <w:rFonts w:cstheme="minorHAnsi"/>
                <w:color w:val="000000"/>
                <w:sz w:val="20"/>
                <w:szCs w:val="20"/>
              </w:rPr>
              <w:t>6</w:t>
            </w:r>
            <w:r w:rsidR="00F3351F" w:rsidRPr="0043215C">
              <w:rPr>
                <w:rStyle w:val="eop"/>
                <w:rFonts w:cstheme="minorHAnsi"/>
                <w:color w:val="000000"/>
                <w:sz w:val="20"/>
                <w:szCs w:val="20"/>
              </w:rPr>
              <w:t> </w:t>
            </w:r>
          </w:p>
        </w:tc>
        <w:tc>
          <w:tcPr>
            <w:tcW w:w="678" w:type="dxa"/>
            <w:tcMar>
              <w:top w:w="15" w:type="dxa"/>
              <w:left w:w="15" w:type="dxa"/>
              <w:right w:w="15" w:type="dxa"/>
            </w:tcMar>
            <w:vAlign w:val="bottom"/>
          </w:tcPr>
          <w:p w14:paraId="04D35BCD" w14:textId="486588E4"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4.</w:t>
            </w:r>
            <w:r w:rsidR="00F3351F" w:rsidRPr="0043215C">
              <w:rPr>
                <w:rStyle w:val="normaltextrun"/>
                <w:rFonts w:cstheme="minorHAnsi"/>
                <w:color w:val="000000"/>
                <w:sz w:val="20"/>
                <w:szCs w:val="20"/>
              </w:rPr>
              <w:t>3</w:t>
            </w:r>
            <w:r w:rsidR="00F3351F" w:rsidRPr="0043215C">
              <w:rPr>
                <w:rStyle w:val="eop"/>
                <w:rFonts w:cstheme="minorHAnsi"/>
                <w:color w:val="000000"/>
                <w:sz w:val="20"/>
                <w:szCs w:val="20"/>
              </w:rPr>
              <w:t> </w:t>
            </w:r>
          </w:p>
        </w:tc>
      </w:tr>
      <w:tr w:rsidR="001A4D74" w:rsidRPr="0043215C" w14:paraId="4F6064D2" w14:textId="77777777" w:rsidTr="008F574F">
        <w:trPr>
          <w:trHeight w:val="210"/>
        </w:trPr>
        <w:tc>
          <w:tcPr>
            <w:tcW w:w="4354" w:type="dxa"/>
            <w:tcMar>
              <w:top w:w="15" w:type="dxa"/>
              <w:left w:w="15" w:type="dxa"/>
              <w:right w:w="15" w:type="dxa"/>
            </w:tcMar>
            <w:vAlign w:val="center"/>
          </w:tcPr>
          <w:p w14:paraId="257068A6" w14:textId="77777777" w:rsidR="001A4D74" w:rsidRPr="0043215C" w:rsidRDefault="001A4D74">
            <w:pPr>
              <w:spacing w:after="0"/>
              <w:rPr>
                <w:rFonts w:cstheme="minorHAnsi"/>
                <w:sz w:val="20"/>
                <w:szCs w:val="20"/>
              </w:rPr>
            </w:pPr>
            <w:r w:rsidRPr="0043215C">
              <w:rPr>
                <w:rFonts w:eastAsia="Calibri" w:cstheme="minorHAnsi"/>
                <w:color w:val="000000" w:themeColor="text1"/>
                <w:sz w:val="20"/>
                <w:szCs w:val="20"/>
              </w:rPr>
              <w:t xml:space="preserve">Agriculture </w:t>
            </w:r>
          </w:p>
        </w:tc>
        <w:tc>
          <w:tcPr>
            <w:tcW w:w="676" w:type="dxa"/>
            <w:tcMar>
              <w:top w:w="15" w:type="dxa"/>
              <w:left w:w="15" w:type="dxa"/>
              <w:right w:w="15" w:type="dxa"/>
            </w:tcMar>
            <w:vAlign w:val="center"/>
          </w:tcPr>
          <w:p w14:paraId="646B722F"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5.8 </w:t>
            </w:r>
          </w:p>
        </w:tc>
        <w:tc>
          <w:tcPr>
            <w:tcW w:w="675" w:type="dxa"/>
            <w:tcMar>
              <w:top w:w="15" w:type="dxa"/>
              <w:left w:w="15" w:type="dxa"/>
              <w:right w:w="15" w:type="dxa"/>
            </w:tcMar>
            <w:vAlign w:val="center"/>
          </w:tcPr>
          <w:p w14:paraId="090852AA"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-3.0 </w:t>
            </w:r>
          </w:p>
        </w:tc>
        <w:tc>
          <w:tcPr>
            <w:tcW w:w="675" w:type="dxa"/>
            <w:tcMar>
              <w:top w:w="15" w:type="dxa"/>
              <w:left w:w="15" w:type="dxa"/>
              <w:right w:w="15" w:type="dxa"/>
            </w:tcMar>
            <w:vAlign w:val="center"/>
          </w:tcPr>
          <w:p w14:paraId="1F57F237"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1.3 </w:t>
            </w:r>
          </w:p>
        </w:tc>
        <w:tc>
          <w:tcPr>
            <w:tcW w:w="675" w:type="dxa"/>
            <w:tcMar>
              <w:top w:w="15" w:type="dxa"/>
              <w:left w:w="15" w:type="dxa"/>
              <w:right w:w="15" w:type="dxa"/>
            </w:tcMar>
            <w:vAlign w:val="center"/>
          </w:tcPr>
          <w:p w14:paraId="0BF3F323"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-0.2 </w:t>
            </w:r>
          </w:p>
        </w:tc>
        <w:tc>
          <w:tcPr>
            <w:tcW w:w="678" w:type="dxa"/>
            <w:tcMar>
              <w:top w:w="15" w:type="dxa"/>
              <w:left w:w="15" w:type="dxa"/>
              <w:right w:w="15" w:type="dxa"/>
            </w:tcMar>
            <w:vAlign w:val="bottom"/>
          </w:tcPr>
          <w:p w14:paraId="28C3404F" w14:textId="7A417C19"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1.</w:t>
            </w:r>
            <w:r w:rsidR="00F3351F" w:rsidRPr="0043215C">
              <w:rPr>
                <w:rStyle w:val="normaltextrun"/>
                <w:rFonts w:cstheme="minorHAnsi"/>
                <w:color w:val="000000"/>
                <w:sz w:val="20"/>
                <w:szCs w:val="20"/>
              </w:rPr>
              <w:t>4</w:t>
            </w:r>
            <w:r w:rsidR="00F3351F" w:rsidRPr="0043215C">
              <w:rPr>
                <w:rStyle w:val="eop"/>
                <w:rFonts w:cstheme="minorHAnsi"/>
                <w:color w:val="000000"/>
                <w:sz w:val="20"/>
                <w:szCs w:val="20"/>
              </w:rPr>
              <w:t> </w:t>
            </w:r>
          </w:p>
        </w:tc>
        <w:tc>
          <w:tcPr>
            <w:tcW w:w="678" w:type="dxa"/>
            <w:tcMar>
              <w:top w:w="15" w:type="dxa"/>
              <w:left w:w="15" w:type="dxa"/>
              <w:right w:w="15" w:type="dxa"/>
            </w:tcMar>
            <w:vAlign w:val="bottom"/>
          </w:tcPr>
          <w:p w14:paraId="6586F22F" w14:textId="3D42D327"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1.</w:t>
            </w:r>
            <w:r w:rsidR="00F3351F" w:rsidRPr="0043215C">
              <w:rPr>
                <w:rStyle w:val="normaltextrun"/>
                <w:rFonts w:cstheme="minorHAnsi"/>
                <w:color w:val="000000"/>
                <w:sz w:val="20"/>
                <w:szCs w:val="20"/>
              </w:rPr>
              <w:t>5</w:t>
            </w:r>
            <w:r w:rsidR="00F3351F" w:rsidRPr="0043215C">
              <w:rPr>
                <w:rStyle w:val="eop"/>
                <w:rFonts w:cstheme="minorHAnsi"/>
                <w:color w:val="000000"/>
                <w:sz w:val="20"/>
                <w:szCs w:val="20"/>
              </w:rPr>
              <w:t> </w:t>
            </w:r>
          </w:p>
        </w:tc>
        <w:tc>
          <w:tcPr>
            <w:tcW w:w="678" w:type="dxa"/>
            <w:tcMar>
              <w:top w:w="15" w:type="dxa"/>
              <w:left w:w="15" w:type="dxa"/>
              <w:right w:w="15" w:type="dxa"/>
            </w:tcMar>
            <w:vAlign w:val="bottom"/>
          </w:tcPr>
          <w:p w14:paraId="0505ECF7" w14:textId="47AB539D"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1</w:t>
            </w:r>
            <w:r w:rsidR="00F3351F" w:rsidRPr="0043215C">
              <w:rPr>
                <w:rStyle w:val="normaltextrun"/>
                <w:rFonts w:cstheme="minorHAnsi"/>
                <w:color w:val="000000"/>
                <w:sz w:val="20"/>
                <w:szCs w:val="20"/>
              </w:rPr>
              <w:t>.5</w:t>
            </w:r>
            <w:r w:rsidR="00F3351F" w:rsidRPr="0043215C">
              <w:rPr>
                <w:rStyle w:val="eop"/>
                <w:rFonts w:cstheme="minorHAnsi"/>
                <w:color w:val="000000"/>
                <w:sz w:val="20"/>
                <w:szCs w:val="20"/>
              </w:rPr>
              <w:t> </w:t>
            </w:r>
          </w:p>
        </w:tc>
      </w:tr>
      <w:tr w:rsidR="001A4D74" w:rsidRPr="0043215C" w14:paraId="77CBB259" w14:textId="77777777" w:rsidTr="008F574F">
        <w:trPr>
          <w:trHeight w:val="210"/>
        </w:trPr>
        <w:tc>
          <w:tcPr>
            <w:tcW w:w="4354" w:type="dxa"/>
            <w:tcMar>
              <w:top w:w="15" w:type="dxa"/>
              <w:left w:w="15" w:type="dxa"/>
              <w:right w:w="15" w:type="dxa"/>
            </w:tcMar>
            <w:vAlign w:val="center"/>
          </w:tcPr>
          <w:p w14:paraId="4008A2C2" w14:textId="77777777" w:rsidR="001A4D74" w:rsidRPr="0043215C" w:rsidRDefault="001A4D74">
            <w:pPr>
              <w:spacing w:after="0"/>
              <w:rPr>
                <w:rFonts w:cstheme="minorHAnsi"/>
                <w:sz w:val="20"/>
                <w:szCs w:val="20"/>
              </w:rPr>
            </w:pPr>
            <w:r w:rsidRPr="0043215C">
              <w:rPr>
                <w:rFonts w:eastAsia="Calibri" w:cstheme="minorHAnsi"/>
                <w:color w:val="000000" w:themeColor="text1"/>
                <w:sz w:val="20"/>
                <w:szCs w:val="20"/>
              </w:rPr>
              <w:t xml:space="preserve">Industry </w:t>
            </w:r>
          </w:p>
        </w:tc>
        <w:tc>
          <w:tcPr>
            <w:tcW w:w="676" w:type="dxa"/>
            <w:tcMar>
              <w:top w:w="15" w:type="dxa"/>
              <w:left w:w="15" w:type="dxa"/>
              <w:right w:w="15" w:type="dxa"/>
            </w:tcMar>
            <w:vAlign w:val="center"/>
          </w:tcPr>
          <w:p w14:paraId="2658B77B"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3.0 </w:t>
            </w:r>
          </w:p>
        </w:tc>
        <w:tc>
          <w:tcPr>
            <w:tcW w:w="675" w:type="dxa"/>
            <w:tcMar>
              <w:top w:w="15" w:type="dxa"/>
              <w:left w:w="15" w:type="dxa"/>
              <w:right w:w="15" w:type="dxa"/>
            </w:tcMar>
            <w:vAlign w:val="center"/>
          </w:tcPr>
          <w:p w14:paraId="3483BCB5"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17.1 </w:t>
            </w:r>
          </w:p>
        </w:tc>
        <w:tc>
          <w:tcPr>
            <w:tcW w:w="675" w:type="dxa"/>
            <w:tcMar>
              <w:top w:w="15" w:type="dxa"/>
              <w:left w:w="15" w:type="dxa"/>
              <w:right w:w="15" w:type="dxa"/>
            </w:tcMar>
            <w:vAlign w:val="center"/>
          </w:tcPr>
          <w:p w14:paraId="3CEB291F"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1.1 </w:t>
            </w:r>
          </w:p>
        </w:tc>
        <w:tc>
          <w:tcPr>
            <w:tcW w:w="675" w:type="dxa"/>
            <w:tcMar>
              <w:top w:w="15" w:type="dxa"/>
              <w:left w:w="15" w:type="dxa"/>
              <w:right w:w="15" w:type="dxa"/>
            </w:tcMar>
            <w:vAlign w:val="center"/>
          </w:tcPr>
          <w:p w14:paraId="24955B09"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0.8 </w:t>
            </w:r>
          </w:p>
        </w:tc>
        <w:tc>
          <w:tcPr>
            <w:tcW w:w="678" w:type="dxa"/>
            <w:tcMar>
              <w:top w:w="15" w:type="dxa"/>
              <w:left w:w="15" w:type="dxa"/>
              <w:right w:w="15" w:type="dxa"/>
            </w:tcMar>
            <w:vAlign w:val="bottom"/>
          </w:tcPr>
          <w:p w14:paraId="10D23AC5" w14:textId="12B37CB7" w:rsidR="001A4D74" w:rsidRPr="0043215C" w:rsidRDefault="00F3351F">
            <w:pPr>
              <w:spacing w:after="0"/>
              <w:jc w:val="center"/>
              <w:rPr>
                <w:rFonts w:cstheme="minorHAnsi"/>
                <w:sz w:val="20"/>
                <w:szCs w:val="20"/>
              </w:rPr>
            </w:pPr>
            <w:r w:rsidRPr="0043215C">
              <w:rPr>
                <w:rStyle w:val="normaltextrun"/>
                <w:rFonts w:cstheme="minorHAnsi"/>
                <w:color w:val="000000"/>
                <w:sz w:val="20"/>
                <w:szCs w:val="20"/>
              </w:rPr>
              <w:t>4.6</w:t>
            </w:r>
            <w:r w:rsidRPr="0043215C">
              <w:rPr>
                <w:rStyle w:val="eop"/>
                <w:rFonts w:cstheme="minorHAnsi"/>
                <w:color w:val="000000"/>
                <w:sz w:val="20"/>
                <w:szCs w:val="20"/>
              </w:rPr>
              <w:t> </w:t>
            </w:r>
          </w:p>
        </w:tc>
        <w:tc>
          <w:tcPr>
            <w:tcW w:w="678" w:type="dxa"/>
            <w:tcMar>
              <w:top w:w="15" w:type="dxa"/>
              <w:left w:w="15" w:type="dxa"/>
              <w:right w:w="15" w:type="dxa"/>
            </w:tcMar>
            <w:vAlign w:val="bottom"/>
          </w:tcPr>
          <w:p w14:paraId="6C254A84" w14:textId="0AC42152"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4.</w:t>
            </w:r>
            <w:r w:rsidR="00F3351F" w:rsidRPr="0043215C">
              <w:rPr>
                <w:rStyle w:val="normaltextrun"/>
                <w:rFonts w:cstheme="minorHAnsi"/>
                <w:color w:val="000000"/>
                <w:sz w:val="20"/>
                <w:szCs w:val="20"/>
              </w:rPr>
              <w:t>8</w:t>
            </w:r>
            <w:r w:rsidR="00F3351F" w:rsidRPr="0043215C">
              <w:rPr>
                <w:rStyle w:val="eop"/>
                <w:rFonts w:cstheme="minorHAnsi"/>
                <w:color w:val="000000"/>
                <w:sz w:val="20"/>
                <w:szCs w:val="20"/>
              </w:rPr>
              <w:t> </w:t>
            </w:r>
          </w:p>
        </w:tc>
        <w:tc>
          <w:tcPr>
            <w:tcW w:w="678" w:type="dxa"/>
            <w:tcMar>
              <w:top w:w="15" w:type="dxa"/>
              <w:left w:w="15" w:type="dxa"/>
              <w:right w:w="15" w:type="dxa"/>
            </w:tcMar>
            <w:vAlign w:val="bottom"/>
          </w:tcPr>
          <w:p w14:paraId="6DA89792" w14:textId="213EFA0B"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5.</w:t>
            </w:r>
            <w:r w:rsidR="00F3351F" w:rsidRPr="0043215C">
              <w:rPr>
                <w:rStyle w:val="normaltextrun"/>
                <w:rFonts w:cstheme="minorHAnsi"/>
                <w:color w:val="000000"/>
                <w:sz w:val="20"/>
                <w:szCs w:val="20"/>
              </w:rPr>
              <w:t>0</w:t>
            </w:r>
            <w:r w:rsidR="00F3351F" w:rsidRPr="0043215C">
              <w:rPr>
                <w:rStyle w:val="eop"/>
                <w:rFonts w:cstheme="minorHAnsi"/>
                <w:color w:val="000000"/>
                <w:sz w:val="20"/>
                <w:szCs w:val="20"/>
              </w:rPr>
              <w:t> </w:t>
            </w:r>
          </w:p>
        </w:tc>
      </w:tr>
      <w:tr w:rsidR="001A4D74" w:rsidRPr="0043215C" w14:paraId="1DA4F2A9" w14:textId="77777777" w:rsidTr="008F574F">
        <w:trPr>
          <w:trHeight w:val="210"/>
        </w:trPr>
        <w:tc>
          <w:tcPr>
            <w:tcW w:w="4354" w:type="dxa"/>
            <w:tcMar>
              <w:top w:w="15" w:type="dxa"/>
              <w:left w:w="15" w:type="dxa"/>
              <w:right w:w="15" w:type="dxa"/>
            </w:tcMar>
            <w:vAlign w:val="center"/>
          </w:tcPr>
          <w:p w14:paraId="5C85F957" w14:textId="77777777" w:rsidR="001A4D74" w:rsidRPr="0043215C" w:rsidRDefault="001A4D74">
            <w:pPr>
              <w:spacing w:after="0"/>
              <w:rPr>
                <w:rFonts w:cstheme="minorHAnsi"/>
                <w:sz w:val="20"/>
                <w:szCs w:val="20"/>
              </w:rPr>
            </w:pPr>
            <w:r w:rsidRPr="0043215C">
              <w:rPr>
                <w:rFonts w:eastAsia="Calibri" w:cstheme="minorHAnsi"/>
                <w:color w:val="000000" w:themeColor="text1"/>
                <w:sz w:val="20"/>
                <w:szCs w:val="20"/>
              </w:rPr>
              <w:t xml:space="preserve">Services </w:t>
            </w:r>
          </w:p>
        </w:tc>
        <w:tc>
          <w:tcPr>
            <w:tcW w:w="676" w:type="dxa"/>
            <w:tcMar>
              <w:top w:w="15" w:type="dxa"/>
              <w:left w:w="15" w:type="dxa"/>
              <w:right w:w="15" w:type="dxa"/>
            </w:tcMar>
            <w:vAlign w:val="center"/>
          </w:tcPr>
          <w:p w14:paraId="1ABB65EF"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0.2 </w:t>
            </w:r>
          </w:p>
        </w:tc>
        <w:tc>
          <w:tcPr>
            <w:tcW w:w="675" w:type="dxa"/>
            <w:tcMar>
              <w:top w:w="15" w:type="dxa"/>
              <w:left w:w="15" w:type="dxa"/>
              <w:right w:w="15" w:type="dxa"/>
            </w:tcMar>
            <w:vAlign w:val="center"/>
          </w:tcPr>
          <w:p w14:paraId="224247CF"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14.6 </w:t>
            </w:r>
          </w:p>
        </w:tc>
        <w:tc>
          <w:tcPr>
            <w:tcW w:w="675" w:type="dxa"/>
            <w:tcMar>
              <w:top w:w="15" w:type="dxa"/>
              <w:left w:w="15" w:type="dxa"/>
              <w:right w:w="15" w:type="dxa"/>
            </w:tcMar>
            <w:vAlign w:val="center"/>
          </w:tcPr>
          <w:p w14:paraId="63C99CB3"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9.8 </w:t>
            </w:r>
          </w:p>
        </w:tc>
        <w:tc>
          <w:tcPr>
            <w:tcW w:w="675" w:type="dxa"/>
            <w:tcMar>
              <w:top w:w="15" w:type="dxa"/>
              <w:left w:w="15" w:type="dxa"/>
              <w:right w:w="15" w:type="dxa"/>
            </w:tcMar>
            <w:vAlign w:val="center"/>
          </w:tcPr>
          <w:p w14:paraId="488D6A53"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4.4 </w:t>
            </w:r>
          </w:p>
        </w:tc>
        <w:tc>
          <w:tcPr>
            <w:tcW w:w="678" w:type="dxa"/>
            <w:tcMar>
              <w:top w:w="15" w:type="dxa"/>
              <w:left w:w="15" w:type="dxa"/>
              <w:right w:w="15" w:type="dxa"/>
            </w:tcMar>
            <w:vAlign w:val="bottom"/>
          </w:tcPr>
          <w:p w14:paraId="7434D02F" w14:textId="080B34C4" w:rsidR="001A4D74" w:rsidRPr="0043215C" w:rsidRDefault="00F3351F">
            <w:pPr>
              <w:spacing w:after="0"/>
              <w:jc w:val="center"/>
              <w:rPr>
                <w:rFonts w:cstheme="minorHAnsi"/>
                <w:sz w:val="20"/>
                <w:szCs w:val="20"/>
              </w:rPr>
            </w:pPr>
            <w:r w:rsidRPr="0043215C">
              <w:rPr>
                <w:rStyle w:val="normaltextrun"/>
                <w:rFonts w:cstheme="minorHAnsi"/>
                <w:color w:val="000000"/>
                <w:sz w:val="20"/>
                <w:szCs w:val="20"/>
              </w:rPr>
              <w:t>2.5</w:t>
            </w:r>
            <w:r w:rsidRPr="0043215C">
              <w:rPr>
                <w:rStyle w:val="eop"/>
                <w:rFonts w:cstheme="minorHAnsi"/>
                <w:color w:val="000000"/>
                <w:sz w:val="20"/>
                <w:szCs w:val="20"/>
              </w:rPr>
              <w:t> </w:t>
            </w:r>
          </w:p>
        </w:tc>
        <w:tc>
          <w:tcPr>
            <w:tcW w:w="678" w:type="dxa"/>
            <w:tcMar>
              <w:top w:w="15" w:type="dxa"/>
              <w:left w:w="15" w:type="dxa"/>
              <w:right w:w="15" w:type="dxa"/>
            </w:tcMar>
            <w:vAlign w:val="bottom"/>
          </w:tcPr>
          <w:p w14:paraId="292399B4" w14:textId="30F40298"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3.</w:t>
            </w:r>
            <w:r w:rsidR="00F3351F" w:rsidRPr="0043215C">
              <w:rPr>
                <w:rStyle w:val="normaltextrun"/>
                <w:rFonts w:cstheme="minorHAnsi"/>
                <w:color w:val="000000"/>
                <w:sz w:val="20"/>
                <w:szCs w:val="20"/>
              </w:rPr>
              <w:t>3</w:t>
            </w:r>
            <w:r w:rsidR="00F3351F" w:rsidRPr="0043215C">
              <w:rPr>
                <w:rStyle w:val="eop"/>
                <w:rFonts w:cstheme="minorHAnsi"/>
                <w:color w:val="000000"/>
                <w:sz w:val="20"/>
                <w:szCs w:val="20"/>
              </w:rPr>
              <w:t> </w:t>
            </w:r>
          </w:p>
        </w:tc>
        <w:tc>
          <w:tcPr>
            <w:tcW w:w="678" w:type="dxa"/>
            <w:tcMar>
              <w:top w:w="15" w:type="dxa"/>
              <w:left w:w="15" w:type="dxa"/>
              <w:right w:w="15" w:type="dxa"/>
            </w:tcMar>
            <w:vAlign w:val="bottom"/>
          </w:tcPr>
          <w:p w14:paraId="55CC6754" w14:textId="1C144E53"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4.</w:t>
            </w:r>
            <w:r w:rsidR="00F3351F" w:rsidRPr="0043215C">
              <w:rPr>
                <w:rStyle w:val="normaltextrun"/>
                <w:rFonts w:cstheme="minorHAnsi"/>
                <w:color w:val="000000"/>
                <w:sz w:val="20"/>
                <w:szCs w:val="20"/>
              </w:rPr>
              <w:t>2</w:t>
            </w:r>
            <w:r w:rsidR="00F3351F" w:rsidRPr="0043215C">
              <w:rPr>
                <w:rStyle w:val="eop"/>
                <w:rFonts w:cstheme="minorHAnsi"/>
                <w:color w:val="000000"/>
                <w:sz w:val="20"/>
                <w:szCs w:val="20"/>
              </w:rPr>
              <w:t> </w:t>
            </w:r>
          </w:p>
        </w:tc>
      </w:tr>
      <w:tr w:rsidR="001A4D74" w:rsidRPr="0043215C" w14:paraId="4E09DFF6" w14:textId="77777777" w:rsidTr="008F574F">
        <w:trPr>
          <w:trHeight w:val="210"/>
        </w:trPr>
        <w:tc>
          <w:tcPr>
            <w:tcW w:w="4354" w:type="dxa"/>
            <w:tcMar>
              <w:top w:w="15" w:type="dxa"/>
              <w:left w:w="15" w:type="dxa"/>
              <w:right w:w="15" w:type="dxa"/>
            </w:tcMar>
            <w:vAlign w:val="center"/>
          </w:tcPr>
          <w:p w14:paraId="5BFDFB82" w14:textId="77777777" w:rsidR="001A4D74" w:rsidRPr="0043215C" w:rsidRDefault="001A4D74">
            <w:pPr>
              <w:spacing w:after="0"/>
              <w:rPr>
                <w:rFonts w:cstheme="minorHAnsi"/>
                <w:sz w:val="20"/>
                <w:szCs w:val="20"/>
              </w:rPr>
            </w:pPr>
            <w:r w:rsidRPr="0043215C">
              <w:rPr>
                <w:rFonts w:eastAsia="Calibri" w:cstheme="minorHAnsi"/>
                <w:b/>
                <w:bCs/>
                <w:color w:val="000000" w:themeColor="text1"/>
                <w:sz w:val="20"/>
                <w:szCs w:val="20"/>
              </w:rPr>
              <w:t>Inflation (CPI), avg.</w:t>
            </w:r>
            <w:r w:rsidRPr="0043215C">
              <w:rPr>
                <w:rFonts w:eastAsia="Calibri" w:cstheme="minorHAnsi"/>
                <w:color w:val="000000" w:themeColor="text1"/>
                <w:sz w:val="20"/>
                <w:szCs w:val="20"/>
              </w:rPr>
              <w:t xml:space="preserve"> </w:t>
            </w:r>
          </w:p>
        </w:tc>
        <w:tc>
          <w:tcPr>
            <w:tcW w:w="676" w:type="dxa"/>
            <w:tcMar>
              <w:top w:w="15" w:type="dxa"/>
              <w:left w:w="15" w:type="dxa"/>
              <w:right w:w="15" w:type="dxa"/>
            </w:tcMar>
            <w:vAlign w:val="center"/>
          </w:tcPr>
          <w:p w14:paraId="39A69A52"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12.3 </w:t>
            </w:r>
          </w:p>
        </w:tc>
        <w:tc>
          <w:tcPr>
            <w:tcW w:w="675" w:type="dxa"/>
            <w:tcMar>
              <w:top w:w="15" w:type="dxa"/>
              <w:left w:w="15" w:type="dxa"/>
              <w:right w:w="15" w:type="dxa"/>
            </w:tcMar>
            <w:vAlign w:val="center"/>
          </w:tcPr>
          <w:p w14:paraId="477B0B70"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19.6 </w:t>
            </w:r>
          </w:p>
        </w:tc>
        <w:tc>
          <w:tcPr>
            <w:tcW w:w="675" w:type="dxa"/>
            <w:tcMar>
              <w:top w:w="15" w:type="dxa"/>
              <w:left w:w="15" w:type="dxa"/>
              <w:right w:w="15" w:type="dxa"/>
            </w:tcMar>
            <w:vAlign w:val="center"/>
          </w:tcPr>
          <w:p w14:paraId="5672A4BF"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72.3 </w:t>
            </w:r>
          </w:p>
        </w:tc>
        <w:tc>
          <w:tcPr>
            <w:tcW w:w="675" w:type="dxa"/>
            <w:tcMar>
              <w:top w:w="15" w:type="dxa"/>
              <w:left w:w="15" w:type="dxa"/>
              <w:right w:w="15" w:type="dxa"/>
            </w:tcMar>
            <w:vAlign w:val="center"/>
          </w:tcPr>
          <w:p w14:paraId="07272428"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53.9</w:t>
            </w:r>
          </w:p>
        </w:tc>
        <w:tc>
          <w:tcPr>
            <w:tcW w:w="678" w:type="dxa"/>
            <w:tcMar>
              <w:top w:w="15" w:type="dxa"/>
              <w:left w:w="15" w:type="dxa"/>
              <w:right w:w="15" w:type="dxa"/>
            </w:tcMar>
            <w:vAlign w:val="bottom"/>
          </w:tcPr>
          <w:p w14:paraId="03A2D42C" w14:textId="520D761B"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57.</w:t>
            </w:r>
            <w:r w:rsidR="00F3351F" w:rsidRPr="0043215C">
              <w:rPr>
                <w:rStyle w:val="normaltextrun"/>
                <w:rFonts w:cstheme="minorHAnsi"/>
                <w:color w:val="000000"/>
                <w:sz w:val="20"/>
                <w:szCs w:val="20"/>
              </w:rPr>
              <w:t>8</w:t>
            </w:r>
            <w:r w:rsidR="00F3351F" w:rsidRPr="0043215C">
              <w:rPr>
                <w:rStyle w:val="eop"/>
                <w:rFonts w:cstheme="minorHAnsi"/>
                <w:color w:val="000000"/>
                <w:sz w:val="20"/>
                <w:szCs w:val="20"/>
              </w:rPr>
              <w:t> </w:t>
            </w:r>
          </w:p>
        </w:tc>
        <w:tc>
          <w:tcPr>
            <w:tcW w:w="678" w:type="dxa"/>
            <w:tcMar>
              <w:top w:w="15" w:type="dxa"/>
              <w:left w:w="15" w:type="dxa"/>
              <w:right w:w="15" w:type="dxa"/>
            </w:tcMar>
            <w:vAlign w:val="bottom"/>
          </w:tcPr>
          <w:p w14:paraId="18B253F5" w14:textId="6978CD3C" w:rsidR="001A4D74" w:rsidRPr="0043215C" w:rsidRDefault="00F3351F">
            <w:pPr>
              <w:spacing w:after="0"/>
              <w:jc w:val="center"/>
              <w:rPr>
                <w:rFonts w:cstheme="minorHAnsi"/>
                <w:sz w:val="20"/>
                <w:szCs w:val="20"/>
              </w:rPr>
            </w:pPr>
            <w:r w:rsidRPr="0043215C">
              <w:rPr>
                <w:rStyle w:val="normaltextrun"/>
                <w:rFonts w:cstheme="minorHAnsi"/>
                <w:color w:val="000000"/>
                <w:sz w:val="20"/>
                <w:szCs w:val="20"/>
              </w:rPr>
              <w:t>28.9</w:t>
            </w:r>
            <w:r w:rsidRPr="0043215C">
              <w:rPr>
                <w:rStyle w:val="eop"/>
                <w:rFonts w:cstheme="minorHAnsi"/>
                <w:color w:val="000000"/>
                <w:sz w:val="20"/>
                <w:szCs w:val="20"/>
              </w:rPr>
              <w:t> </w:t>
            </w:r>
          </w:p>
        </w:tc>
        <w:tc>
          <w:tcPr>
            <w:tcW w:w="678" w:type="dxa"/>
            <w:tcMar>
              <w:top w:w="15" w:type="dxa"/>
              <w:left w:w="15" w:type="dxa"/>
              <w:right w:w="15" w:type="dxa"/>
            </w:tcMar>
            <w:vAlign w:val="bottom"/>
          </w:tcPr>
          <w:p w14:paraId="0C4BABC8" w14:textId="5A66786C" w:rsidR="001A4D74" w:rsidRPr="0043215C" w:rsidRDefault="00F3351F">
            <w:pPr>
              <w:spacing w:after="0"/>
              <w:jc w:val="center"/>
              <w:rPr>
                <w:rFonts w:cstheme="minorHAnsi"/>
                <w:sz w:val="20"/>
                <w:szCs w:val="20"/>
              </w:rPr>
            </w:pPr>
            <w:r w:rsidRPr="0043215C">
              <w:rPr>
                <w:rStyle w:val="normaltextrun"/>
                <w:rFonts w:cstheme="minorHAnsi"/>
                <w:color w:val="000000"/>
                <w:sz w:val="20"/>
                <w:szCs w:val="20"/>
              </w:rPr>
              <w:t>16.4</w:t>
            </w:r>
            <w:r w:rsidRPr="0043215C">
              <w:rPr>
                <w:rStyle w:val="eop"/>
                <w:rFonts w:cstheme="minorHAnsi"/>
                <w:color w:val="000000"/>
                <w:sz w:val="20"/>
                <w:szCs w:val="20"/>
              </w:rPr>
              <w:t> </w:t>
            </w:r>
          </w:p>
        </w:tc>
      </w:tr>
      <w:tr w:rsidR="001A4D74" w:rsidRPr="0043215C" w14:paraId="2B3D8099" w14:textId="77777777" w:rsidTr="008F574F">
        <w:trPr>
          <w:trHeight w:val="210"/>
        </w:trPr>
        <w:tc>
          <w:tcPr>
            <w:tcW w:w="4354" w:type="dxa"/>
            <w:tcMar>
              <w:top w:w="15" w:type="dxa"/>
              <w:left w:w="15" w:type="dxa"/>
              <w:right w:w="15" w:type="dxa"/>
            </w:tcMar>
            <w:vAlign w:val="center"/>
          </w:tcPr>
          <w:p w14:paraId="6BE1C512" w14:textId="77777777" w:rsidR="001A4D74" w:rsidRPr="0043215C" w:rsidRDefault="001A4D74">
            <w:pPr>
              <w:spacing w:after="0"/>
              <w:rPr>
                <w:rFonts w:cstheme="minorHAnsi"/>
                <w:sz w:val="20"/>
                <w:szCs w:val="20"/>
              </w:rPr>
            </w:pPr>
            <w:r w:rsidRPr="0043215C">
              <w:rPr>
                <w:rFonts w:eastAsia="Calibri" w:cstheme="minorHAnsi"/>
                <w:b/>
                <w:bCs/>
                <w:color w:val="000000" w:themeColor="text1"/>
                <w:sz w:val="20"/>
                <w:szCs w:val="20"/>
              </w:rPr>
              <w:t>Current Account balance (% of GDP)</w:t>
            </w:r>
            <w:r w:rsidRPr="0043215C">
              <w:rPr>
                <w:rFonts w:eastAsia="Calibri" w:cstheme="minorHAnsi"/>
                <w:color w:val="000000" w:themeColor="text1"/>
                <w:sz w:val="20"/>
                <w:szCs w:val="20"/>
              </w:rPr>
              <w:t xml:space="preserve"> </w:t>
            </w:r>
          </w:p>
        </w:tc>
        <w:tc>
          <w:tcPr>
            <w:tcW w:w="676" w:type="dxa"/>
            <w:tcMar>
              <w:top w:w="15" w:type="dxa"/>
              <w:left w:w="15" w:type="dxa"/>
              <w:right w:w="15" w:type="dxa"/>
            </w:tcMar>
            <w:vAlign w:val="center"/>
          </w:tcPr>
          <w:p w14:paraId="4F52222C"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-4.3 </w:t>
            </w:r>
          </w:p>
        </w:tc>
        <w:tc>
          <w:tcPr>
            <w:tcW w:w="675" w:type="dxa"/>
            <w:tcMar>
              <w:top w:w="15" w:type="dxa"/>
              <w:left w:w="15" w:type="dxa"/>
              <w:right w:w="15" w:type="dxa"/>
            </w:tcMar>
            <w:vAlign w:val="center"/>
          </w:tcPr>
          <w:p w14:paraId="1CF5DBB6"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-0.8 </w:t>
            </w:r>
          </w:p>
        </w:tc>
        <w:tc>
          <w:tcPr>
            <w:tcW w:w="675" w:type="dxa"/>
            <w:tcMar>
              <w:top w:w="15" w:type="dxa"/>
              <w:left w:w="15" w:type="dxa"/>
              <w:right w:w="15" w:type="dxa"/>
            </w:tcMar>
            <w:vAlign w:val="center"/>
          </w:tcPr>
          <w:p w14:paraId="1EFA93E9"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-5.1 </w:t>
            </w:r>
          </w:p>
        </w:tc>
        <w:tc>
          <w:tcPr>
            <w:tcW w:w="675" w:type="dxa"/>
            <w:tcMar>
              <w:top w:w="15" w:type="dxa"/>
              <w:left w:w="15" w:type="dxa"/>
              <w:right w:w="15" w:type="dxa"/>
            </w:tcMar>
            <w:vAlign w:val="center"/>
          </w:tcPr>
          <w:p w14:paraId="0E090D5E"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-4.0 </w:t>
            </w:r>
          </w:p>
        </w:tc>
        <w:tc>
          <w:tcPr>
            <w:tcW w:w="678" w:type="dxa"/>
            <w:tcMar>
              <w:top w:w="15" w:type="dxa"/>
              <w:left w:w="15" w:type="dxa"/>
              <w:right w:w="15" w:type="dxa"/>
            </w:tcMar>
            <w:vAlign w:val="bottom"/>
          </w:tcPr>
          <w:p w14:paraId="0C5279B6" w14:textId="2826AA37" w:rsidR="001A4D74" w:rsidRPr="0043215C" w:rsidRDefault="00F3351F">
            <w:pPr>
              <w:spacing w:after="0"/>
              <w:jc w:val="center"/>
              <w:rPr>
                <w:rFonts w:cstheme="minorHAnsi"/>
                <w:sz w:val="20"/>
                <w:szCs w:val="20"/>
              </w:rPr>
            </w:pPr>
            <w:r w:rsidRPr="0043215C">
              <w:rPr>
                <w:rStyle w:val="normaltextrun"/>
                <w:rFonts w:cstheme="minorHAnsi"/>
                <w:color w:val="000000"/>
                <w:sz w:val="20"/>
                <w:szCs w:val="20"/>
              </w:rPr>
              <w:t>-2.8</w:t>
            </w:r>
            <w:r w:rsidRPr="0043215C">
              <w:rPr>
                <w:rStyle w:val="eop"/>
                <w:rFonts w:cstheme="minorHAnsi"/>
                <w:color w:val="000000"/>
                <w:sz w:val="20"/>
                <w:szCs w:val="20"/>
              </w:rPr>
              <w:t> </w:t>
            </w:r>
          </w:p>
        </w:tc>
        <w:tc>
          <w:tcPr>
            <w:tcW w:w="678" w:type="dxa"/>
            <w:tcMar>
              <w:top w:w="15" w:type="dxa"/>
              <w:left w:w="15" w:type="dxa"/>
              <w:right w:w="15" w:type="dxa"/>
            </w:tcMar>
            <w:vAlign w:val="bottom"/>
          </w:tcPr>
          <w:p w14:paraId="5313F530" w14:textId="6E5CD7CB"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-2.</w:t>
            </w:r>
            <w:r w:rsidR="00F3351F" w:rsidRPr="0043215C">
              <w:rPr>
                <w:rStyle w:val="normaltextrun"/>
                <w:rFonts w:cstheme="minorHAnsi"/>
                <w:color w:val="000000"/>
                <w:sz w:val="20"/>
                <w:szCs w:val="20"/>
              </w:rPr>
              <w:t>4</w:t>
            </w:r>
            <w:r w:rsidR="00F3351F" w:rsidRPr="0043215C">
              <w:rPr>
                <w:rStyle w:val="eop"/>
                <w:rFonts w:cstheme="minorHAnsi"/>
                <w:color w:val="000000"/>
                <w:sz w:val="20"/>
                <w:szCs w:val="20"/>
              </w:rPr>
              <w:t> </w:t>
            </w:r>
          </w:p>
        </w:tc>
        <w:tc>
          <w:tcPr>
            <w:tcW w:w="678" w:type="dxa"/>
            <w:tcMar>
              <w:top w:w="15" w:type="dxa"/>
              <w:left w:w="15" w:type="dxa"/>
              <w:right w:w="15" w:type="dxa"/>
            </w:tcMar>
            <w:vAlign w:val="bottom"/>
          </w:tcPr>
          <w:p w14:paraId="3FB20383" w14:textId="7ACF8273"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-2.</w:t>
            </w:r>
            <w:r w:rsidR="00F3351F" w:rsidRPr="0043215C">
              <w:rPr>
                <w:rStyle w:val="normaltextrun"/>
                <w:rFonts w:cstheme="minorHAnsi"/>
                <w:color w:val="000000"/>
                <w:sz w:val="20"/>
                <w:szCs w:val="20"/>
              </w:rPr>
              <w:t>5</w:t>
            </w:r>
            <w:r w:rsidR="00F3351F" w:rsidRPr="0043215C">
              <w:rPr>
                <w:rStyle w:val="eop"/>
                <w:rFonts w:cstheme="minorHAnsi"/>
                <w:color w:val="000000"/>
                <w:sz w:val="20"/>
                <w:szCs w:val="20"/>
              </w:rPr>
              <w:t> </w:t>
            </w:r>
          </w:p>
        </w:tc>
      </w:tr>
      <w:tr w:rsidR="001A4D74" w:rsidRPr="0043215C" w14:paraId="1A16CB8C" w14:textId="77777777" w:rsidTr="008F574F">
        <w:trPr>
          <w:trHeight w:val="210"/>
        </w:trPr>
        <w:tc>
          <w:tcPr>
            <w:tcW w:w="4354" w:type="dxa"/>
            <w:tcMar>
              <w:top w:w="15" w:type="dxa"/>
              <w:left w:w="15" w:type="dxa"/>
              <w:right w:w="15" w:type="dxa"/>
            </w:tcMar>
            <w:vAlign w:val="center"/>
          </w:tcPr>
          <w:p w14:paraId="717B3669" w14:textId="77777777" w:rsidR="001A4D74" w:rsidRPr="0043215C" w:rsidRDefault="001A4D74">
            <w:pPr>
              <w:spacing w:after="0"/>
              <w:rPr>
                <w:rFonts w:cstheme="minorHAnsi"/>
                <w:sz w:val="20"/>
                <w:szCs w:val="20"/>
              </w:rPr>
            </w:pPr>
            <w:r w:rsidRPr="0043215C">
              <w:rPr>
                <w:rFonts w:eastAsia="Calibri" w:cstheme="minorHAnsi"/>
                <w:b/>
                <w:bCs/>
                <w:color w:val="000000" w:themeColor="text1"/>
                <w:sz w:val="20"/>
                <w:szCs w:val="20"/>
              </w:rPr>
              <w:t>Net Foreign Direct Investment (% of GDP)</w:t>
            </w:r>
            <w:r w:rsidRPr="0043215C">
              <w:rPr>
                <w:rFonts w:eastAsia="Calibri" w:cstheme="minorHAnsi"/>
                <w:color w:val="000000" w:themeColor="text1"/>
                <w:sz w:val="20"/>
                <w:szCs w:val="20"/>
              </w:rPr>
              <w:t xml:space="preserve"> </w:t>
            </w:r>
          </w:p>
        </w:tc>
        <w:tc>
          <w:tcPr>
            <w:tcW w:w="676" w:type="dxa"/>
            <w:tcMar>
              <w:top w:w="15" w:type="dxa"/>
              <w:left w:w="15" w:type="dxa"/>
              <w:right w:w="15" w:type="dxa"/>
            </w:tcMar>
            <w:vAlign w:val="center"/>
          </w:tcPr>
          <w:p w14:paraId="1EE34944"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0.6 </w:t>
            </w:r>
          </w:p>
        </w:tc>
        <w:tc>
          <w:tcPr>
            <w:tcW w:w="675" w:type="dxa"/>
            <w:tcMar>
              <w:top w:w="15" w:type="dxa"/>
              <w:left w:w="15" w:type="dxa"/>
              <w:right w:w="15" w:type="dxa"/>
            </w:tcMar>
            <w:vAlign w:val="center"/>
          </w:tcPr>
          <w:p w14:paraId="107E7791"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0.8 </w:t>
            </w:r>
          </w:p>
        </w:tc>
        <w:tc>
          <w:tcPr>
            <w:tcW w:w="675" w:type="dxa"/>
            <w:tcMar>
              <w:top w:w="15" w:type="dxa"/>
              <w:left w:w="15" w:type="dxa"/>
              <w:right w:w="15" w:type="dxa"/>
            </w:tcMar>
            <w:vAlign w:val="center"/>
          </w:tcPr>
          <w:p w14:paraId="5EBDC28D"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1.0 </w:t>
            </w:r>
          </w:p>
        </w:tc>
        <w:tc>
          <w:tcPr>
            <w:tcW w:w="675" w:type="dxa"/>
            <w:tcMar>
              <w:top w:w="15" w:type="dxa"/>
              <w:left w:w="15" w:type="dxa"/>
              <w:right w:w="15" w:type="dxa"/>
            </w:tcMar>
            <w:vAlign w:val="center"/>
          </w:tcPr>
          <w:p w14:paraId="30DD8300"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0.4 </w:t>
            </w:r>
          </w:p>
        </w:tc>
        <w:tc>
          <w:tcPr>
            <w:tcW w:w="678" w:type="dxa"/>
            <w:tcMar>
              <w:top w:w="15" w:type="dxa"/>
              <w:left w:w="15" w:type="dxa"/>
              <w:right w:w="15" w:type="dxa"/>
            </w:tcMar>
            <w:vAlign w:val="bottom"/>
          </w:tcPr>
          <w:p w14:paraId="3CF7606E" w14:textId="2E52DC76" w:rsidR="001A4D74" w:rsidRPr="0043215C" w:rsidRDefault="00F3351F">
            <w:pPr>
              <w:spacing w:after="0"/>
              <w:jc w:val="center"/>
              <w:rPr>
                <w:rFonts w:cstheme="minorHAnsi"/>
                <w:sz w:val="20"/>
                <w:szCs w:val="20"/>
              </w:rPr>
            </w:pPr>
            <w:r w:rsidRPr="0043215C">
              <w:rPr>
                <w:rStyle w:val="normaltextrun"/>
                <w:rFonts w:cstheme="minorHAnsi"/>
                <w:color w:val="000000"/>
                <w:sz w:val="20"/>
                <w:szCs w:val="20"/>
              </w:rPr>
              <w:t>0.9</w:t>
            </w:r>
            <w:r w:rsidRPr="0043215C">
              <w:rPr>
                <w:rStyle w:val="eop"/>
                <w:rFonts w:cstheme="minorHAnsi"/>
                <w:color w:val="000000"/>
                <w:sz w:val="20"/>
                <w:szCs w:val="20"/>
              </w:rPr>
              <w:t> </w:t>
            </w:r>
          </w:p>
        </w:tc>
        <w:tc>
          <w:tcPr>
            <w:tcW w:w="678" w:type="dxa"/>
            <w:tcMar>
              <w:top w:w="15" w:type="dxa"/>
              <w:left w:w="15" w:type="dxa"/>
              <w:right w:w="15" w:type="dxa"/>
            </w:tcMar>
            <w:vAlign w:val="bottom"/>
          </w:tcPr>
          <w:p w14:paraId="793B3619" w14:textId="3BE06280"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1.</w:t>
            </w:r>
            <w:r w:rsidR="00F3351F" w:rsidRPr="0043215C">
              <w:rPr>
                <w:rStyle w:val="normaltextrun"/>
                <w:rFonts w:cstheme="minorHAnsi"/>
                <w:color w:val="000000"/>
                <w:sz w:val="20"/>
                <w:szCs w:val="20"/>
              </w:rPr>
              <w:t>1</w:t>
            </w:r>
            <w:r w:rsidR="00F3351F" w:rsidRPr="0043215C">
              <w:rPr>
                <w:rStyle w:val="eop"/>
                <w:rFonts w:cstheme="minorHAnsi"/>
                <w:color w:val="000000"/>
                <w:sz w:val="20"/>
                <w:szCs w:val="20"/>
              </w:rPr>
              <w:t> </w:t>
            </w:r>
          </w:p>
        </w:tc>
        <w:tc>
          <w:tcPr>
            <w:tcW w:w="678" w:type="dxa"/>
            <w:tcMar>
              <w:top w:w="15" w:type="dxa"/>
              <w:left w:w="15" w:type="dxa"/>
              <w:right w:w="15" w:type="dxa"/>
            </w:tcMar>
            <w:vAlign w:val="bottom"/>
          </w:tcPr>
          <w:p w14:paraId="6F974AA0" w14:textId="2A2F94DB"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1.4</w:t>
            </w:r>
            <w:r w:rsidR="00F3351F" w:rsidRPr="0043215C">
              <w:rPr>
                <w:rStyle w:val="eop"/>
                <w:rFonts w:cstheme="minorHAnsi"/>
                <w:color w:val="000000"/>
                <w:sz w:val="20"/>
                <w:szCs w:val="20"/>
              </w:rPr>
              <w:t> </w:t>
            </w:r>
          </w:p>
        </w:tc>
      </w:tr>
      <w:tr w:rsidR="001A4D74" w:rsidRPr="0043215C" w14:paraId="16E9454F" w14:textId="77777777" w:rsidTr="008F574F">
        <w:trPr>
          <w:trHeight w:val="210"/>
        </w:trPr>
        <w:tc>
          <w:tcPr>
            <w:tcW w:w="4354" w:type="dxa"/>
            <w:tcMar>
              <w:top w:w="15" w:type="dxa"/>
              <w:left w:w="15" w:type="dxa"/>
              <w:right w:w="15" w:type="dxa"/>
            </w:tcMar>
            <w:vAlign w:val="center"/>
          </w:tcPr>
          <w:p w14:paraId="778B713A" w14:textId="77777777" w:rsidR="001A4D74" w:rsidRPr="0043215C" w:rsidRDefault="001A4D74">
            <w:pPr>
              <w:spacing w:after="0"/>
              <w:rPr>
                <w:rFonts w:cstheme="minorHAnsi"/>
                <w:sz w:val="20"/>
                <w:szCs w:val="20"/>
              </w:rPr>
            </w:pPr>
            <w:r w:rsidRPr="0043215C">
              <w:rPr>
                <w:rFonts w:eastAsia="Calibri" w:cstheme="minorHAnsi"/>
                <w:b/>
                <w:bCs/>
                <w:color w:val="000000" w:themeColor="text1"/>
                <w:sz w:val="20"/>
                <w:szCs w:val="20"/>
              </w:rPr>
              <w:t>Fiscal Balance (% of GDP)</w:t>
            </w:r>
            <w:r w:rsidRPr="0043215C">
              <w:rPr>
                <w:rFonts w:eastAsia="Calibri" w:cstheme="minorHAnsi"/>
                <w:color w:val="000000" w:themeColor="text1"/>
                <w:sz w:val="20"/>
                <w:szCs w:val="20"/>
              </w:rPr>
              <w:t xml:space="preserve"> </w:t>
            </w:r>
          </w:p>
        </w:tc>
        <w:tc>
          <w:tcPr>
            <w:tcW w:w="676" w:type="dxa"/>
            <w:tcMar>
              <w:top w:w="15" w:type="dxa"/>
              <w:left w:w="15" w:type="dxa"/>
              <w:right w:w="15" w:type="dxa"/>
            </w:tcMar>
            <w:vAlign w:val="center"/>
          </w:tcPr>
          <w:p w14:paraId="3B83C731"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-3.9 </w:t>
            </w:r>
          </w:p>
        </w:tc>
        <w:tc>
          <w:tcPr>
            <w:tcW w:w="675" w:type="dxa"/>
            <w:tcMar>
              <w:top w:w="15" w:type="dxa"/>
              <w:left w:w="15" w:type="dxa"/>
              <w:right w:w="15" w:type="dxa"/>
            </w:tcMar>
            <w:vAlign w:val="center"/>
          </w:tcPr>
          <w:p w14:paraId="497D65DD"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-2.6 </w:t>
            </w:r>
          </w:p>
        </w:tc>
        <w:tc>
          <w:tcPr>
            <w:tcW w:w="675" w:type="dxa"/>
            <w:tcMar>
              <w:top w:w="15" w:type="dxa"/>
              <w:left w:w="15" w:type="dxa"/>
              <w:right w:w="15" w:type="dxa"/>
            </w:tcMar>
            <w:vAlign w:val="center"/>
          </w:tcPr>
          <w:p w14:paraId="6AB99890"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-0.8</w:t>
            </w:r>
          </w:p>
        </w:tc>
        <w:tc>
          <w:tcPr>
            <w:tcW w:w="675" w:type="dxa"/>
            <w:tcMar>
              <w:top w:w="15" w:type="dxa"/>
              <w:left w:w="15" w:type="dxa"/>
              <w:right w:w="15" w:type="dxa"/>
            </w:tcMar>
            <w:vAlign w:val="center"/>
          </w:tcPr>
          <w:p w14:paraId="6D1EBEE0"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-5.4 </w:t>
            </w:r>
          </w:p>
        </w:tc>
        <w:tc>
          <w:tcPr>
            <w:tcW w:w="678" w:type="dxa"/>
            <w:tcMar>
              <w:top w:w="15" w:type="dxa"/>
              <w:left w:w="15" w:type="dxa"/>
              <w:right w:w="15" w:type="dxa"/>
            </w:tcMar>
            <w:vAlign w:val="bottom"/>
          </w:tcPr>
          <w:p w14:paraId="4F8D8D29" w14:textId="687BC9DC"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-5.</w:t>
            </w:r>
            <w:r w:rsidR="00F3351F" w:rsidRPr="0043215C">
              <w:rPr>
                <w:rStyle w:val="normaltextrun"/>
                <w:rFonts w:cstheme="minorHAnsi"/>
                <w:color w:val="000000"/>
                <w:sz w:val="20"/>
                <w:szCs w:val="20"/>
              </w:rPr>
              <w:t>4</w:t>
            </w:r>
            <w:r w:rsidR="00F3351F" w:rsidRPr="0043215C">
              <w:rPr>
                <w:rStyle w:val="eop"/>
                <w:rFonts w:cstheme="minorHAnsi"/>
                <w:color w:val="000000"/>
                <w:sz w:val="20"/>
                <w:szCs w:val="20"/>
              </w:rPr>
              <w:t> </w:t>
            </w:r>
          </w:p>
        </w:tc>
        <w:tc>
          <w:tcPr>
            <w:tcW w:w="678" w:type="dxa"/>
            <w:tcMar>
              <w:top w:w="15" w:type="dxa"/>
              <w:left w:w="15" w:type="dxa"/>
              <w:right w:w="15" w:type="dxa"/>
            </w:tcMar>
            <w:vAlign w:val="bottom"/>
          </w:tcPr>
          <w:p w14:paraId="046D4C6B" w14:textId="6FFBFAE0"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-3.</w:t>
            </w:r>
            <w:r w:rsidR="00F3351F" w:rsidRPr="0043215C">
              <w:rPr>
                <w:rStyle w:val="normaltextrun"/>
                <w:rFonts w:cstheme="minorHAnsi"/>
                <w:color w:val="000000"/>
                <w:sz w:val="20"/>
                <w:szCs w:val="20"/>
              </w:rPr>
              <w:t>7</w:t>
            </w:r>
            <w:r w:rsidR="00F3351F" w:rsidRPr="0043215C">
              <w:rPr>
                <w:rStyle w:val="eop"/>
                <w:rFonts w:cstheme="minorHAnsi"/>
                <w:color w:val="000000"/>
                <w:sz w:val="20"/>
                <w:szCs w:val="20"/>
              </w:rPr>
              <w:t> </w:t>
            </w:r>
          </w:p>
        </w:tc>
        <w:tc>
          <w:tcPr>
            <w:tcW w:w="678" w:type="dxa"/>
            <w:tcMar>
              <w:top w:w="15" w:type="dxa"/>
              <w:left w:w="15" w:type="dxa"/>
              <w:right w:w="15" w:type="dxa"/>
            </w:tcMar>
            <w:vAlign w:val="bottom"/>
          </w:tcPr>
          <w:p w14:paraId="70195546" w14:textId="5B2E8247"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-2.</w:t>
            </w:r>
            <w:r w:rsidR="00F3351F" w:rsidRPr="0043215C">
              <w:rPr>
                <w:rStyle w:val="normaltextrun"/>
                <w:rFonts w:cstheme="minorHAnsi"/>
                <w:color w:val="000000"/>
                <w:sz w:val="20"/>
                <w:szCs w:val="20"/>
              </w:rPr>
              <w:t>4</w:t>
            </w:r>
            <w:r w:rsidR="00F3351F" w:rsidRPr="0043215C">
              <w:rPr>
                <w:rStyle w:val="eop"/>
                <w:rFonts w:cstheme="minorHAnsi"/>
                <w:color w:val="000000"/>
                <w:sz w:val="20"/>
                <w:szCs w:val="20"/>
              </w:rPr>
              <w:t> </w:t>
            </w:r>
          </w:p>
        </w:tc>
      </w:tr>
      <w:tr w:rsidR="001A4D74" w:rsidRPr="0043215C" w14:paraId="4AE0A6E3" w14:textId="77777777" w:rsidTr="008F574F">
        <w:trPr>
          <w:trHeight w:val="210"/>
        </w:trPr>
        <w:tc>
          <w:tcPr>
            <w:tcW w:w="4354" w:type="dxa"/>
            <w:tcMar>
              <w:top w:w="15" w:type="dxa"/>
              <w:left w:w="15" w:type="dxa"/>
              <w:right w:w="15" w:type="dxa"/>
            </w:tcMar>
            <w:vAlign w:val="center"/>
          </w:tcPr>
          <w:p w14:paraId="0E14AA50" w14:textId="77777777" w:rsidR="001A4D74" w:rsidRPr="0043215C" w:rsidRDefault="001A4D74">
            <w:pPr>
              <w:spacing w:after="0"/>
              <w:rPr>
                <w:rFonts w:cstheme="minorHAnsi"/>
                <w:sz w:val="20"/>
                <w:szCs w:val="20"/>
              </w:rPr>
            </w:pPr>
            <w:r w:rsidRPr="0043215C">
              <w:rPr>
                <w:rFonts w:eastAsia="Calibri" w:cstheme="minorHAnsi"/>
                <w:b/>
                <w:bCs/>
                <w:color w:val="000000" w:themeColor="text1"/>
                <w:sz w:val="20"/>
                <w:szCs w:val="20"/>
              </w:rPr>
              <w:t>Debt (% of GDP)</w:t>
            </w:r>
            <w:r w:rsidRPr="0043215C">
              <w:rPr>
                <w:rFonts w:eastAsia="Calibri" w:cstheme="minorHAnsi"/>
                <w:color w:val="000000" w:themeColor="text1"/>
                <w:sz w:val="20"/>
                <w:szCs w:val="20"/>
              </w:rPr>
              <w:t xml:space="preserve"> </w:t>
            </w:r>
          </w:p>
        </w:tc>
        <w:tc>
          <w:tcPr>
            <w:tcW w:w="676" w:type="dxa"/>
            <w:tcMar>
              <w:top w:w="15" w:type="dxa"/>
              <w:left w:w="15" w:type="dxa"/>
              <w:right w:w="15" w:type="dxa"/>
            </w:tcMar>
            <w:vAlign w:val="center"/>
          </w:tcPr>
          <w:p w14:paraId="49D684E5"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39.4 </w:t>
            </w:r>
          </w:p>
        </w:tc>
        <w:tc>
          <w:tcPr>
            <w:tcW w:w="675" w:type="dxa"/>
            <w:tcMar>
              <w:top w:w="15" w:type="dxa"/>
              <w:left w:w="15" w:type="dxa"/>
              <w:right w:w="15" w:type="dxa"/>
            </w:tcMar>
            <w:vAlign w:val="center"/>
          </w:tcPr>
          <w:p w14:paraId="45B52A1F"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40.4 </w:t>
            </w:r>
          </w:p>
        </w:tc>
        <w:tc>
          <w:tcPr>
            <w:tcW w:w="675" w:type="dxa"/>
            <w:tcMar>
              <w:top w:w="15" w:type="dxa"/>
              <w:left w:w="15" w:type="dxa"/>
              <w:right w:w="15" w:type="dxa"/>
            </w:tcMar>
            <w:vAlign w:val="center"/>
          </w:tcPr>
          <w:p w14:paraId="521DB470"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30.8 </w:t>
            </w:r>
          </w:p>
        </w:tc>
        <w:tc>
          <w:tcPr>
            <w:tcW w:w="675" w:type="dxa"/>
            <w:tcMar>
              <w:top w:w="15" w:type="dxa"/>
              <w:left w:w="15" w:type="dxa"/>
              <w:right w:w="15" w:type="dxa"/>
            </w:tcMar>
            <w:vAlign w:val="center"/>
          </w:tcPr>
          <w:p w14:paraId="58A009F9"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29.5</w:t>
            </w:r>
          </w:p>
        </w:tc>
        <w:tc>
          <w:tcPr>
            <w:tcW w:w="678" w:type="dxa"/>
            <w:tcMar>
              <w:top w:w="15" w:type="dxa"/>
              <w:left w:w="15" w:type="dxa"/>
              <w:right w:w="15" w:type="dxa"/>
            </w:tcMar>
            <w:vAlign w:val="bottom"/>
          </w:tcPr>
          <w:p w14:paraId="0EAB74C5" w14:textId="12E54084"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29.9</w:t>
            </w:r>
            <w:r w:rsidR="00F3351F" w:rsidRPr="0043215C">
              <w:rPr>
                <w:rStyle w:val="eop"/>
                <w:rFonts w:cstheme="minorHAnsi"/>
                <w:color w:val="000000"/>
                <w:sz w:val="20"/>
                <w:szCs w:val="20"/>
              </w:rPr>
              <w:t> </w:t>
            </w:r>
          </w:p>
        </w:tc>
        <w:tc>
          <w:tcPr>
            <w:tcW w:w="678" w:type="dxa"/>
            <w:tcMar>
              <w:top w:w="15" w:type="dxa"/>
              <w:left w:w="15" w:type="dxa"/>
              <w:right w:w="15" w:type="dxa"/>
            </w:tcMar>
            <w:vAlign w:val="bottom"/>
          </w:tcPr>
          <w:p w14:paraId="62AB5ED7" w14:textId="7FE8C744" w:rsidR="001A4D74" w:rsidRPr="0043215C" w:rsidRDefault="00F3351F">
            <w:pPr>
              <w:spacing w:after="0"/>
              <w:jc w:val="center"/>
              <w:rPr>
                <w:rFonts w:cstheme="minorHAnsi"/>
                <w:sz w:val="20"/>
                <w:szCs w:val="20"/>
              </w:rPr>
            </w:pPr>
            <w:r w:rsidRPr="0043215C">
              <w:rPr>
                <w:rStyle w:val="normaltextrun"/>
                <w:rFonts w:cstheme="minorHAnsi"/>
                <w:color w:val="000000"/>
                <w:sz w:val="20"/>
                <w:szCs w:val="20"/>
              </w:rPr>
              <w:t>30</w:t>
            </w:r>
            <w:r w:rsidR="001A4D74" w:rsidRPr="0043215C">
              <w:rPr>
                <w:rStyle w:val="normaltextrun"/>
                <w:rFonts w:cstheme="minorHAnsi"/>
                <w:color w:val="000000"/>
                <w:sz w:val="20"/>
                <w:szCs w:val="20"/>
              </w:rPr>
              <w:t>.5</w:t>
            </w:r>
            <w:r w:rsidRPr="0043215C">
              <w:rPr>
                <w:rStyle w:val="eop"/>
                <w:rFonts w:cstheme="minorHAnsi"/>
                <w:color w:val="000000"/>
                <w:sz w:val="20"/>
                <w:szCs w:val="20"/>
              </w:rPr>
              <w:t> </w:t>
            </w:r>
          </w:p>
        </w:tc>
        <w:tc>
          <w:tcPr>
            <w:tcW w:w="678" w:type="dxa"/>
            <w:tcMar>
              <w:top w:w="15" w:type="dxa"/>
              <w:left w:w="15" w:type="dxa"/>
              <w:right w:w="15" w:type="dxa"/>
            </w:tcMar>
            <w:vAlign w:val="bottom"/>
          </w:tcPr>
          <w:p w14:paraId="63623D90" w14:textId="20316834" w:rsidR="001A4D74" w:rsidRPr="0043215C" w:rsidRDefault="00F3351F">
            <w:pPr>
              <w:spacing w:after="0"/>
              <w:jc w:val="center"/>
              <w:rPr>
                <w:rFonts w:cstheme="minorHAnsi"/>
                <w:sz w:val="20"/>
                <w:szCs w:val="20"/>
              </w:rPr>
            </w:pPr>
            <w:r w:rsidRPr="0043215C">
              <w:rPr>
                <w:rStyle w:val="normaltextrun"/>
                <w:rFonts w:cstheme="minorHAnsi"/>
                <w:color w:val="000000"/>
                <w:sz w:val="20"/>
                <w:szCs w:val="20"/>
              </w:rPr>
              <w:t>31.2</w:t>
            </w:r>
            <w:r w:rsidRPr="0043215C">
              <w:rPr>
                <w:rStyle w:val="eop"/>
                <w:rFonts w:cstheme="minorHAnsi"/>
                <w:color w:val="000000"/>
                <w:sz w:val="20"/>
                <w:szCs w:val="20"/>
              </w:rPr>
              <w:t> </w:t>
            </w:r>
          </w:p>
        </w:tc>
      </w:tr>
      <w:tr w:rsidR="001A4D74" w:rsidRPr="0043215C" w14:paraId="1D8E8C5F" w14:textId="77777777" w:rsidTr="008F574F">
        <w:trPr>
          <w:trHeight w:val="210"/>
        </w:trPr>
        <w:tc>
          <w:tcPr>
            <w:tcW w:w="4354" w:type="dxa"/>
            <w:tcMar>
              <w:top w:w="15" w:type="dxa"/>
              <w:left w:w="15" w:type="dxa"/>
              <w:right w:w="15" w:type="dxa"/>
            </w:tcMar>
            <w:vAlign w:val="center"/>
          </w:tcPr>
          <w:p w14:paraId="276F29AF" w14:textId="77777777" w:rsidR="001A4D74" w:rsidRPr="0043215C" w:rsidRDefault="001A4D74">
            <w:pPr>
              <w:spacing w:after="0"/>
              <w:rPr>
                <w:rFonts w:cstheme="minorHAnsi"/>
                <w:sz w:val="20"/>
                <w:szCs w:val="20"/>
              </w:rPr>
            </w:pPr>
            <w:r w:rsidRPr="0043215C">
              <w:rPr>
                <w:rFonts w:eastAsia="Calibri" w:cstheme="minorHAnsi"/>
                <w:b/>
                <w:bCs/>
                <w:color w:val="000000" w:themeColor="text1"/>
                <w:sz w:val="20"/>
                <w:szCs w:val="20"/>
              </w:rPr>
              <w:t>Primary Balance (% of GDP)</w:t>
            </w:r>
            <w:r w:rsidRPr="0043215C">
              <w:rPr>
                <w:rFonts w:eastAsia="Calibri" w:cstheme="minorHAnsi"/>
                <w:color w:val="000000" w:themeColor="text1"/>
                <w:sz w:val="20"/>
                <w:szCs w:val="20"/>
              </w:rPr>
              <w:t xml:space="preserve"> </w:t>
            </w:r>
          </w:p>
        </w:tc>
        <w:tc>
          <w:tcPr>
            <w:tcW w:w="676" w:type="dxa"/>
            <w:tcMar>
              <w:top w:w="15" w:type="dxa"/>
              <w:left w:w="15" w:type="dxa"/>
              <w:right w:w="15" w:type="dxa"/>
            </w:tcMar>
            <w:vAlign w:val="center"/>
          </w:tcPr>
          <w:p w14:paraId="6E9EE288"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-1.1 </w:t>
            </w:r>
          </w:p>
        </w:tc>
        <w:tc>
          <w:tcPr>
            <w:tcW w:w="675" w:type="dxa"/>
            <w:tcMar>
              <w:top w:w="15" w:type="dxa"/>
              <w:left w:w="15" w:type="dxa"/>
              <w:right w:w="15" w:type="dxa"/>
            </w:tcMar>
            <w:vAlign w:val="center"/>
          </w:tcPr>
          <w:p w14:paraId="606571F1"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0.0 </w:t>
            </w:r>
          </w:p>
        </w:tc>
        <w:tc>
          <w:tcPr>
            <w:tcW w:w="675" w:type="dxa"/>
            <w:tcMar>
              <w:top w:w="15" w:type="dxa"/>
              <w:left w:w="15" w:type="dxa"/>
              <w:right w:w="15" w:type="dxa"/>
            </w:tcMar>
            <w:vAlign w:val="center"/>
          </w:tcPr>
          <w:p w14:paraId="2ED1122E"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1.4</w:t>
            </w:r>
          </w:p>
        </w:tc>
        <w:tc>
          <w:tcPr>
            <w:tcW w:w="675" w:type="dxa"/>
            <w:tcMar>
              <w:top w:w="15" w:type="dxa"/>
              <w:left w:w="15" w:type="dxa"/>
              <w:right w:w="15" w:type="dxa"/>
            </w:tcMar>
            <w:vAlign w:val="center"/>
          </w:tcPr>
          <w:p w14:paraId="25B32A35"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-2.5</w:t>
            </w:r>
          </w:p>
        </w:tc>
        <w:tc>
          <w:tcPr>
            <w:tcW w:w="678" w:type="dxa"/>
            <w:tcMar>
              <w:top w:w="15" w:type="dxa"/>
              <w:left w:w="15" w:type="dxa"/>
              <w:right w:w="15" w:type="dxa"/>
            </w:tcMar>
            <w:vAlign w:val="bottom"/>
          </w:tcPr>
          <w:p w14:paraId="6566EF45" w14:textId="2E927176" w:rsidR="001A4D74" w:rsidRPr="0043215C" w:rsidRDefault="00F3351F">
            <w:pPr>
              <w:spacing w:after="0"/>
              <w:jc w:val="center"/>
              <w:rPr>
                <w:rFonts w:cstheme="minorHAnsi"/>
                <w:sz w:val="20"/>
                <w:szCs w:val="20"/>
              </w:rPr>
            </w:pPr>
            <w:r w:rsidRPr="0043215C">
              <w:rPr>
                <w:rStyle w:val="normaltextrun"/>
                <w:rFonts w:cstheme="minorHAnsi"/>
                <w:color w:val="000000"/>
                <w:sz w:val="20"/>
                <w:szCs w:val="20"/>
              </w:rPr>
              <w:t>-0.8</w:t>
            </w:r>
            <w:r w:rsidRPr="0043215C">
              <w:rPr>
                <w:rStyle w:val="eop"/>
                <w:rFonts w:cstheme="minorHAnsi"/>
                <w:color w:val="000000"/>
                <w:sz w:val="20"/>
                <w:szCs w:val="20"/>
              </w:rPr>
              <w:t> </w:t>
            </w:r>
          </w:p>
        </w:tc>
        <w:tc>
          <w:tcPr>
            <w:tcW w:w="678" w:type="dxa"/>
            <w:tcMar>
              <w:top w:w="15" w:type="dxa"/>
              <w:left w:w="15" w:type="dxa"/>
              <w:right w:w="15" w:type="dxa"/>
            </w:tcMar>
            <w:vAlign w:val="bottom"/>
          </w:tcPr>
          <w:p w14:paraId="38F616DD" w14:textId="33CBAD60"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0.</w:t>
            </w:r>
            <w:r w:rsidR="00F3351F" w:rsidRPr="0043215C">
              <w:rPr>
                <w:rStyle w:val="normaltextrun"/>
                <w:rFonts w:cstheme="minorHAnsi"/>
                <w:color w:val="000000"/>
                <w:sz w:val="20"/>
                <w:szCs w:val="20"/>
              </w:rPr>
              <w:t>6</w:t>
            </w:r>
            <w:r w:rsidR="00F3351F" w:rsidRPr="0043215C">
              <w:rPr>
                <w:rStyle w:val="eop"/>
                <w:rFonts w:cstheme="minorHAnsi"/>
                <w:color w:val="000000"/>
                <w:sz w:val="20"/>
                <w:szCs w:val="20"/>
              </w:rPr>
              <w:t> </w:t>
            </w:r>
          </w:p>
        </w:tc>
        <w:tc>
          <w:tcPr>
            <w:tcW w:w="678" w:type="dxa"/>
            <w:tcMar>
              <w:top w:w="15" w:type="dxa"/>
              <w:left w:w="15" w:type="dxa"/>
              <w:right w:w="15" w:type="dxa"/>
            </w:tcMar>
            <w:vAlign w:val="bottom"/>
          </w:tcPr>
          <w:p w14:paraId="53D7EC3C" w14:textId="27C71711"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0.</w:t>
            </w:r>
            <w:r w:rsidR="00F3351F" w:rsidRPr="0043215C">
              <w:rPr>
                <w:rStyle w:val="normaltextrun"/>
                <w:rFonts w:cstheme="minorHAnsi"/>
                <w:color w:val="000000"/>
                <w:sz w:val="20"/>
                <w:szCs w:val="20"/>
              </w:rPr>
              <w:t>7</w:t>
            </w:r>
            <w:r w:rsidR="00F3351F" w:rsidRPr="0043215C">
              <w:rPr>
                <w:rStyle w:val="eop"/>
                <w:rFonts w:cstheme="minorHAnsi"/>
                <w:color w:val="000000"/>
                <w:sz w:val="20"/>
                <w:szCs w:val="20"/>
              </w:rPr>
              <w:t> </w:t>
            </w:r>
          </w:p>
        </w:tc>
      </w:tr>
      <w:tr w:rsidR="001A4D74" w:rsidRPr="0043215C" w14:paraId="507BB5D6" w14:textId="77777777" w:rsidTr="008F574F">
        <w:trPr>
          <w:trHeight w:val="240"/>
        </w:trPr>
        <w:tc>
          <w:tcPr>
            <w:tcW w:w="4354" w:type="dxa"/>
            <w:tcMar>
              <w:top w:w="15" w:type="dxa"/>
              <w:left w:w="15" w:type="dxa"/>
              <w:right w:w="15" w:type="dxa"/>
            </w:tcMar>
            <w:vAlign w:val="center"/>
          </w:tcPr>
          <w:p w14:paraId="00ABD26F" w14:textId="06D5452D" w:rsidR="001A4D74" w:rsidRPr="0043215C" w:rsidRDefault="001A4D74">
            <w:pPr>
              <w:spacing w:after="0"/>
              <w:rPr>
                <w:rFonts w:cstheme="minorHAnsi"/>
                <w:sz w:val="20"/>
                <w:szCs w:val="20"/>
              </w:rPr>
            </w:pPr>
            <w:r w:rsidRPr="0043215C">
              <w:rPr>
                <w:rFonts w:eastAsia="Calibri" w:cstheme="minorHAnsi"/>
                <w:b/>
                <w:bCs/>
                <w:color w:val="000000" w:themeColor="text1"/>
                <w:sz w:val="20"/>
                <w:szCs w:val="20"/>
              </w:rPr>
              <w:t>Upper middle-income poverty rate (</w:t>
            </w:r>
            <w:r w:rsidR="00636124" w:rsidRPr="0043215C">
              <w:rPr>
                <w:rFonts w:eastAsia="Calibri" w:cstheme="minorHAnsi"/>
                <w:b/>
                <w:bCs/>
                <w:color w:val="000000" w:themeColor="text1"/>
                <w:sz w:val="20"/>
                <w:szCs w:val="20"/>
              </w:rPr>
              <w:t>US$</w:t>
            </w:r>
            <w:r w:rsidRPr="0043215C">
              <w:rPr>
                <w:rFonts w:eastAsia="Calibri" w:cstheme="minorHAnsi"/>
                <w:color w:val="000000" w:themeColor="text1"/>
                <w:sz w:val="20"/>
                <w:szCs w:val="20"/>
              </w:rPr>
              <w:t xml:space="preserve"> </w:t>
            </w:r>
            <w:r w:rsidRPr="0043215C">
              <w:rPr>
                <w:rFonts w:eastAsia="Calibri" w:cstheme="minorHAnsi"/>
                <w:b/>
                <w:bCs/>
                <w:color w:val="000000" w:themeColor="text1"/>
                <w:sz w:val="20"/>
                <w:szCs w:val="20"/>
              </w:rPr>
              <w:t>6.85 in 2017 PPP)</w:t>
            </w:r>
          </w:p>
        </w:tc>
        <w:tc>
          <w:tcPr>
            <w:tcW w:w="676" w:type="dxa"/>
            <w:tcMar>
              <w:top w:w="15" w:type="dxa"/>
              <w:left w:w="15" w:type="dxa"/>
              <w:right w:w="15" w:type="dxa"/>
            </w:tcMar>
            <w:vAlign w:val="center"/>
          </w:tcPr>
          <w:p w14:paraId="5AB4AF75"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9.8 </w:t>
            </w:r>
          </w:p>
        </w:tc>
        <w:tc>
          <w:tcPr>
            <w:tcW w:w="675" w:type="dxa"/>
            <w:tcMar>
              <w:top w:w="15" w:type="dxa"/>
              <w:left w:w="15" w:type="dxa"/>
              <w:right w:w="15" w:type="dxa"/>
            </w:tcMar>
            <w:vAlign w:val="center"/>
          </w:tcPr>
          <w:p w14:paraId="60BC121D" w14:textId="77777777" w:rsidR="001A4D74" w:rsidRPr="0043215C" w:rsidRDefault="001A4D74">
            <w:pPr>
              <w:spacing w:after="0"/>
              <w:jc w:val="center"/>
              <w:rPr>
                <w:rFonts w:cstheme="minorHAnsi"/>
                <w:sz w:val="20"/>
                <w:szCs w:val="20"/>
              </w:rPr>
            </w:pPr>
            <w:r w:rsidRPr="0043215C">
              <w:rPr>
                <w:rFonts w:eastAsia="Calibri" w:cstheme="minorHAnsi"/>
                <w:color w:val="000000" w:themeColor="text1"/>
                <w:sz w:val="20"/>
                <w:szCs w:val="20"/>
              </w:rPr>
              <w:t xml:space="preserve">7.6 </w:t>
            </w:r>
          </w:p>
        </w:tc>
        <w:tc>
          <w:tcPr>
            <w:tcW w:w="675" w:type="dxa"/>
            <w:tcMar>
              <w:top w:w="15" w:type="dxa"/>
              <w:left w:w="15" w:type="dxa"/>
              <w:right w:w="15" w:type="dxa"/>
            </w:tcMar>
            <w:vAlign w:val="bottom"/>
          </w:tcPr>
          <w:p w14:paraId="2A0FDC72" w14:textId="2385521A" w:rsidR="001A4D74" w:rsidRPr="0043215C" w:rsidRDefault="001A4D74">
            <w:pPr>
              <w:spacing w:after="0"/>
              <w:jc w:val="center"/>
              <w:rPr>
                <w:rFonts w:cstheme="minorHAnsi"/>
                <w:sz w:val="20"/>
                <w:szCs w:val="20"/>
              </w:rPr>
            </w:pPr>
            <w:r w:rsidRPr="0043215C">
              <w:rPr>
                <w:rStyle w:val="normaltextrun"/>
                <w:rFonts w:cstheme="minorHAnsi"/>
                <w:color w:val="000000"/>
                <w:sz w:val="20"/>
                <w:szCs w:val="20"/>
              </w:rPr>
              <w:t>7.</w:t>
            </w:r>
            <w:r w:rsidR="00C01524" w:rsidRPr="0043215C">
              <w:rPr>
                <w:rStyle w:val="normaltextrun"/>
                <w:rFonts w:cstheme="minorHAnsi"/>
                <w:color w:val="000000"/>
                <w:sz w:val="20"/>
                <w:szCs w:val="20"/>
              </w:rPr>
              <w:t>0</w:t>
            </w:r>
            <w:r w:rsidR="00C01524" w:rsidRPr="0043215C">
              <w:rPr>
                <w:rStyle w:val="eop"/>
                <w:rFonts w:cstheme="minorHAnsi"/>
                <w:color w:val="000000"/>
                <w:sz w:val="20"/>
                <w:szCs w:val="20"/>
              </w:rPr>
              <w:t> </w:t>
            </w:r>
          </w:p>
        </w:tc>
        <w:tc>
          <w:tcPr>
            <w:tcW w:w="675" w:type="dxa"/>
            <w:tcMar>
              <w:top w:w="15" w:type="dxa"/>
              <w:left w:w="15" w:type="dxa"/>
              <w:right w:w="15" w:type="dxa"/>
            </w:tcMar>
            <w:vAlign w:val="bottom"/>
          </w:tcPr>
          <w:p w14:paraId="3D88C932" w14:textId="556D31DB" w:rsidR="001A4D74" w:rsidRPr="0043215C" w:rsidRDefault="00C01524">
            <w:pPr>
              <w:spacing w:after="0"/>
              <w:jc w:val="center"/>
              <w:rPr>
                <w:rFonts w:cstheme="minorHAnsi"/>
                <w:sz w:val="20"/>
                <w:szCs w:val="20"/>
              </w:rPr>
            </w:pPr>
            <w:r w:rsidRPr="0043215C">
              <w:rPr>
                <w:rStyle w:val="normaltextrun"/>
                <w:rFonts w:cstheme="minorHAnsi"/>
                <w:color w:val="000000"/>
                <w:sz w:val="20"/>
                <w:szCs w:val="20"/>
              </w:rPr>
              <w:t>6.6</w:t>
            </w:r>
            <w:r w:rsidRPr="0043215C">
              <w:rPr>
                <w:rStyle w:val="eop"/>
                <w:rFonts w:cstheme="minorHAnsi"/>
                <w:color w:val="000000"/>
                <w:sz w:val="20"/>
                <w:szCs w:val="20"/>
              </w:rPr>
              <w:t> </w:t>
            </w:r>
          </w:p>
        </w:tc>
        <w:tc>
          <w:tcPr>
            <w:tcW w:w="678" w:type="dxa"/>
            <w:tcMar>
              <w:top w:w="15" w:type="dxa"/>
              <w:left w:w="15" w:type="dxa"/>
              <w:right w:w="15" w:type="dxa"/>
            </w:tcMar>
            <w:vAlign w:val="bottom"/>
          </w:tcPr>
          <w:p w14:paraId="439B5D74" w14:textId="591E789F" w:rsidR="001A4D74" w:rsidRPr="0043215C" w:rsidRDefault="00F3351F">
            <w:pPr>
              <w:spacing w:after="0"/>
              <w:jc w:val="center"/>
              <w:rPr>
                <w:rFonts w:cstheme="minorHAnsi"/>
                <w:sz w:val="20"/>
                <w:szCs w:val="20"/>
              </w:rPr>
            </w:pPr>
            <w:r w:rsidRPr="0043215C">
              <w:rPr>
                <w:rStyle w:val="normaltextrun"/>
                <w:rFonts w:cstheme="minorHAnsi"/>
                <w:color w:val="000000"/>
                <w:sz w:val="20"/>
                <w:szCs w:val="20"/>
              </w:rPr>
              <w:t>6.4</w:t>
            </w:r>
            <w:r w:rsidRPr="0043215C">
              <w:rPr>
                <w:rStyle w:val="eop"/>
                <w:rFonts w:cstheme="minorHAnsi"/>
                <w:color w:val="000000"/>
                <w:sz w:val="20"/>
                <w:szCs w:val="20"/>
              </w:rPr>
              <w:t> </w:t>
            </w:r>
          </w:p>
        </w:tc>
        <w:tc>
          <w:tcPr>
            <w:tcW w:w="678" w:type="dxa"/>
            <w:tcMar>
              <w:top w:w="15" w:type="dxa"/>
              <w:left w:w="15" w:type="dxa"/>
              <w:right w:w="15" w:type="dxa"/>
            </w:tcMar>
            <w:vAlign w:val="bottom"/>
          </w:tcPr>
          <w:p w14:paraId="3A5D0043" w14:textId="01065258" w:rsidR="001A4D74" w:rsidRPr="0043215C" w:rsidRDefault="00F3351F">
            <w:pPr>
              <w:spacing w:after="0"/>
              <w:jc w:val="center"/>
              <w:rPr>
                <w:rFonts w:cstheme="minorHAnsi"/>
                <w:sz w:val="20"/>
                <w:szCs w:val="20"/>
              </w:rPr>
            </w:pPr>
            <w:r w:rsidRPr="0043215C">
              <w:rPr>
                <w:rStyle w:val="normaltextrun"/>
                <w:rFonts w:cstheme="minorHAnsi"/>
                <w:color w:val="000000"/>
                <w:sz w:val="20"/>
                <w:szCs w:val="20"/>
              </w:rPr>
              <w:t>6.1</w:t>
            </w:r>
            <w:r w:rsidRPr="0043215C">
              <w:rPr>
                <w:rStyle w:val="eop"/>
                <w:rFonts w:cstheme="minorHAnsi"/>
                <w:color w:val="000000"/>
                <w:sz w:val="20"/>
                <w:szCs w:val="20"/>
              </w:rPr>
              <w:t> </w:t>
            </w:r>
          </w:p>
        </w:tc>
        <w:tc>
          <w:tcPr>
            <w:tcW w:w="678" w:type="dxa"/>
            <w:tcMar>
              <w:top w:w="15" w:type="dxa"/>
              <w:left w:w="15" w:type="dxa"/>
              <w:right w:w="15" w:type="dxa"/>
            </w:tcMar>
            <w:vAlign w:val="bottom"/>
          </w:tcPr>
          <w:p w14:paraId="1CDFCB01" w14:textId="4650A5BE" w:rsidR="001A4D74" w:rsidRPr="0043215C" w:rsidRDefault="00F3351F">
            <w:pPr>
              <w:spacing w:after="0"/>
              <w:jc w:val="center"/>
              <w:rPr>
                <w:rFonts w:cstheme="minorHAnsi"/>
                <w:sz w:val="20"/>
                <w:szCs w:val="20"/>
              </w:rPr>
            </w:pPr>
            <w:r w:rsidRPr="0043215C">
              <w:rPr>
                <w:rStyle w:val="normaltextrun"/>
                <w:rFonts w:cstheme="minorHAnsi"/>
                <w:color w:val="000000"/>
                <w:sz w:val="20"/>
                <w:szCs w:val="20"/>
              </w:rPr>
              <w:t>5.</w:t>
            </w:r>
            <w:r w:rsidR="001A4D74" w:rsidRPr="0043215C">
              <w:rPr>
                <w:rStyle w:val="normaltextrun"/>
                <w:rFonts w:cstheme="minorHAnsi"/>
                <w:color w:val="000000"/>
                <w:sz w:val="20"/>
                <w:szCs w:val="20"/>
              </w:rPr>
              <w:t>7</w:t>
            </w:r>
            <w:r w:rsidRPr="0043215C">
              <w:rPr>
                <w:rStyle w:val="eop"/>
                <w:rFonts w:cstheme="minorHAnsi"/>
                <w:color w:val="000000"/>
                <w:sz w:val="20"/>
                <w:szCs w:val="20"/>
              </w:rPr>
              <w:t> </w:t>
            </w:r>
          </w:p>
        </w:tc>
      </w:tr>
      <w:tr w:rsidR="001A4D74" w:rsidRPr="0043215C" w14:paraId="36915C5F" w14:textId="77777777" w:rsidTr="008F574F">
        <w:trPr>
          <w:trHeight w:val="315"/>
        </w:trPr>
        <w:tc>
          <w:tcPr>
            <w:tcW w:w="9089" w:type="dxa"/>
            <w:gridSpan w:val="8"/>
            <w:tcMar>
              <w:top w:w="15" w:type="dxa"/>
              <w:left w:w="15" w:type="dxa"/>
              <w:right w:w="15" w:type="dxa"/>
            </w:tcMar>
            <w:vAlign w:val="center"/>
          </w:tcPr>
          <w:p w14:paraId="34FBAFBB" w14:textId="4936CF48" w:rsidR="001A4D74" w:rsidRPr="0043215C" w:rsidRDefault="001A4D74">
            <w:pPr>
              <w:spacing w:after="0"/>
              <w:rPr>
                <w:rFonts w:cstheme="minorHAnsi"/>
                <w:sz w:val="20"/>
                <w:szCs w:val="20"/>
              </w:rPr>
            </w:pPr>
            <w:r w:rsidRPr="0043215C">
              <w:rPr>
                <w:rFonts w:eastAsia="Calibri" w:cstheme="minorHAnsi"/>
                <w:color w:val="000000" w:themeColor="text1"/>
                <w:sz w:val="20"/>
                <w:szCs w:val="20"/>
              </w:rPr>
              <w:lastRenderedPageBreak/>
              <w:t xml:space="preserve">Source: World Bank Macro Poverty Outlook for Türkiye, </w:t>
            </w:r>
            <w:r w:rsidR="00506ED0" w:rsidRPr="0043215C">
              <w:rPr>
                <w:rFonts w:eastAsia="Calibri" w:cstheme="minorHAnsi"/>
                <w:color w:val="000000" w:themeColor="text1"/>
                <w:sz w:val="20"/>
                <w:szCs w:val="20"/>
              </w:rPr>
              <w:t>Apr</w:t>
            </w:r>
            <w:r w:rsidR="00506ED0" w:rsidRPr="0043215C">
              <w:rPr>
                <w:rFonts w:eastAsia="Calibri" w:cstheme="minorHAnsi"/>
                <w:color w:val="000000" w:themeColor="text1"/>
                <w:sz w:val="20"/>
                <w:szCs w:val="20"/>
                <w:lang w:val="tr-TR"/>
              </w:rPr>
              <w:t xml:space="preserve">il </w:t>
            </w:r>
            <w:r w:rsidRPr="0043215C">
              <w:rPr>
                <w:rFonts w:eastAsia="Calibri" w:cstheme="minorHAnsi"/>
                <w:color w:val="000000" w:themeColor="text1"/>
                <w:sz w:val="20"/>
                <w:szCs w:val="20"/>
              </w:rPr>
              <w:t>202</w:t>
            </w:r>
            <w:r w:rsidR="00506ED0" w:rsidRPr="0043215C">
              <w:rPr>
                <w:rFonts w:eastAsia="Calibri" w:cstheme="minorHAnsi"/>
                <w:color w:val="000000" w:themeColor="text1"/>
                <w:sz w:val="20"/>
                <w:szCs w:val="20"/>
              </w:rPr>
              <w:t>4</w:t>
            </w:r>
            <w:r w:rsidRPr="0043215C">
              <w:rPr>
                <w:rFonts w:eastAsia="Calibri" w:cstheme="minorHAnsi"/>
                <w:color w:val="000000" w:themeColor="text1"/>
                <w:sz w:val="20"/>
                <w:szCs w:val="20"/>
              </w:rPr>
              <w:t>, and WB estimates. Notes: f = forecast. Poverty calculations based on SILC data from the TURKSTAT, actual data: 2021, nowcast: 2022</w:t>
            </w:r>
            <w:r w:rsidR="000C6A81" w:rsidRPr="0043215C">
              <w:rPr>
                <w:rFonts w:eastAsia="Calibri" w:cstheme="minorHAnsi"/>
                <w:color w:val="000000" w:themeColor="text1"/>
                <w:sz w:val="20"/>
                <w:szCs w:val="20"/>
              </w:rPr>
              <w:t>-2023</w:t>
            </w:r>
            <w:r w:rsidRPr="0043215C">
              <w:rPr>
                <w:rFonts w:eastAsia="Calibri" w:cstheme="minorHAnsi"/>
                <w:color w:val="000000" w:themeColor="text1"/>
                <w:sz w:val="20"/>
                <w:szCs w:val="20"/>
              </w:rPr>
              <w:t>, forecasts are from 202</w:t>
            </w:r>
            <w:r w:rsidR="000C6A81" w:rsidRPr="0043215C">
              <w:rPr>
                <w:rFonts w:eastAsia="Calibri" w:cstheme="minorHAnsi"/>
                <w:color w:val="000000" w:themeColor="text1"/>
                <w:sz w:val="20"/>
                <w:szCs w:val="20"/>
              </w:rPr>
              <w:t>4</w:t>
            </w:r>
            <w:r w:rsidRPr="0043215C">
              <w:rPr>
                <w:rFonts w:eastAsia="Calibri" w:cstheme="minorHAnsi"/>
                <w:color w:val="000000" w:themeColor="text1"/>
                <w:sz w:val="20"/>
                <w:szCs w:val="20"/>
              </w:rPr>
              <w:t xml:space="preserve"> to 2026. </w:t>
            </w:r>
          </w:p>
        </w:tc>
      </w:tr>
    </w:tbl>
    <w:p w14:paraId="44BEB7AB" w14:textId="77777777" w:rsidR="001A4D74" w:rsidRPr="0043215C" w:rsidRDefault="001A4D74" w:rsidP="000B46AF">
      <w:pPr>
        <w:autoSpaceDE w:val="0"/>
        <w:autoSpaceDN w:val="0"/>
        <w:adjustRightInd w:val="0"/>
        <w:spacing w:after="0" w:line="240" w:lineRule="auto"/>
        <w:rPr>
          <w:rFonts w:eastAsia="Calibri" w:cstheme="minorHAnsi"/>
          <w:b/>
          <w:bCs/>
          <w:sz w:val="20"/>
          <w:szCs w:val="20"/>
        </w:rPr>
      </w:pPr>
    </w:p>
    <w:p w14:paraId="7FE41888" w14:textId="77777777" w:rsidR="000B46AF" w:rsidRPr="0043215C" w:rsidRDefault="000B46AF" w:rsidP="000B46AF">
      <w:pPr>
        <w:autoSpaceDE w:val="0"/>
        <w:autoSpaceDN w:val="0"/>
        <w:adjustRightInd w:val="0"/>
        <w:spacing w:after="0" w:line="240" w:lineRule="auto"/>
        <w:rPr>
          <w:rFonts w:eastAsia="Calibri" w:cstheme="minorHAnsi"/>
          <w:sz w:val="20"/>
          <w:szCs w:val="20"/>
        </w:rPr>
      </w:pPr>
      <w:r w:rsidRPr="0043215C">
        <w:rPr>
          <w:rFonts w:eastAsia="Calibri" w:cstheme="minorHAnsi"/>
          <w:b/>
          <w:bCs/>
          <w:sz w:val="20"/>
          <w:szCs w:val="20"/>
        </w:rPr>
        <w:t>The heterodox policies introduced before May 2023 to stabilize the lira, reduce dollarization, and direct credit to selected sectors also led to distortions in the financial sector.</w:t>
      </w:r>
      <w:r w:rsidRPr="0043215C">
        <w:rPr>
          <w:rFonts w:eastAsia="Calibri" w:cstheme="minorHAnsi"/>
          <w:sz w:val="20"/>
          <w:szCs w:val="20"/>
        </w:rPr>
        <w:t xml:space="preserve"> In that context, banks and corporations grew more sensitive to exchange rate volatility and liquidity risks because of their reduced, yet still considerable, amount of foreign exchange (FX) denominated liabilities. The introduction of extensive regulatory forbearance, including a relaxation of the nonperforming loan (NPL) classification criteria and the option for banks to apply a more favorable FX rate when calculating risk-weighted assets and capital adequacy ratio, has somewhat shielded the banking sector. But this added a layer of complexity to the policy adjustment efforts.  </w:t>
      </w:r>
    </w:p>
    <w:p w14:paraId="6C8E13E9" w14:textId="77777777" w:rsidR="000B46AF" w:rsidRPr="0043215C" w:rsidRDefault="000B46AF" w:rsidP="000B46AF">
      <w:pPr>
        <w:autoSpaceDE w:val="0"/>
        <w:autoSpaceDN w:val="0"/>
        <w:adjustRightInd w:val="0"/>
        <w:spacing w:after="0" w:line="240" w:lineRule="auto"/>
        <w:rPr>
          <w:rFonts w:eastAsia="Calibri" w:cstheme="minorHAnsi"/>
          <w:sz w:val="20"/>
          <w:szCs w:val="20"/>
        </w:rPr>
      </w:pPr>
    </w:p>
    <w:p w14:paraId="219ED140" w14:textId="45C87CD4" w:rsidR="000B46AF" w:rsidRPr="0043215C" w:rsidRDefault="000B46AF" w:rsidP="000B46AF">
      <w:pPr>
        <w:autoSpaceDE w:val="0"/>
        <w:autoSpaceDN w:val="0"/>
        <w:adjustRightInd w:val="0"/>
        <w:spacing w:after="0" w:line="240" w:lineRule="auto"/>
        <w:rPr>
          <w:rFonts w:eastAsia="Calibri" w:cstheme="minorHAnsi"/>
          <w:color w:val="000000" w:themeColor="text1"/>
          <w:sz w:val="20"/>
          <w:szCs w:val="20"/>
          <w:lang w:val="en"/>
        </w:rPr>
      </w:pPr>
      <w:r w:rsidRPr="0043215C">
        <w:rPr>
          <w:rFonts w:eastAsia="Calibri" w:cstheme="minorHAnsi"/>
          <w:b/>
          <w:bCs/>
          <w:sz w:val="20"/>
          <w:szCs w:val="20"/>
        </w:rPr>
        <w:t xml:space="preserve">Following the May 2023 elections, the Government has taken steps towards normalizing the economy in a gradual way </w:t>
      </w:r>
      <w:proofErr w:type="gramStart"/>
      <w:r w:rsidRPr="0043215C">
        <w:rPr>
          <w:rFonts w:eastAsia="Calibri" w:cstheme="minorHAnsi"/>
          <w:b/>
          <w:bCs/>
          <w:sz w:val="20"/>
          <w:szCs w:val="20"/>
        </w:rPr>
        <w:t>in order to</w:t>
      </w:r>
      <w:proofErr w:type="gramEnd"/>
      <w:r w:rsidRPr="0043215C">
        <w:rPr>
          <w:rFonts w:eastAsia="Calibri" w:cstheme="minorHAnsi"/>
          <w:b/>
          <w:bCs/>
          <w:sz w:val="20"/>
          <w:szCs w:val="20"/>
        </w:rPr>
        <w:t xml:space="preserve"> manage risks associated with the adjustment process. </w:t>
      </w:r>
      <w:r w:rsidRPr="0043215C">
        <w:rPr>
          <w:rFonts w:eastAsia="Calibri" w:cstheme="minorHAnsi"/>
          <w:sz w:val="20"/>
          <w:szCs w:val="20"/>
        </w:rPr>
        <w:t xml:space="preserve">This includes monetary policy tightening, with interest rates increasing from 8.5 percent in May to </w:t>
      </w:r>
      <w:r w:rsidR="001A4D74" w:rsidRPr="0043215C">
        <w:rPr>
          <w:rFonts w:eastAsia="Calibri" w:cstheme="minorHAnsi"/>
          <w:sz w:val="20"/>
          <w:szCs w:val="20"/>
        </w:rPr>
        <w:t>50</w:t>
      </w:r>
      <w:r w:rsidRPr="0043215C">
        <w:rPr>
          <w:rFonts w:eastAsia="Calibri" w:cstheme="minorHAnsi"/>
          <w:sz w:val="20"/>
          <w:szCs w:val="20"/>
        </w:rPr>
        <w:t xml:space="preserve"> percent in</w:t>
      </w:r>
      <w:r w:rsidRPr="0043215C" w:rsidDel="001A4D74">
        <w:rPr>
          <w:rFonts w:eastAsia="Calibri" w:cstheme="minorHAnsi"/>
          <w:sz w:val="20"/>
          <w:szCs w:val="20"/>
        </w:rPr>
        <w:t xml:space="preserve"> </w:t>
      </w:r>
      <w:r w:rsidR="001A4D74" w:rsidRPr="0043215C">
        <w:rPr>
          <w:rFonts w:eastAsia="Calibri" w:cstheme="minorHAnsi"/>
          <w:sz w:val="20"/>
          <w:szCs w:val="20"/>
        </w:rPr>
        <w:t xml:space="preserve">March </w:t>
      </w:r>
      <w:r w:rsidRPr="0043215C">
        <w:rPr>
          <w:rFonts w:eastAsia="Calibri" w:cstheme="minorHAnsi"/>
          <w:sz w:val="20"/>
          <w:szCs w:val="20"/>
        </w:rPr>
        <w:t xml:space="preserve">2024, the unwinding of distortive financial regulations, and fiscal revenue measures to curtail the fiscal deficit. Markets are reacting positively with 5-year CDSs declining from </w:t>
      </w:r>
      <w:r w:rsidR="001A4D74" w:rsidRPr="0043215C">
        <w:rPr>
          <w:rFonts w:eastAsia="Calibri" w:cstheme="minorHAnsi"/>
          <w:sz w:val="20"/>
          <w:szCs w:val="20"/>
        </w:rPr>
        <w:t>around 700</w:t>
      </w:r>
      <w:r w:rsidRPr="0043215C">
        <w:rPr>
          <w:rFonts w:eastAsia="Calibri" w:cstheme="minorHAnsi"/>
          <w:sz w:val="20"/>
          <w:szCs w:val="20"/>
        </w:rPr>
        <w:t xml:space="preserve"> basis points (bps) in May 2023 to </w:t>
      </w:r>
      <w:r w:rsidR="001A4D74" w:rsidRPr="0043215C">
        <w:rPr>
          <w:rFonts w:eastAsia="Calibri" w:cstheme="minorHAnsi"/>
          <w:sz w:val="20"/>
          <w:szCs w:val="20"/>
        </w:rPr>
        <w:t xml:space="preserve">below </w:t>
      </w:r>
      <w:r w:rsidRPr="0043215C">
        <w:rPr>
          <w:rFonts w:eastAsia="Calibri" w:cstheme="minorHAnsi"/>
          <w:sz w:val="20"/>
          <w:szCs w:val="20"/>
        </w:rPr>
        <w:t xml:space="preserve">300bps in </w:t>
      </w:r>
      <w:r w:rsidR="001A4D74" w:rsidRPr="0043215C">
        <w:rPr>
          <w:rFonts w:eastAsia="Calibri" w:cstheme="minorHAnsi"/>
          <w:sz w:val="20"/>
          <w:szCs w:val="20"/>
        </w:rPr>
        <w:t xml:space="preserve">May </w:t>
      </w:r>
      <w:r w:rsidRPr="0043215C">
        <w:rPr>
          <w:rFonts w:eastAsia="Calibri" w:cstheme="minorHAnsi"/>
          <w:sz w:val="20"/>
          <w:szCs w:val="20"/>
        </w:rPr>
        <w:t xml:space="preserve">2024, major rating agencies upgrading their outlook to positive recently, and </w:t>
      </w:r>
      <w:r w:rsidR="007D5B39" w:rsidRPr="0043215C">
        <w:rPr>
          <w:rFonts w:eastAsia="Calibri" w:cstheme="minorHAnsi"/>
          <w:sz w:val="20"/>
          <w:szCs w:val="20"/>
        </w:rPr>
        <w:t xml:space="preserve">two </w:t>
      </w:r>
      <w:r w:rsidRPr="0043215C">
        <w:rPr>
          <w:rFonts w:eastAsia="Calibri" w:cstheme="minorHAnsi"/>
          <w:sz w:val="20"/>
          <w:szCs w:val="20"/>
        </w:rPr>
        <w:t>of them (Fitch</w:t>
      </w:r>
      <w:r w:rsidR="007D5B39" w:rsidRPr="0043215C">
        <w:rPr>
          <w:rFonts w:eastAsia="Calibri" w:cstheme="minorHAnsi"/>
          <w:sz w:val="20"/>
          <w:szCs w:val="20"/>
        </w:rPr>
        <w:t xml:space="preserve"> &amp; S&amp;P</w:t>
      </w:r>
      <w:r w:rsidRPr="0043215C">
        <w:rPr>
          <w:rFonts w:eastAsia="Calibri" w:cstheme="minorHAnsi"/>
          <w:sz w:val="20"/>
          <w:szCs w:val="20"/>
        </w:rPr>
        <w:t xml:space="preserve">) upgrading the credit rating (to B+) on March 8, </w:t>
      </w:r>
      <w:proofErr w:type="gramStart"/>
      <w:r w:rsidRPr="0043215C">
        <w:rPr>
          <w:rFonts w:eastAsia="Calibri" w:cstheme="minorHAnsi"/>
          <w:sz w:val="20"/>
          <w:szCs w:val="20"/>
        </w:rPr>
        <w:t>2024</w:t>
      </w:r>
      <w:proofErr w:type="gramEnd"/>
      <w:r w:rsidR="007D5B39" w:rsidRPr="0043215C">
        <w:rPr>
          <w:rFonts w:eastAsia="Calibri" w:cstheme="minorHAnsi"/>
          <w:sz w:val="20"/>
          <w:szCs w:val="20"/>
        </w:rPr>
        <w:t xml:space="preserve"> and May 3, 2024 respectively</w:t>
      </w:r>
      <w:r w:rsidRPr="0043215C">
        <w:rPr>
          <w:rFonts w:eastAsia="Calibri" w:cstheme="minorHAnsi"/>
          <w:sz w:val="20"/>
          <w:szCs w:val="20"/>
        </w:rPr>
        <w:t xml:space="preserve">.  </w:t>
      </w:r>
      <w:r w:rsidRPr="0043215C">
        <w:rPr>
          <w:rFonts w:eastAsia="Calibri" w:cstheme="minorHAnsi"/>
          <w:b/>
          <w:color w:val="000000" w:themeColor="text1"/>
          <w:sz w:val="20"/>
          <w:szCs w:val="20"/>
        </w:rPr>
        <w:t xml:space="preserve"> </w:t>
      </w:r>
      <w:r w:rsidRPr="0043215C">
        <w:rPr>
          <w:rFonts w:eastAsia="Calibri" w:cstheme="minorHAnsi"/>
          <w:color w:val="000000" w:themeColor="text1"/>
          <w:sz w:val="20"/>
          <w:szCs w:val="20"/>
        </w:rPr>
        <w:t xml:space="preserve">The authorities are also contemplating how to complement these actions with structural reforms that may help with growth prospects going </w:t>
      </w:r>
      <w:r w:rsidRPr="0043215C">
        <w:rPr>
          <w:rFonts w:eastAsia="Calibri" w:cstheme="minorHAnsi"/>
          <w:sz w:val="20"/>
          <w:szCs w:val="20"/>
        </w:rPr>
        <w:t>forward</w:t>
      </w:r>
      <w:r w:rsidRPr="0043215C">
        <w:rPr>
          <w:rFonts w:eastAsia="Calibri" w:cstheme="minorHAnsi"/>
          <w:color w:val="000000" w:themeColor="text1"/>
          <w:sz w:val="20"/>
          <w:szCs w:val="20"/>
        </w:rPr>
        <w:t>.</w:t>
      </w:r>
      <w:r w:rsidRPr="0043215C">
        <w:rPr>
          <w:rFonts w:eastAsia="Calibri" w:cstheme="minorHAnsi"/>
          <w:sz w:val="20"/>
          <w:szCs w:val="20"/>
        </w:rPr>
        <w:t xml:space="preserve"> These efforts will need to be sustained and supported in the coming months</w:t>
      </w:r>
      <w:r w:rsidRPr="0043215C">
        <w:rPr>
          <w:rFonts w:eastAsia="Calibri" w:cstheme="minorHAnsi"/>
          <w:color w:val="000000" w:themeColor="text1"/>
          <w:sz w:val="20"/>
          <w:szCs w:val="20"/>
        </w:rPr>
        <w:t xml:space="preserve"> because the monetary, </w:t>
      </w:r>
      <w:proofErr w:type="gramStart"/>
      <w:r w:rsidRPr="0043215C">
        <w:rPr>
          <w:rFonts w:eastAsia="Calibri" w:cstheme="minorHAnsi"/>
          <w:color w:val="000000" w:themeColor="text1"/>
          <w:sz w:val="20"/>
          <w:szCs w:val="20"/>
        </w:rPr>
        <w:t>fiscal</w:t>
      </w:r>
      <w:proofErr w:type="gramEnd"/>
      <w:r w:rsidRPr="0043215C">
        <w:rPr>
          <w:rFonts w:eastAsia="Calibri" w:cstheme="minorHAnsi"/>
          <w:color w:val="000000" w:themeColor="text1"/>
          <w:sz w:val="20"/>
          <w:szCs w:val="20"/>
        </w:rPr>
        <w:t xml:space="preserve"> and macro-prudential challenges and associated economic vulnerabilities were of such magnitude that despite the significant progress, there is </w:t>
      </w:r>
      <w:r w:rsidRPr="0043215C">
        <w:rPr>
          <w:rFonts w:eastAsia="Calibri" w:cstheme="minorHAnsi"/>
          <w:color w:val="000000" w:themeColor="text1"/>
          <w:sz w:val="20"/>
          <w:szCs w:val="20"/>
          <w:lang w:val="en"/>
        </w:rPr>
        <w:t>some road ahead.</w:t>
      </w:r>
    </w:p>
    <w:p w14:paraId="64CE449D" w14:textId="77777777" w:rsidR="000B46AF" w:rsidRPr="0043215C" w:rsidRDefault="000B46AF" w:rsidP="000B46AF">
      <w:pPr>
        <w:autoSpaceDE w:val="0"/>
        <w:autoSpaceDN w:val="0"/>
        <w:adjustRightInd w:val="0"/>
        <w:spacing w:after="0" w:line="240" w:lineRule="auto"/>
        <w:rPr>
          <w:rFonts w:eastAsia="Calibri" w:cstheme="minorHAnsi"/>
          <w:sz w:val="20"/>
          <w:szCs w:val="20"/>
        </w:rPr>
      </w:pPr>
    </w:p>
    <w:p w14:paraId="582B15FF" w14:textId="5A6481CE" w:rsidR="000B46AF" w:rsidRPr="0043215C" w:rsidRDefault="000B46AF" w:rsidP="000B46AF">
      <w:pPr>
        <w:autoSpaceDE w:val="0"/>
        <w:autoSpaceDN w:val="0"/>
        <w:adjustRightInd w:val="0"/>
        <w:spacing w:after="0" w:line="240" w:lineRule="auto"/>
        <w:rPr>
          <w:rFonts w:eastAsia="Calibri" w:cstheme="minorHAnsi"/>
          <w:sz w:val="20"/>
          <w:szCs w:val="20"/>
        </w:rPr>
      </w:pPr>
      <w:r w:rsidRPr="0043215C">
        <w:rPr>
          <w:rFonts w:eastAsia="Calibri" w:cstheme="minorHAnsi"/>
          <w:b/>
          <w:bCs/>
          <w:color w:val="000000" w:themeColor="text1"/>
          <w:sz w:val="20"/>
          <w:szCs w:val="20"/>
        </w:rPr>
        <w:t>The economy is expected to slow this year as it continues to adjust from the previous policy stance, followed by an expected acceleration in growth in outer years.</w:t>
      </w:r>
      <w:r w:rsidRPr="0043215C">
        <w:rPr>
          <w:rFonts w:eastAsia="Calibri" w:cstheme="minorHAnsi"/>
          <w:color w:val="000000" w:themeColor="text1"/>
          <w:sz w:val="20"/>
          <w:szCs w:val="20"/>
        </w:rPr>
        <w:t xml:space="preserve"> </w:t>
      </w:r>
      <w:r w:rsidRPr="0043215C">
        <w:rPr>
          <w:rFonts w:eastAsia="Calibri" w:cstheme="minorHAnsi"/>
          <w:sz w:val="20"/>
          <w:szCs w:val="20"/>
        </w:rPr>
        <w:t>After growing by 5.5 percent in 2022 and 4.5 percent in 2023, Türkiye’s economic growth is projected to initially slow to 3.1 percent in 2024 before recovering to 3.9 percent in 2025 and 4.7 percent in 2026.</w:t>
      </w:r>
      <w:r w:rsidRPr="0043215C">
        <w:rPr>
          <w:rFonts w:eastAsia="Calibri" w:cstheme="minorHAnsi"/>
          <w:i/>
          <w:iCs/>
          <w:sz w:val="20"/>
          <w:szCs w:val="20"/>
        </w:rPr>
        <w:t xml:space="preserve"> </w:t>
      </w:r>
      <w:r w:rsidRPr="0043215C">
        <w:rPr>
          <w:rFonts w:eastAsia="Calibri" w:cstheme="minorHAnsi"/>
          <w:sz w:val="20"/>
          <w:szCs w:val="20"/>
        </w:rPr>
        <w:t>In response to the recent monetary tightening, inflation should decline gradually supporting higher investment and growth as well as further progress on poverty and inequality. F</w:t>
      </w:r>
      <w:r w:rsidRPr="0043215C">
        <w:rPr>
          <w:rFonts w:eastAsia="Calibri" w:cstheme="minorHAnsi"/>
          <w:color w:val="000000" w:themeColor="text1"/>
          <w:sz w:val="20"/>
          <w:szCs w:val="20"/>
        </w:rPr>
        <w:t xml:space="preserve">iscal consolidation after 2024 (when the earthquakes recovery and reconstruction efforts will peak), macro-financial stabilization, and policy support to exporters should also further narrow the current account deficit. </w:t>
      </w:r>
      <w:r w:rsidRPr="0043215C">
        <w:rPr>
          <w:rFonts w:eastAsia="Calibri" w:cstheme="minorHAnsi"/>
          <w:sz w:val="20"/>
          <w:szCs w:val="20"/>
        </w:rPr>
        <w:t>Poverty is projected to stay at 7.8 percent in the next few years.</w:t>
      </w:r>
    </w:p>
    <w:p w14:paraId="07F7C51C" w14:textId="77777777" w:rsidR="000B46AF" w:rsidRPr="0043215C" w:rsidRDefault="000B46AF" w:rsidP="000B46AF">
      <w:pPr>
        <w:autoSpaceDE w:val="0"/>
        <w:autoSpaceDN w:val="0"/>
        <w:adjustRightInd w:val="0"/>
        <w:spacing w:after="0" w:line="240" w:lineRule="auto"/>
        <w:rPr>
          <w:rFonts w:eastAsia="Calibri" w:cstheme="minorHAnsi"/>
          <w:sz w:val="20"/>
          <w:szCs w:val="20"/>
        </w:rPr>
      </w:pPr>
    </w:p>
    <w:p w14:paraId="4751851C" w14:textId="1F7DD4CD" w:rsidR="000B46AF" w:rsidRPr="0043215C" w:rsidRDefault="000B46AF" w:rsidP="000B46AF">
      <w:pPr>
        <w:autoSpaceDE w:val="0"/>
        <w:autoSpaceDN w:val="0"/>
        <w:adjustRightInd w:val="0"/>
        <w:spacing w:after="0" w:line="240" w:lineRule="auto"/>
        <w:rPr>
          <w:rFonts w:eastAsia="Calibri" w:cstheme="minorHAnsi"/>
          <w:sz w:val="20"/>
          <w:szCs w:val="20"/>
        </w:rPr>
      </w:pPr>
      <w:r w:rsidRPr="1E9D41E1">
        <w:rPr>
          <w:rFonts w:eastAsia="Calibri"/>
          <w:b/>
          <w:sz w:val="20"/>
          <w:szCs w:val="20"/>
        </w:rPr>
        <w:t xml:space="preserve">Future growth prospects will also be affected by developments associated with the global climate change agenda. </w:t>
      </w:r>
      <w:r w:rsidRPr="1E9D41E1">
        <w:rPr>
          <w:rFonts w:eastAsia="Calibri"/>
          <w:sz w:val="20"/>
          <w:szCs w:val="20"/>
        </w:rPr>
        <w:t>The EU CBAM is perhaps the most tangible example. The EU will place a fee on the import of certain emissions intensive products to create a level playing field for domestic producers subject to the EU emissions trading system. The CBAM applies to a select group of the most emissions intensive and trade exposed sectors, although it is likely to expand to other sectors over time. It entered into application in its transitional phase in October 2023 and the permanent system will enter into force beginning in 2026. Türkiye is a large producer of emissions intensive products (5</w:t>
      </w:r>
      <w:r w:rsidRPr="1E9D41E1">
        <w:rPr>
          <w:rFonts w:eastAsia="Calibri"/>
          <w:sz w:val="20"/>
          <w:szCs w:val="20"/>
          <w:vertAlign w:val="superscript"/>
        </w:rPr>
        <w:t>th</w:t>
      </w:r>
      <w:r w:rsidRPr="1E9D41E1">
        <w:rPr>
          <w:rFonts w:eastAsia="Calibri"/>
          <w:sz w:val="20"/>
          <w:szCs w:val="20"/>
        </w:rPr>
        <w:t xml:space="preserve"> largest cement producer and 8</w:t>
      </w:r>
      <w:r w:rsidRPr="1E9D41E1">
        <w:rPr>
          <w:rFonts w:eastAsia="Calibri"/>
          <w:sz w:val="20"/>
          <w:szCs w:val="20"/>
          <w:vertAlign w:val="superscript"/>
        </w:rPr>
        <w:t>th</w:t>
      </w:r>
      <w:r w:rsidRPr="1E9D41E1">
        <w:rPr>
          <w:rFonts w:eastAsia="Calibri"/>
          <w:sz w:val="20"/>
          <w:szCs w:val="20"/>
        </w:rPr>
        <w:t xml:space="preserve"> largest steel producer), and the EU is Türkiye’s largest trading partner, absorbing 41 percent of Türkiye’s total goods exports. Initially, the iron and steel sector </w:t>
      </w:r>
      <w:r w:rsidR="00A75B88" w:rsidRPr="1E9D41E1">
        <w:rPr>
          <w:rStyle w:val="FootnoteReference"/>
          <w:rFonts w:eastAsia="Calibri"/>
          <w:sz w:val="20"/>
          <w:szCs w:val="20"/>
        </w:rPr>
        <w:footnoteReference w:id="38"/>
      </w:r>
      <w:r w:rsidR="007D5B39" w:rsidRPr="1E9D41E1">
        <w:rPr>
          <w:rFonts w:eastAsia="Calibri"/>
          <w:sz w:val="20"/>
          <w:szCs w:val="20"/>
        </w:rPr>
        <w:t xml:space="preserve"> including articles i</w:t>
      </w:r>
      <w:r w:rsidRPr="1E9D41E1">
        <w:rPr>
          <w:rFonts w:eastAsia="Calibri"/>
          <w:sz w:val="20"/>
          <w:szCs w:val="20"/>
        </w:rPr>
        <w:t xml:space="preserve">s of most concern: </w:t>
      </w:r>
      <w:r w:rsidR="007D5B39" w:rsidRPr="1E9D41E1">
        <w:rPr>
          <w:rFonts w:eastAsia="Calibri"/>
          <w:sz w:val="20"/>
          <w:szCs w:val="20"/>
        </w:rPr>
        <w:t xml:space="preserve">40.5 </w:t>
      </w:r>
      <w:r w:rsidRPr="1E9D41E1">
        <w:rPr>
          <w:rFonts w:eastAsia="Calibri"/>
          <w:sz w:val="20"/>
          <w:szCs w:val="20"/>
        </w:rPr>
        <w:t xml:space="preserve">percent of Türkiye’s likely covered exports in this sector are absorbed by the EU at a value of around </w:t>
      </w:r>
      <w:r w:rsidR="00636124" w:rsidRPr="1E9D41E1">
        <w:rPr>
          <w:rFonts w:eastAsia="Calibri"/>
          <w:sz w:val="20"/>
          <w:szCs w:val="20"/>
        </w:rPr>
        <w:t>US$</w:t>
      </w:r>
      <w:r w:rsidRPr="1E9D41E1">
        <w:rPr>
          <w:rFonts w:eastAsia="Calibri"/>
          <w:sz w:val="20"/>
          <w:szCs w:val="20"/>
        </w:rPr>
        <w:t>7.</w:t>
      </w:r>
      <w:r w:rsidR="007D5B39" w:rsidRPr="1E9D41E1">
        <w:rPr>
          <w:rFonts w:eastAsia="Calibri"/>
          <w:sz w:val="20"/>
          <w:szCs w:val="20"/>
        </w:rPr>
        <w:t>7</w:t>
      </w:r>
      <w:r w:rsidRPr="1E9D41E1">
        <w:rPr>
          <w:rFonts w:eastAsia="Calibri"/>
          <w:sz w:val="20"/>
          <w:szCs w:val="20"/>
        </w:rPr>
        <w:t xml:space="preserve"> billion. Aluminum is also exposed with </w:t>
      </w:r>
      <w:r w:rsidR="007D5B39" w:rsidRPr="1E9D41E1">
        <w:rPr>
          <w:rFonts w:eastAsia="Calibri"/>
          <w:sz w:val="20"/>
          <w:szCs w:val="20"/>
        </w:rPr>
        <w:t>59</w:t>
      </w:r>
      <w:r w:rsidRPr="1E9D41E1">
        <w:rPr>
          <w:rFonts w:eastAsia="Calibri"/>
          <w:sz w:val="20"/>
          <w:szCs w:val="20"/>
        </w:rPr>
        <w:t xml:space="preserve"> percent of exports going to the EU. However, Türkiye could capitalize on progress in decarbonizing its power sector, its proximity to EU markets, and strong existing trade relationships to grow its exports to the EU if it decarbonizes its industrial base ahead of other countries.</w:t>
      </w:r>
    </w:p>
    <w:p w14:paraId="1D6C5705" w14:textId="77777777" w:rsidR="000B46AF" w:rsidRPr="0043215C" w:rsidRDefault="000B46AF" w:rsidP="000B46AF">
      <w:pPr>
        <w:autoSpaceDE w:val="0"/>
        <w:autoSpaceDN w:val="0"/>
        <w:adjustRightInd w:val="0"/>
        <w:spacing w:after="0" w:line="240" w:lineRule="auto"/>
        <w:rPr>
          <w:rFonts w:eastAsia="Calibri" w:cstheme="minorHAnsi"/>
          <w:sz w:val="20"/>
          <w:szCs w:val="20"/>
        </w:rPr>
      </w:pPr>
    </w:p>
    <w:p w14:paraId="6053181B" w14:textId="47C1B7DB" w:rsidR="000B46AF" w:rsidRPr="0043215C" w:rsidRDefault="000B46AF" w:rsidP="000B46AF">
      <w:pPr>
        <w:autoSpaceDE w:val="0"/>
        <w:autoSpaceDN w:val="0"/>
        <w:adjustRightInd w:val="0"/>
        <w:spacing w:after="0" w:line="240" w:lineRule="auto"/>
        <w:rPr>
          <w:rFonts w:eastAsia="Calibri" w:cstheme="minorHAnsi"/>
          <w:sz w:val="20"/>
          <w:szCs w:val="20"/>
        </w:rPr>
      </w:pPr>
      <w:r w:rsidRPr="1E9D41E1">
        <w:rPr>
          <w:rFonts w:eastAsia="Calibri"/>
          <w:b/>
          <w:sz w:val="20"/>
          <w:szCs w:val="20"/>
        </w:rPr>
        <w:lastRenderedPageBreak/>
        <w:t xml:space="preserve">Türkiye’s tourism industry, a major contributor to GDP and the most important source of export revenue, is being impacted by climate change. </w:t>
      </w:r>
      <w:r w:rsidRPr="1E9D41E1">
        <w:rPr>
          <w:rFonts w:eastAsia="Calibri"/>
          <w:sz w:val="20"/>
          <w:szCs w:val="20"/>
        </w:rPr>
        <w:t>Regional distribution of tourism activity and investment is closely correlated with climate risk. For example, Antalya Province, accounting for almost half of the country’s tourism accommodation, suffers from the most frequent meteorological disasters of any province, with over 370 events recorded between 2010 and 2021. The hotel sector faces an especially acute decarbonization challenge due to the long asset-life of most hotel properties. This concentration of tourism infrastructure offers opportunities to invest collectively in climate adaptation and mitigation measures, sharing the costs and risks among a range of stakeholders. For policymakers and private actors, the challenge is to sustain the sector’s growth while reducing emissions, reinforcing climate resilience, and offering innovative value propositions for less carbon intensive, climate resilient tourism products.</w:t>
      </w:r>
      <w:r w:rsidR="00532918" w:rsidRPr="1E9D41E1">
        <w:rPr>
          <w:rStyle w:val="FootnoteReference"/>
          <w:rFonts w:eastAsia="Calibri"/>
          <w:sz w:val="20"/>
          <w:szCs w:val="20"/>
        </w:rPr>
        <w:footnoteReference w:id="39"/>
      </w:r>
    </w:p>
    <w:p w14:paraId="6ED0B3F9" w14:textId="77777777" w:rsidR="000B46AF" w:rsidRPr="0043215C" w:rsidRDefault="000B46AF" w:rsidP="000B46AF">
      <w:pPr>
        <w:autoSpaceDE w:val="0"/>
        <w:autoSpaceDN w:val="0"/>
        <w:adjustRightInd w:val="0"/>
        <w:spacing w:after="0" w:line="240" w:lineRule="auto"/>
        <w:rPr>
          <w:rFonts w:cstheme="minorHAnsi"/>
          <w:sz w:val="20"/>
          <w:szCs w:val="20"/>
        </w:rPr>
      </w:pPr>
    </w:p>
    <w:p w14:paraId="3D13E5CD" w14:textId="77777777" w:rsidR="00532918" w:rsidRPr="0043215C" w:rsidRDefault="00532918" w:rsidP="000B46AF">
      <w:pPr>
        <w:autoSpaceDE w:val="0"/>
        <w:autoSpaceDN w:val="0"/>
        <w:adjustRightInd w:val="0"/>
        <w:spacing w:after="0" w:line="240" w:lineRule="auto"/>
        <w:rPr>
          <w:rFonts w:cstheme="minorHAnsi"/>
          <w:i/>
          <w:iCs/>
          <w:sz w:val="20"/>
          <w:szCs w:val="20"/>
        </w:rPr>
      </w:pPr>
    </w:p>
    <w:p w14:paraId="57955470" w14:textId="074D571F" w:rsidR="000B46AF" w:rsidRPr="0043215C" w:rsidRDefault="000B46AF" w:rsidP="000B46AF">
      <w:pPr>
        <w:autoSpaceDE w:val="0"/>
        <w:autoSpaceDN w:val="0"/>
        <w:adjustRightInd w:val="0"/>
        <w:spacing w:after="0" w:line="240" w:lineRule="auto"/>
        <w:rPr>
          <w:rFonts w:cstheme="minorHAnsi"/>
          <w:i/>
          <w:sz w:val="20"/>
          <w:szCs w:val="20"/>
        </w:rPr>
      </w:pPr>
      <w:r w:rsidRPr="0043215C">
        <w:rPr>
          <w:rFonts w:cstheme="minorHAnsi"/>
          <w:i/>
          <w:iCs/>
          <w:sz w:val="20"/>
          <w:szCs w:val="20"/>
        </w:rPr>
        <w:t>Legal, Regulatory and Institutional Context:</w:t>
      </w:r>
    </w:p>
    <w:p w14:paraId="16D525A1" w14:textId="77777777" w:rsidR="000B46AF" w:rsidRPr="0043215C" w:rsidRDefault="000B46AF" w:rsidP="000B46AF">
      <w:pPr>
        <w:autoSpaceDE w:val="0"/>
        <w:autoSpaceDN w:val="0"/>
        <w:adjustRightInd w:val="0"/>
        <w:spacing w:after="0" w:line="240" w:lineRule="auto"/>
        <w:rPr>
          <w:rFonts w:cstheme="minorHAnsi"/>
          <w:i/>
          <w:iCs/>
          <w:sz w:val="20"/>
          <w:szCs w:val="20"/>
        </w:rPr>
      </w:pPr>
    </w:p>
    <w:p w14:paraId="0A115C45" w14:textId="710B2C2E" w:rsidR="000B46AF" w:rsidRPr="0043215C" w:rsidRDefault="000B46AF" w:rsidP="000B46AF">
      <w:pPr>
        <w:autoSpaceDE w:val="0"/>
        <w:autoSpaceDN w:val="0"/>
        <w:adjustRightInd w:val="0"/>
        <w:spacing w:after="0" w:line="240" w:lineRule="auto"/>
        <w:rPr>
          <w:sz w:val="20"/>
          <w:szCs w:val="20"/>
        </w:rPr>
      </w:pPr>
      <w:r w:rsidRPr="1F873415">
        <w:rPr>
          <w:b/>
          <w:sz w:val="20"/>
          <w:szCs w:val="20"/>
        </w:rPr>
        <w:t xml:space="preserve">The Turkish electricity market reform began in early 2000s with the enactment of EML No. 4628, </w:t>
      </w:r>
      <w:proofErr w:type="gramStart"/>
      <w:r w:rsidRPr="1F873415">
        <w:rPr>
          <w:b/>
          <w:sz w:val="20"/>
          <w:szCs w:val="20"/>
        </w:rPr>
        <w:t>so as to</w:t>
      </w:r>
      <w:proofErr w:type="gramEnd"/>
      <w:r w:rsidRPr="1F873415">
        <w:rPr>
          <w:b/>
          <w:sz w:val="20"/>
          <w:szCs w:val="20"/>
        </w:rPr>
        <w:t xml:space="preserve"> increase competition and sustainable growth in the market.</w:t>
      </w:r>
      <w:r w:rsidRPr="1F873415">
        <w:rPr>
          <w:sz w:val="20"/>
          <w:szCs w:val="20"/>
        </w:rPr>
        <w:t xml:space="preserve"> The EML not only identified major market activities in a liberalized environment, but also laid the foundation for the establishment of the necessary bodies, such as EMRA in 2001 as an autonomous body responsible for regulating the market, and Energy Exchange (EPIAS) in 2006, operating spot and future electricity and natural gas markets. EPIAS is also expected to </w:t>
      </w:r>
      <w:r w:rsidR="49AA98C7" w:rsidRPr="1F873415">
        <w:rPr>
          <w:sz w:val="20"/>
          <w:szCs w:val="20"/>
        </w:rPr>
        <w:t>start</w:t>
      </w:r>
      <w:r w:rsidRPr="1F873415">
        <w:rPr>
          <w:sz w:val="20"/>
          <w:szCs w:val="20"/>
        </w:rPr>
        <w:t xml:space="preserve"> Emission Trading Market in 2024. </w:t>
      </w:r>
    </w:p>
    <w:p w14:paraId="570D812E" w14:textId="77777777" w:rsidR="000B46AF" w:rsidRPr="0043215C" w:rsidRDefault="000B46AF" w:rsidP="000B46AF">
      <w:pPr>
        <w:autoSpaceDE w:val="0"/>
        <w:autoSpaceDN w:val="0"/>
        <w:adjustRightInd w:val="0"/>
        <w:spacing w:after="0" w:line="240" w:lineRule="auto"/>
        <w:rPr>
          <w:rFonts w:cstheme="minorHAnsi"/>
          <w:sz w:val="20"/>
          <w:szCs w:val="20"/>
        </w:rPr>
      </w:pPr>
    </w:p>
    <w:p w14:paraId="532A2E28" w14:textId="75DE4C3B" w:rsidR="008F574F" w:rsidRPr="0043215C" w:rsidRDefault="000B46AF" w:rsidP="0043215C">
      <w:pPr>
        <w:autoSpaceDE w:val="0"/>
        <w:autoSpaceDN w:val="0"/>
        <w:adjustRightInd w:val="0"/>
        <w:spacing w:after="0" w:line="240" w:lineRule="auto"/>
        <w:rPr>
          <w:rFonts w:cstheme="minorHAnsi"/>
          <w:sz w:val="20"/>
          <w:szCs w:val="20"/>
        </w:rPr>
      </w:pPr>
      <w:r w:rsidRPr="0043215C">
        <w:rPr>
          <w:rFonts w:cstheme="minorHAnsi"/>
          <w:sz w:val="20"/>
          <w:szCs w:val="20"/>
        </w:rPr>
        <w:t xml:space="preserve">As explained in Annex 2, there is a strong legal and legislative framework, as well as the responsible experienced institutions, in </w:t>
      </w:r>
      <w:r w:rsidR="00F50BF3" w:rsidRPr="0043215C">
        <w:rPr>
          <w:rFonts w:cstheme="minorHAnsi"/>
          <w:sz w:val="20"/>
          <w:szCs w:val="20"/>
        </w:rPr>
        <w:t>Türkiye</w:t>
      </w:r>
      <w:r w:rsidRPr="0043215C">
        <w:rPr>
          <w:rFonts w:cstheme="minorHAnsi"/>
          <w:sz w:val="20"/>
          <w:szCs w:val="20"/>
        </w:rPr>
        <w:t xml:space="preserve"> </w:t>
      </w:r>
      <w:proofErr w:type="gramStart"/>
      <w:r w:rsidRPr="0043215C">
        <w:rPr>
          <w:rFonts w:cstheme="minorHAnsi"/>
          <w:sz w:val="20"/>
          <w:szCs w:val="20"/>
        </w:rPr>
        <w:t>with regard to</w:t>
      </w:r>
      <w:proofErr w:type="gramEnd"/>
      <w:r w:rsidRPr="0043215C">
        <w:rPr>
          <w:rFonts w:cstheme="minorHAnsi"/>
          <w:sz w:val="20"/>
          <w:szCs w:val="20"/>
        </w:rPr>
        <w:t xml:space="preserve"> REI context. </w:t>
      </w:r>
    </w:p>
    <w:p w14:paraId="16882B43" w14:textId="77777777" w:rsidR="008436F6" w:rsidRPr="0043215C" w:rsidRDefault="008436F6" w:rsidP="000B46AF">
      <w:pPr>
        <w:rPr>
          <w:rFonts w:cstheme="minorHAnsi"/>
          <w:i/>
          <w:iCs/>
          <w:sz w:val="20"/>
          <w:szCs w:val="20"/>
        </w:rPr>
      </w:pPr>
    </w:p>
    <w:p w14:paraId="1AF2A11C" w14:textId="77777777" w:rsidR="000B46AF" w:rsidRPr="0043215C" w:rsidRDefault="000B46AF" w:rsidP="000B46AF">
      <w:pPr>
        <w:autoSpaceDE w:val="0"/>
        <w:autoSpaceDN w:val="0"/>
        <w:adjustRightInd w:val="0"/>
        <w:spacing w:after="0" w:line="240" w:lineRule="auto"/>
        <w:rPr>
          <w:rFonts w:cstheme="minorHAnsi"/>
          <w:sz w:val="20"/>
          <w:szCs w:val="20"/>
        </w:rPr>
      </w:pPr>
      <w:r w:rsidRPr="0043215C">
        <w:rPr>
          <w:rFonts w:cstheme="minorHAnsi"/>
          <w:i/>
          <w:iCs/>
          <w:sz w:val="20"/>
          <w:szCs w:val="20"/>
        </w:rPr>
        <w:t>Technical and Management Context</w:t>
      </w:r>
    </w:p>
    <w:p w14:paraId="691B79B9" w14:textId="77777777" w:rsidR="000B46AF" w:rsidRPr="0043215C" w:rsidRDefault="000B46AF" w:rsidP="000B46AF">
      <w:pPr>
        <w:autoSpaceDE w:val="0"/>
        <w:autoSpaceDN w:val="0"/>
        <w:adjustRightInd w:val="0"/>
        <w:spacing w:after="0" w:line="240" w:lineRule="auto"/>
        <w:rPr>
          <w:rFonts w:cstheme="minorHAnsi"/>
          <w:sz w:val="20"/>
          <w:szCs w:val="20"/>
        </w:rPr>
      </w:pPr>
    </w:p>
    <w:p w14:paraId="43A42DD2" w14:textId="53451989" w:rsidR="00C461A1" w:rsidRPr="0043215C" w:rsidRDefault="000B46AF" w:rsidP="006B6CEC">
      <w:pPr>
        <w:autoSpaceDE w:val="0"/>
        <w:autoSpaceDN w:val="0"/>
        <w:adjustRightInd w:val="0"/>
        <w:spacing w:after="0" w:line="240" w:lineRule="auto"/>
        <w:rPr>
          <w:sz w:val="20"/>
          <w:szCs w:val="20"/>
        </w:rPr>
      </w:pPr>
      <w:r w:rsidRPr="1E9D41E1">
        <w:rPr>
          <w:b/>
          <w:sz w:val="20"/>
          <w:szCs w:val="20"/>
        </w:rPr>
        <w:t xml:space="preserve">MENR and its affiliates such as </w:t>
      </w:r>
      <w:r w:rsidR="002B50C9" w:rsidRPr="1E9D41E1">
        <w:rPr>
          <w:b/>
          <w:sz w:val="20"/>
          <w:szCs w:val="20"/>
        </w:rPr>
        <w:t>TEİAŞ</w:t>
      </w:r>
      <w:r w:rsidRPr="1E9D41E1">
        <w:rPr>
          <w:b/>
          <w:sz w:val="20"/>
          <w:szCs w:val="20"/>
        </w:rPr>
        <w:t xml:space="preserve"> have extensive technical capacity and experience with high-quality workforce and investments.</w:t>
      </w:r>
      <w:r w:rsidRPr="1E9D41E1">
        <w:rPr>
          <w:sz w:val="20"/>
          <w:szCs w:val="20"/>
        </w:rPr>
        <w:t xml:space="preserve"> Moreover, </w:t>
      </w:r>
      <w:r w:rsidR="002B50C9" w:rsidRPr="1E9D41E1">
        <w:rPr>
          <w:sz w:val="20"/>
          <w:szCs w:val="20"/>
        </w:rPr>
        <w:t>TEİAŞ</w:t>
      </w:r>
      <w:r w:rsidRPr="1E9D41E1">
        <w:rPr>
          <w:sz w:val="20"/>
          <w:szCs w:val="20"/>
        </w:rPr>
        <w:t xml:space="preserve"> is </w:t>
      </w:r>
      <w:r w:rsidR="3EA99503" w:rsidRPr="1C9D0F01">
        <w:rPr>
          <w:sz w:val="20"/>
          <w:szCs w:val="20"/>
        </w:rPr>
        <w:t>very</w:t>
      </w:r>
      <w:r w:rsidRPr="1E9D41E1">
        <w:rPr>
          <w:sz w:val="20"/>
          <w:szCs w:val="20"/>
        </w:rPr>
        <w:t xml:space="preserve"> familiar with the MDB, specifically World Bank, financed projects, and has the </w:t>
      </w:r>
      <w:r w:rsidR="3FC415AB" w:rsidRPr="1C9D0F01">
        <w:rPr>
          <w:sz w:val="20"/>
          <w:szCs w:val="20"/>
        </w:rPr>
        <w:t>know-how</w:t>
      </w:r>
      <w:r w:rsidRPr="1E9D41E1">
        <w:rPr>
          <w:sz w:val="20"/>
          <w:szCs w:val="20"/>
        </w:rPr>
        <w:t xml:space="preserve"> on how to comply with the international fiduciary, environmental, </w:t>
      </w:r>
      <w:r w:rsidR="1041CC80" w:rsidRPr="1C9D0F01">
        <w:rPr>
          <w:sz w:val="20"/>
          <w:szCs w:val="20"/>
        </w:rPr>
        <w:t xml:space="preserve">and </w:t>
      </w:r>
      <w:r w:rsidRPr="1E9D41E1">
        <w:rPr>
          <w:sz w:val="20"/>
          <w:szCs w:val="20"/>
        </w:rPr>
        <w:t xml:space="preserve">social standards. </w:t>
      </w:r>
      <w:proofErr w:type="gramStart"/>
      <w:r w:rsidRPr="1E9D41E1">
        <w:rPr>
          <w:sz w:val="20"/>
          <w:szCs w:val="20"/>
        </w:rPr>
        <w:t>Despite the fact that</w:t>
      </w:r>
      <w:proofErr w:type="gramEnd"/>
      <w:r w:rsidRPr="1E9D41E1">
        <w:rPr>
          <w:sz w:val="20"/>
          <w:szCs w:val="20"/>
        </w:rPr>
        <w:t xml:space="preserve"> the management of the energy state-owned enterprises </w:t>
      </w:r>
      <w:r w:rsidR="766E2947" w:rsidRPr="1C9D0F01">
        <w:rPr>
          <w:sz w:val="20"/>
          <w:szCs w:val="20"/>
        </w:rPr>
        <w:t>changes</w:t>
      </w:r>
      <w:r w:rsidRPr="1E9D41E1">
        <w:rPr>
          <w:sz w:val="20"/>
          <w:szCs w:val="20"/>
        </w:rPr>
        <w:t xml:space="preserve"> due to political agenda of the government, the institutional memory of these institutions </w:t>
      </w:r>
      <w:r w:rsidR="4F37C7E8" w:rsidRPr="1C9D0F01">
        <w:rPr>
          <w:sz w:val="20"/>
          <w:szCs w:val="20"/>
        </w:rPr>
        <w:t>allows</w:t>
      </w:r>
      <w:r w:rsidRPr="1E9D41E1">
        <w:rPr>
          <w:sz w:val="20"/>
          <w:szCs w:val="20"/>
        </w:rPr>
        <w:t xml:space="preserve"> the continuation o</w:t>
      </w:r>
      <w:r w:rsidR="003B1E14" w:rsidRPr="1E9D41E1">
        <w:rPr>
          <w:sz w:val="20"/>
          <w:szCs w:val="20"/>
        </w:rPr>
        <w:t xml:space="preserve">f </w:t>
      </w:r>
      <w:r w:rsidRPr="1E9D41E1">
        <w:rPr>
          <w:sz w:val="20"/>
          <w:szCs w:val="20"/>
        </w:rPr>
        <w:t xml:space="preserve">good work.  </w:t>
      </w:r>
      <w:r w:rsidR="00112575" w:rsidRPr="1E9D41E1">
        <w:rPr>
          <w:rStyle w:val="FootnoteReference"/>
          <w:sz w:val="20"/>
          <w:szCs w:val="20"/>
        </w:rPr>
        <w:footnoteReference w:id="40"/>
      </w:r>
    </w:p>
    <w:p w14:paraId="74FA2D65" w14:textId="77777777" w:rsidR="00E0663F" w:rsidRPr="0043215C" w:rsidRDefault="00E0663F" w:rsidP="006B6CEC">
      <w:pPr>
        <w:autoSpaceDE w:val="0"/>
        <w:autoSpaceDN w:val="0"/>
        <w:adjustRightInd w:val="0"/>
        <w:spacing w:after="0" w:line="240" w:lineRule="auto"/>
        <w:rPr>
          <w:rFonts w:cstheme="minorHAnsi"/>
          <w:sz w:val="20"/>
          <w:szCs w:val="20"/>
        </w:rPr>
      </w:pPr>
    </w:p>
    <w:p w14:paraId="1898AD9B" w14:textId="77777777" w:rsidR="00D40381" w:rsidRDefault="00D40381" w:rsidP="006B6CEC">
      <w:pPr>
        <w:autoSpaceDE w:val="0"/>
        <w:autoSpaceDN w:val="0"/>
        <w:adjustRightInd w:val="0"/>
        <w:spacing w:after="0" w:line="240" w:lineRule="auto"/>
        <w:rPr>
          <w:rFonts w:eastAsiaTheme="minorEastAsia" w:cstheme="minorHAnsi"/>
          <w:b/>
          <w:sz w:val="20"/>
          <w:szCs w:val="20"/>
        </w:rPr>
      </w:pPr>
    </w:p>
    <w:p w14:paraId="0E929B4E" w14:textId="77777777" w:rsidR="0043215C" w:rsidRDefault="0043215C" w:rsidP="006B6CEC">
      <w:pPr>
        <w:autoSpaceDE w:val="0"/>
        <w:autoSpaceDN w:val="0"/>
        <w:adjustRightInd w:val="0"/>
        <w:spacing w:after="0" w:line="240" w:lineRule="auto"/>
        <w:rPr>
          <w:rFonts w:eastAsiaTheme="minorEastAsia" w:cstheme="minorHAnsi"/>
          <w:b/>
          <w:sz w:val="20"/>
          <w:szCs w:val="20"/>
        </w:rPr>
      </w:pPr>
    </w:p>
    <w:p w14:paraId="66C88A43" w14:textId="77777777" w:rsidR="0043215C" w:rsidRDefault="0043215C" w:rsidP="006B6CEC">
      <w:pPr>
        <w:autoSpaceDE w:val="0"/>
        <w:autoSpaceDN w:val="0"/>
        <w:adjustRightInd w:val="0"/>
        <w:spacing w:after="0" w:line="240" w:lineRule="auto"/>
        <w:rPr>
          <w:rFonts w:eastAsiaTheme="minorEastAsia" w:cstheme="minorHAnsi"/>
          <w:b/>
          <w:sz w:val="20"/>
          <w:szCs w:val="20"/>
        </w:rPr>
      </w:pPr>
    </w:p>
    <w:p w14:paraId="14E56716" w14:textId="77777777" w:rsidR="0043215C" w:rsidRPr="0043215C" w:rsidRDefault="0043215C" w:rsidP="006B6CEC">
      <w:pPr>
        <w:autoSpaceDE w:val="0"/>
        <w:autoSpaceDN w:val="0"/>
        <w:adjustRightInd w:val="0"/>
        <w:spacing w:after="0" w:line="240" w:lineRule="auto"/>
        <w:rPr>
          <w:rFonts w:eastAsiaTheme="minorEastAsia" w:cstheme="minorHAnsi"/>
          <w:b/>
          <w:sz w:val="20"/>
          <w:szCs w:val="20"/>
        </w:rPr>
      </w:pPr>
    </w:p>
    <w:p w14:paraId="6CC43795" w14:textId="77777777" w:rsidR="00F22B68" w:rsidRDefault="00F22B68">
      <w:pPr>
        <w:jc w:val="left"/>
        <w:rPr>
          <w:rFonts w:eastAsiaTheme="minorEastAsia" w:cstheme="minorHAnsi"/>
          <w:b/>
          <w:bCs/>
          <w:sz w:val="20"/>
          <w:szCs w:val="20"/>
        </w:rPr>
      </w:pPr>
      <w:r>
        <w:rPr>
          <w:rFonts w:cstheme="minorHAnsi"/>
          <w:sz w:val="20"/>
          <w:szCs w:val="20"/>
        </w:rPr>
        <w:br w:type="page"/>
      </w:r>
    </w:p>
    <w:p w14:paraId="6A32B485" w14:textId="7DC43F7A" w:rsidR="00DE58D0" w:rsidRPr="0043215C" w:rsidRDefault="00433959" w:rsidP="004E314A">
      <w:pPr>
        <w:pStyle w:val="Heading3"/>
        <w:rPr>
          <w:rFonts w:cstheme="minorHAnsi"/>
          <w:sz w:val="20"/>
          <w:szCs w:val="20"/>
        </w:rPr>
      </w:pPr>
      <w:bookmarkStart w:id="161" w:name="_Toc170319850"/>
      <w:r w:rsidRPr="0043215C">
        <w:rPr>
          <w:rFonts w:cstheme="minorHAnsi"/>
          <w:sz w:val="20"/>
          <w:szCs w:val="20"/>
        </w:rPr>
        <w:lastRenderedPageBreak/>
        <w:t>ANNEX 2</w:t>
      </w:r>
      <w:r w:rsidR="00ED6000" w:rsidRPr="0043215C">
        <w:rPr>
          <w:rFonts w:cstheme="minorHAnsi"/>
          <w:sz w:val="20"/>
          <w:szCs w:val="20"/>
        </w:rPr>
        <w:t>:</w:t>
      </w:r>
      <w:r w:rsidR="00DE58D0" w:rsidRPr="0043215C">
        <w:rPr>
          <w:rFonts w:cstheme="minorHAnsi"/>
          <w:sz w:val="20"/>
          <w:szCs w:val="20"/>
        </w:rPr>
        <w:t xml:space="preserve"> RE Legislation and </w:t>
      </w:r>
      <w:r w:rsidR="00180545" w:rsidRPr="0043215C">
        <w:rPr>
          <w:rFonts w:cstheme="minorHAnsi"/>
          <w:sz w:val="20"/>
          <w:szCs w:val="20"/>
        </w:rPr>
        <w:t>the Executing A</w:t>
      </w:r>
      <w:r w:rsidR="00DE58D0" w:rsidRPr="0043215C">
        <w:rPr>
          <w:rFonts w:cstheme="minorHAnsi"/>
          <w:sz w:val="20"/>
          <w:szCs w:val="20"/>
        </w:rPr>
        <w:t>uthorities</w:t>
      </w:r>
      <w:bookmarkEnd w:id="159"/>
      <w:bookmarkEnd w:id="160"/>
      <w:bookmarkEnd w:id="161"/>
      <w:r w:rsidR="00DE58D0" w:rsidRPr="0043215C">
        <w:rPr>
          <w:rFonts w:cstheme="minorHAnsi"/>
          <w:sz w:val="20"/>
          <w:szCs w:val="20"/>
        </w:rPr>
        <w:t xml:space="preserve"> </w:t>
      </w:r>
    </w:p>
    <w:p w14:paraId="75EDB7A6" w14:textId="29FED671" w:rsidR="00DE58D0" w:rsidRPr="0043215C" w:rsidRDefault="00DE58D0"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Electricity Market Law, numbered 6446 (EMRA)</w:t>
      </w:r>
      <w:r w:rsidR="00180545" w:rsidRPr="0043215C">
        <w:rPr>
          <w:rFonts w:asciiTheme="minorHAnsi" w:hAnsiTheme="minorHAnsi" w:cstheme="minorHAnsi"/>
          <w:sz w:val="20"/>
          <w:szCs w:val="20"/>
          <w:lang w:val="en-US"/>
        </w:rPr>
        <w:t>,</w:t>
      </w:r>
    </w:p>
    <w:p w14:paraId="3BAB4C5F" w14:textId="2C44F6E5" w:rsidR="00DE58D0" w:rsidRPr="0043215C" w:rsidRDefault="00DE58D0"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Law on the Use of Renewable Energy Sources for Electrical Energy Generation numbered 5346 (Council of Ministers – the President),</w:t>
      </w:r>
    </w:p>
    <w:p w14:paraId="7E5FB1E6" w14:textId="0E662223" w:rsidR="00DE58D0" w:rsidRPr="0043215C" w:rsidRDefault="00DE58D0"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Geothermal Resources and Natural Mineral Waters Law numbered 5686 (Council of Ministers – the President),</w:t>
      </w:r>
    </w:p>
    <w:p w14:paraId="3838B612" w14:textId="0D626D23" w:rsidR="00DE58D0" w:rsidRPr="0043215C" w:rsidRDefault="00DE58D0"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Presidential Decrees numbered 1044, 2949, and 7189,</w:t>
      </w:r>
    </w:p>
    <w:p w14:paraId="72ADB192" w14:textId="6B98061F" w:rsidR="00DE58D0" w:rsidRPr="0043215C" w:rsidRDefault="00DE58D0"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 xml:space="preserve">Electricity Market Licensing Regulation (EMRA),  </w:t>
      </w:r>
    </w:p>
    <w:p w14:paraId="0C821080" w14:textId="0C947376" w:rsidR="00DE58D0" w:rsidRPr="0043215C" w:rsidRDefault="00DE58D0"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Regulation on Certification and Support of Renewable Energy Sources (EMRA),</w:t>
      </w:r>
    </w:p>
    <w:p w14:paraId="74BFA5AF" w14:textId="68F51757" w:rsidR="00DE58D0" w:rsidRPr="0043215C" w:rsidRDefault="00DE58D0"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Competition Regulation Regarding Provisional License Applications to Establish a Wind or Solar Energy Based Production Facility (EMRA)</w:t>
      </w:r>
    </w:p>
    <w:p w14:paraId="77442AB3" w14:textId="6D9D8A58" w:rsidR="00DE58D0" w:rsidRPr="0043215C" w:rsidRDefault="00DE58D0"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Regulation on Renewable Energy Resource Guarantee Certificate in the Electricity Market (EMRA)</w:t>
      </w:r>
    </w:p>
    <w:p w14:paraId="0D27063F" w14:textId="1C7A2659" w:rsidR="00DE58D0" w:rsidRPr="0043215C" w:rsidRDefault="00DE58D0"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Regulation on Storage Activities in the Electricity Market (EMRA)</w:t>
      </w:r>
    </w:p>
    <w:p w14:paraId="2D27640C" w14:textId="6B870AAB" w:rsidR="00DE58D0" w:rsidRPr="0043215C" w:rsidRDefault="00DE58D0"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Regulation On Unlicensed Electricity Generation in the Electricity Market (EMRA)</w:t>
      </w:r>
    </w:p>
    <w:p w14:paraId="5B35ECEF" w14:textId="54621FC9" w:rsidR="00DE58D0" w:rsidRPr="0043215C" w:rsidRDefault="00DE58D0"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Regulation on Renewable Energy Resource Areas (MENR)</w:t>
      </w:r>
    </w:p>
    <w:p w14:paraId="3ECF7F17" w14:textId="26248A30" w:rsidR="00DE58D0" w:rsidRPr="0043215C" w:rsidRDefault="00DE58D0"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Regulation on the Procedures and Principles Regarding the Signing of a Water Use Right Agreement to Carry Out Generation Activities in the Electricity Market (State Hydraulic Works – DSI - General Directorate)</w:t>
      </w:r>
    </w:p>
    <w:p w14:paraId="394B6F45" w14:textId="5D905099" w:rsidR="00DE58D0" w:rsidRPr="0043215C" w:rsidRDefault="00DE58D0"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Regulation on the Use of Geothermal Resource Areas for Electrical Energy Generation (MENR)</w:t>
      </w:r>
    </w:p>
    <w:p w14:paraId="1DF882B5" w14:textId="3449F49A" w:rsidR="00DE58D0" w:rsidRPr="0043215C" w:rsidRDefault="00DE58D0"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 xml:space="preserve">Geothermal Resources and Natural Mineral Waters Law Implementation Regulation (MENR)  </w:t>
      </w:r>
    </w:p>
    <w:p w14:paraId="61BB2F05" w14:textId="4B3BAD95" w:rsidR="00DE58D0" w:rsidRPr="0043215C" w:rsidRDefault="00DE58D0"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Regulation on Solar Energy Based Electricity Generation Facilities (MENR),</w:t>
      </w:r>
    </w:p>
    <w:p w14:paraId="6507C7C7" w14:textId="2256B76D" w:rsidR="00DE58D0" w:rsidRPr="0043215C" w:rsidRDefault="00DE58D0"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Regulation on the Technical Evaluation of Solar Energy Based Electricity Generation Applications (MENR)</w:t>
      </w:r>
    </w:p>
    <w:p w14:paraId="76880BE2" w14:textId="4628E4CA" w:rsidR="00DE58D0" w:rsidRPr="0043215C" w:rsidRDefault="00DE58D0"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Regulation on the Technical Evaluation of Applications for Wind Resource-Based Electricity Generation (MENR)</w:t>
      </w:r>
    </w:p>
    <w:p w14:paraId="5C3CE133" w14:textId="6B51A1C5" w:rsidR="00DE58D0" w:rsidRPr="0043215C" w:rsidRDefault="00DE58D0"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Regulation on the Connection of Wind Power Plants to the Wind Power Monitoring and Forecasting Center (MENR)</w:t>
      </w:r>
    </w:p>
    <w:p w14:paraId="2698445C" w14:textId="643CC3D5" w:rsidR="00DE58D0" w:rsidRPr="0043215C" w:rsidRDefault="00DE58D0"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Domestic Components Regulation (MENR)</w:t>
      </w:r>
    </w:p>
    <w:p w14:paraId="3A83474D" w14:textId="57DE0409" w:rsidR="00DE58D0" w:rsidRPr="0043215C" w:rsidRDefault="00DE58D0" w:rsidP="00996556">
      <w:pPr>
        <w:pStyle w:val="Default"/>
        <w:numPr>
          <w:ilvl w:val="0"/>
          <w:numId w:val="1"/>
        </w:numPr>
        <w:spacing w:after="46"/>
        <w:jc w:val="both"/>
        <w:rPr>
          <w:rFonts w:asciiTheme="minorHAnsi" w:hAnsiTheme="minorHAnsi" w:cstheme="minorHAnsi"/>
          <w:sz w:val="20"/>
          <w:szCs w:val="20"/>
          <w:lang w:val="en-US"/>
        </w:rPr>
      </w:pPr>
      <w:r w:rsidRPr="0043215C">
        <w:rPr>
          <w:rFonts w:asciiTheme="minorHAnsi" w:hAnsiTheme="minorHAnsi" w:cstheme="minorHAnsi"/>
          <w:sz w:val="20"/>
          <w:szCs w:val="20"/>
          <w:lang w:val="en-US"/>
        </w:rPr>
        <w:t>Communiqué on Wind and Solar Measurements Applications for Wind and Solar Energy Based License Applications (The Minister to whom the General Directorate of Meteorology is affiliated).</w:t>
      </w:r>
    </w:p>
    <w:p w14:paraId="2AE9F11A" w14:textId="77777777" w:rsidR="00945D18" w:rsidRPr="0043215C" w:rsidRDefault="00945D18" w:rsidP="00D063DF">
      <w:pPr>
        <w:pStyle w:val="Heading3"/>
        <w:rPr>
          <w:rFonts w:cstheme="minorHAnsi"/>
          <w:sz w:val="20"/>
          <w:szCs w:val="20"/>
        </w:rPr>
      </w:pPr>
    </w:p>
    <w:p w14:paraId="244A9C62" w14:textId="77777777" w:rsidR="00945D18" w:rsidRPr="0043215C" w:rsidRDefault="00945D18" w:rsidP="00D063DF">
      <w:pPr>
        <w:pStyle w:val="Heading3"/>
        <w:rPr>
          <w:rFonts w:cstheme="minorHAnsi"/>
          <w:sz w:val="20"/>
          <w:szCs w:val="20"/>
        </w:rPr>
      </w:pPr>
    </w:p>
    <w:p w14:paraId="7F3E23DC" w14:textId="77777777" w:rsidR="00945D18" w:rsidRPr="0043215C" w:rsidRDefault="00945D18" w:rsidP="00D063DF">
      <w:pPr>
        <w:pStyle w:val="Heading3"/>
        <w:rPr>
          <w:rFonts w:cstheme="minorHAnsi"/>
          <w:sz w:val="20"/>
          <w:szCs w:val="20"/>
        </w:rPr>
      </w:pPr>
    </w:p>
    <w:p w14:paraId="3434D95A" w14:textId="77777777" w:rsidR="00945D18" w:rsidRPr="0043215C" w:rsidRDefault="00945D18" w:rsidP="00D063DF">
      <w:pPr>
        <w:pStyle w:val="Heading3"/>
        <w:rPr>
          <w:rFonts w:cstheme="minorHAnsi"/>
          <w:sz w:val="20"/>
          <w:szCs w:val="20"/>
        </w:rPr>
      </w:pPr>
    </w:p>
    <w:p w14:paraId="4571D535" w14:textId="77777777" w:rsidR="00945D18" w:rsidRPr="0043215C" w:rsidRDefault="00945D18" w:rsidP="00D063DF">
      <w:pPr>
        <w:pStyle w:val="Heading3"/>
        <w:rPr>
          <w:rFonts w:cstheme="minorHAnsi"/>
          <w:sz w:val="20"/>
          <w:szCs w:val="20"/>
        </w:rPr>
      </w:pPr>
    </w:p>
    <w:p w14:paraId="4003B64B" w14:textId="1221C6AD" w:rsidR="00A54425" w:rsidRPr="0043215C" w:rsidRDefault="00DE58D0" w:rsidP="00D063DF">
      <w:pPr>
        <w:pStyle w:val="Heading3"/>
        <w:rPr>
          <w:rFonts w:cstheme="minorHAnsi"/>
          <w:color w:val="000000"/>
          <w:sz w:val="20"/>
          <w:szCs w:val="20"/>
        </w:rPr>
      </w:pPr>
      <w:r w:rsidRPr="0043215C">
        <w:rPr>
          <w:rFonts w:cstheme="minorHAnsi"/>
          <w:sz w:val="20"/>
          <w:szCs w:val="20"/>
        </w:rPr>
        <w:br w:type="page"/>
      </w:r>
    </w:p>
    <w:p w14:paraId="260D0BF7" w14:textId="484FB605" w:rsidR="00FE641D" w:rsidRPr="0043215C" w:rsidRDefault="00FE641D" w:rsidP="00ED212F">
      <w:pPr>
        <w:pStyle w:val="Heading3"/>
        <w:rPr>
          <w:rFonts w:cstheme="minorHAnsi"/>
          <w:sz w:val="20"/>
          <w:szCs w:val="20"/>
        </w:rPr>
      </w:pPr>
      <w:bookmarkStart w:id="162" w:name="_Toc162899061"/>
      <w:bookmarkStart w:id="163" w:name="_Toc162962976"/>
      <w:bookmarkStart w:id="164" w:name="_Toc162964158"/>
      <w:bookmarkStart w:id="165" w:name="_Toc170319851"/>
      <w:r w:rsidRPr="0043215C">
        <w:rPr>
          <w:rFonts w:cstheme="minorHAnsi"/>
          <w:sz w:val="20"/>
          <w:szCs w:val="20"/>
        </w:rPr>
        <w:lastRenderedPageBreak/>
        <w:t>ANNEX</w:t>
      </w:r>
      <w:r w:rsidR="00DE58D0" w:rsidRPr="0043215C">
        <w:rPr>
          <w:rFonts w:cstheme="minorHAnsi"/>
          <w:sz w:val="20"/>
          <w:szCs w:val="20"/>
        </w:rPr>
        <w:t xml:space="preserve"> </w:t>
      </w:r>
      <w:bookmarkStart w:id="166" w:name="_Toc162449733"/>
      <w:r w:rsidR="00D063DF" w:rsidRPr="0043215C">
        <w:rPr>
          <w:rFonts w:cstheme="minorHAnsi"/>
          <w:sz w:val="20"/>
          <w:szCs w:val="20"/>
        </w:rPr>
        <w:t>3</w:t>
      </w:r>
      <w:r w:rsidR="00B452F1" w:rsidRPr="0043215C">
        <w:rPr>
          <w:rFonts w:cstheme="minorHAnsi"/>
          <w:sz w:val="20"/>
          <w:szCs w:val="20"/>
        </w:rPr>
        <w:t xml:space="preserve">: </w:t>
      </w:r>
      <w:r w:rsidRPr="0043215C">
        <w:rPr>
          <w:rFonts w:cstheme="minorHAnsi"/>
          <w:sz w:val="20"/>
          <w:szCs w:val="20"/>
        </w:rPr>
        <w:t>Overview of the Power Sector</w:t>
      </w:r>
      <w:bookmarkEnd w:id="162"/>
      <w:bookmarkEnd w:id="163"/>
      <w:bookmarkEnd w:id="164"/>
      <w:bookmarkEnd w:id="166"/>
      <w:bookmarkEnd w:id="165"/>
      <w:r w:rsidRPr="0043215C">
        <w:rPr>
          <w:rFonts w:cstheme="minorHAnsi"/>
          <w:sz w:val="20"/>
          <w:szCs w:val="20"/>
        </w:rPr>
        <w:t xml:space="preserve"> </w:t>
      </w:r>
    </w:p>
    <w:p w14:paraId="5D90C7AA" w14:textId="7508B62F" w:rsidR="00FE641D" w:rsidRPr="0043215C" w:rsidRDefault="00F55514" w:rsidP="00FE641D">
      <w:pPr>
        <w:shd w:val="clear" w:color="auto" w:fill="FDFDFD"/>
        <w:spacing w:after="0" w:line="240" w:lineRule="auto"/>
        <w:rPr>
          <w:rFonts w:cstheme="minorHAnsi"/>
          <w:sz w:val="20"/>
          <w:szCs w:val="20"/>
        </w:rPr>
      </w:pPr>
      <w:r w:rsidRPr="0043215C">
        <w:rPr>
          <w:rFonts w:cstheme="minorHAnsi"/>
          <w:sz w:val="20"/>
          <w:szCs w:val="20"/>
        </w:rPr>
        <w:t>Türkiye’s</w:t>
      </w:r>
      <w:r w:rsidR="00FE641D" w:rsidRPr="0043215C">
        <w:rPr>
          <w:rFonts w:cstheme="minorHAnsi"/>
          <w:sz w:val="20"/>
          <w:szCs w:val="20"/>
        </w:rPr>
        <w:t xml:space="preserve"> electricity market has undergone extensive reform since 2001 with the enactment of Electricity Market Law (EML) no:4628, through market liberalization, establishment of an autonomous energy regulatory authority, unbundling, privatization, and the establishment of organized power markets. </w:t>
      </w:r>
    </w:p>
    <w:p w14:paraId="17573319" w14:textId="7C0D1921" w:rsidR="00C9224B" w:rsidRPr="0043215C" w:rsidRDefault="00C9224B" w:rsidP="7354CC27">
      <w:pPr>
        <w:shd w:val="clear" w:color="auto" w:fill="FDFDFD"/>
        <w:spacing w:after="0" w:line="240" w:lineRule="auto"/>
        <w:rPr>
          <w:rFonts w:cstheme="minorHAnsi"/>
          <w:sz w:val="20"/>
          <w:szCs w:val="20"/>
        </w:rPr>
      </w:pPr>
    </w:p>
    <w:p w14:paraId="7B51367E" w14:textId="168D3DB7" w:rsidR="00C9224B" w:rsidRPr="0043215C" w:rsidRDefault="0088778B" w:rsidP="7354CC27">
      <w:pPr>
        <w:shd w:val="clear" w:color="auto" w:fill="FDFDFD"/>
        <w:spacing w:after="0" w:line="240" w:lineRule="auto"/>
        <w:rPr>
          <w:rFonts w:cstheme="minorHAnsi"/>
          <w:sz w:val="20"/>
          <w:szCs w:val="20"/>
        </w:rPr>
      </w:pPr>
      <w:r w:rsidRPr="0043215C">
        <w:rPr>
          <w:rFonts w:cstheme="minorHAnsi"/>
          <w:sz w:val="20"/>
          <w:szCs w:val="20"/>
        </w:rPr>
        <w:t>W</w:t>
      </w:r>
      <w:r w:rsidR="00C9224B" w:rsidRPr="0043215C">
        <w:rPr>
          <w:rFonts w:cstheme="minorHAnsi"/>
          <w:sz w:val="20"/>
          <w:szCs w:val="20"/>
        </w:rPr>
        <w:t>ith EML, eligible consumer concept, licensing for market entrance, regulated third-party access to transmission and distribution grid, and functional unbundling were introduced. However, in time, so many amendments were made to EML due to the requirements of market implementation. This situation necessitated the renewal of EML. In that direction, the new EML numbered 6446 was enacted on the 14</w:t>
      </w:r>
      <w:r w:rsidR="00C9224B" w:rsidRPr="0043215C">
        <w:rPr>
          <w:rFonts w:cstheme="minorHAnsi"/>
          <w:sz w:val="20"/>
          <w:szCs w:val="20"/>
          <w:vertAlign w:val="superscript"/>
        </w:rPr>
        <w:t>th</w:t>
      </w:r>
      <w:r w:rsidR="00C9224B" w:rsidRPr="0043215C">
        <w:rPr>
          <w:rFonts w:cstheme="minorHAnsi"/>
          <w:sz w:val="20"/>
          <w:szCs w:val="20"/>
        </w:rPr>
        <w:t xml:space="preserve"> of March 2013.</w:t>
      </w:r>
    </w:p>
    <w:p w14:paraId="1648A2CC" w14:textId="77777777" w:rsidR="00FE641D" w:rsidRPr="0043215C" w:rsidRDefault="00FE641D" w:rsidP="00FE641D">
      <w:pPr>
        <w:pStyle w:val="Default"/>
        <w:spacing w:after="46"/>
        <w:ind w:left="426"/>
        <w:rPr>
          <w:rFonts w:asciiTheme="minorHAnsi" w:hAnsiTheme="minorHAnsi" w:cstheme="minorHAnsi"/>
          <w:sz w:val="20"/>
          <w:szCs w:val="20"/>
          <w:lang w:val="en-US"/>
        </w:rPr>
      </w:pPr>
    </w:p>
    <w:p w14:paraId="7B9A1E02" w14:textId="77777777" w:rsidR="00FE641D" w:rsidRPr="0043215C" w:rsidRDefault="00FE641D" w:rsidP="00FE641D">
      <w:pPr>
        <w:shd w:val="clear" w:color="auto" w:fill="FDFDFD"/>
        <w:spacing w:after="0" w:line="240" w:lineRule="auto"/>
        <w:rPr>
          <w:rFonts w:cstheme="minorHAnsi"/>
          <w:sz w:val="20"/>
          <w:szCs w:val="20"/>
        </w:rPr>
      </w:pPr>
      <w:r w:rsidRPr="0043215C">
        <w:rPr>
          <w:rFonts w:cstheme="minorHAnsi"/>
          <w:sz w:val="20"/>
          <w:szCs w:val="20"/>
        </w:rPr>
        <w:t>The aim of the electricity market reform is the transformation of the sector’s structure starting from a vertically integrated monopolistic system to eventually reach a market structure where full retail competition is achieved.</w:t>
      </w:r>
    </w:p>
    <w:p w14:paraId="627E31E1" w14:textId="77777777" w:rsidR="00FE641D" w:rsidRPr="0043215C" w:rsidRDefault="00FE641D" w:rsidP="00FE641D">
      <w:pPr>
        <w:shd w:val="clear" w:color="auto" w:fill="FDFDFD"/>
        <w:spacing w:after="0" w:line="240" w:lineRule="auto"/>
        <w:rPr>
          <w:rFonts w:cstheme="minorHAnsi"/>
          <w:sz w:val="20"/>
          <w:szCs w:val="20"/>
        </w:rPr>
      </w:pPr>
    </w:p>
    <w:p w14:paraId="5B173EAA" w14:textId="2E254E1F" w:rsidR="008A5EC8" w:rsidRPr="0043215C" w:rsidRDefault="00FE641D" w:rsidP="00FE641D">
      <w:pPr>
        <w:shd w:val="clear" w:color="auto" w:fill="FDFDFD"/>
        <w:spacing w:after="0" w:line="240" w:lineRule="auto"/>
        <w:rPr>
          <w:rFonts w:cstheme="minorHAnsi"/>
          <w:sz w:val="20"/>
          <w:szCs w:val="20"/>
        </w:rPr>
      </w:pPr>
      <w:r w:rsidRPr="0043215C">
        <w:rPr>
          <w:rFonts w:cstheme="minorHAnsi"/>
          <w:sz w:val="20"/>
          <w:szCs w:val="20"/>
        </w:rPr>
        <w:t xml:space="preserve">In EML, the electricity market activities were defined as generation, transmission, wholesale, distribution, retail sale, system operation, and market operation. Among these </w:t>
      </w:r>
      <w:r w:rsidR="00D72026" w:rsidRPr="0043215C">
        <w:rPr>
          <w:rFonts w:cstheme="minorHAnsi"/>
          <w:sz w:val="20"/>
          <w:szCs w:val="20"/>
        </w:rPr>
        <w:t>activities,</w:t>
      </w:r>
      <w:r w:rsidRPr="0043215C">
        <w:rPr>
          <w:rFonts w:cstheme="minorHAnsi"/>
          <w:sz w:val="20"/>
          <w:szCs w:val="20"/>
        </w:rPr>
        <w:t xml:space="preserve"> transmission, </w:t>
      </w:r>
      <w:proofErr w:type="gramStart"/>
      <w:r w:rsidRPr="0043215C">
        <w:rPr>
          <w:rFonts w:cstheme="minorHAnsi"/>
          <w:sz w:val="20"/>
          <w:szCs w:val="20"/>
        </w:rPr>
        <w:t>distribution</w:t>
      </w:r>
      <w:proofErr w:type="gramEnd"/>
      <w:r w:rsidR="002408FD" w:rsidRPr="0043215C">
        <w:rPr>
          <w:rFonts w:cstheme="minorHAnsi"/>
          <w:sz w:val="20"/>
          <w:szCs w:val="20"/>
        </w:rPr>
        <w:t xml:space="preserve"> and</w:t>
      </w:r>
      <w:r w:rsidRPr="0043215C">
        <w:rPr>
          <w:rFonts w:cstheme="minorHAnsi"/>
          <w:sz w:val="20"/>
          <w:szCs w:val="20"/>
        </w:rPr>
        <w:t xml:space="preserve"> </w:t>
      </w:r>
      <w:r w:rsidR="00A55CE9" w:rsidRPr="0043215C">
        <w:rPr>
          <w:rFonts w:cstheme="minorHAnsi"/>
          <w:sz w:val="20"/>
          <w:szCs w:val="20"/>
        </w:rPr>
        <w:t xml:space="preserve">incumbent </w:t>
      </w:r>
      <w:r w:rsidRPr="0043215C">
        <w:rPr>
          <w:rFonts w:cstheme="minorHAnsi"/>
          <w:sz w:val="20"/>
          <w:szCs w:val="20"/>
        </w:rPr>
        <w:t>retail sale</w:t>
      </w:r>
      <w:r w:rsidR="001769BF" w:rsidRPr="0043215C">
        <w:rPr>
          <w:rFonts w:cstheme="minorHAnsi"/>
          <w:sz w:val="20"/>
          <w:szCs w:val="20"/>
        </w:rPr>
        <w:t>s</w:t>
      </w:r>
      <w:r w:rsidRPr="0043215C">
        <w:rPr>
          <w:rFonts w:cstheme="minorHAnsi"/>
          <w:sz w:val="20"/>
          <w:szCs w:val="20"/>
        </w:rPr>
        <w:t xml:space="preserve"> </w:t>
      </w:r>
      <w:r w:rsidR="00A55CE9" w:rsidRPr="0043215C">
        <w:rPr>
          <w:rFonts w:cstheme="minorHAnsi"/>
          <w:sz w:val="20"/>
          <w:szCs w:val="20"/>
        </w:rPr>
        <w:t>(ineligible customers and supply of last resort)</w:t>
      </w:r>
      <w:r w:rsidR="002408FD" w:rsidRPr="0043215C">
        <w:rPr>
          <w:rFonts w:cstheme="minorHAnsi"/>
          <w:sz w:val="20"/>
          <w:szCs w:val="20"/>
        </w:rPr>
        <w:t xml:space="preserve"> as well as</w:t>
      </w:r>
      <w:r w:rsidRPr="0043215C">
        <w:rPr>
          <w:rFonts w:cstheme="minorHAnsi"/>
          <w:sz w:val="20"/>
          <w:szCs w:val="20"/>
        </w:rPr>
        <w:t xml:space="preserve"> EUAS’s wholesale to distribution companies </w:t>
      </w:r>
      <w:r w:rsidR="00D26E0D" w:rsidRPr="0043215C">
        <w:rPr>
          <w:rFonts w:cstheme="minorHAnsi"/>
          <w:sz w:val="20"/>
          <w:szCs w:val="20"/>
        </w:rPr>
        <w:t xml:space="preserve">(for losses and general lighting) </w:t>
      </w:r>
      <w:r w:rsidRPr="0043215C">
        <w:rPr>
          <w:rFonts w:cstheme="minorHAnsi"/>
          <w:sz w:val="20"/>
          <w:szCs w:val="20"/>
        </w:rPr>
        <w:t xml:space="preserve">and </w:t>
      </w:r>
      <w:r w:rsidR="00D26E0D" w:rsidRPr="0043215C">
        <w:rPr>
          <w:rFonts w:cstheme="minorHAnsi"/>
          <w:sz w:val="20"/>
          <w:szCs w:val="20"/>
        </w:rPr>
        <w:t>incumbent</w:t>
      </w:r>
      <w:r w:rsidRPr="0043215C">
        <w:rPr>
          <w:rFonts w:cstheme="minorHAnsi"/>
          <w:sz w:val="20"/>
          <w:szCs w:val="20"/>
        </w:rPr>
        <w:t xml:space="preserve"> suppliers are regulated</w:t>
      </w:r>
      <w:r w:rsidR="002408FD" w:rsidRPr="0043215C">
        <w:rPr>
          <w:rFonts w:cstheme="minorHAnsi"/>
          <w:sz w:val="20"/>
          <w:szCs w:val="20"/>
        </w:rPr>
        <w:t>.</w:t>
      </w:r>
      <w:r w:rsidR="00720116" w:rsidRPr="0043215C">
        <w:rPr>
          <w:rFonts w:cstheme="minorHAnsi"/>
          <w:sz w:val="20"/>
          <w:szCs w:val="20"/>
        </w:rPr>
        <w:t xml:space="preserve"> On the other hand, </w:t>
      </w:r>
      <w:r w:rsidRPr="0043215C">
        <w:rPr>
          <w:rFonts w:cstheme="minorHAnsi"/>
          <w:sz w:val="20"/>
          <w:szCs w:val="20"/>
        </w:rPr>
        <w:t>generation</w:t>
      </w:r>
      <w:r w:rsidR="00720116" w:rsidRPr="0043215C">
        <w:rPr>
          <w:rFonts w:cstheme="minorHAnsi"/>
          <w:sz w:val="20"/>
          <w:szCs w:val="20"/>
        </w:rPr>
        <w:t xml:space="preserve">, </w:t>
      </w:r>
      <w:proofErr w:type="gramStart"/>
      <w:r w:rsidR="00720116" w:rsidRPr="0043215C">
        <w:rPr>
          <w:rFonts w:cstheme="minorHAnsi"/>
          <w:sz w:val="20"/>
          <w:szCs w:val="20"/>
        </w:rPr>
        <w:t>wholesale</w:t>
      </w:r>
      <w:proofErr w:type="gramEnd"/>
      <w:r w:rsidR="00720116" w:rsidRPr="0043215C">
        <w:rPr>
          <w:rFonts w:cstheme="minorHAnsi"/>
          <w:sz w:val="20"/>
          <w:szCs w:val="20"/>
        </w:rPr>
        <w:t xml:space="preserve"> and </w:t>
      </w:r>
      <w:r w:rsidR="00E62BB4" w:rsidRPr="0043215C">
        <w:rPr>
          <w:rFonts w:cstheme="minorHAnsi"/>
          <w:sz w:val="20"/>
          <w:szCs w:val="20"/>
        </w:rPr>
        <w:t xml:space="preserve">retail sales to eligible customers </w:t>
      </w:r>
      <w:r w:rsidR="00C40682" w:rsidRPr="0043215C">
        <w:rPr>
          <w:rFonts w:cstheme="minorHAnsi"/>
          <w:sz w:val="20"/>
          <w:szCs w:val="20"/>
        </w:rPr>
        <w:t xml:space="preserve">are free market activities open </w:t>
      </w:r>
      <w:r w:rsidR="008A5EC8" w:rsidRPr="0043215C">
        <w:rPr>
          <w:rFonts w:cstheme="minorHAnsi"/>
          <w:sz w:val="20"/>
          <w:szCs w:val="20"/>
        </w:rPr>
        <w:t xml:space="preserve">to </w:t>
      </w:r>
      <w:r w:rsidRPr="0043215C">
        <w:rPr>
          <w:rFonts w:cstheme="minorHAnsi"/>
          <w:sz w:val="20"/>
          <w:szCs w:val="20"/>
        </w:rPr>
        <w:t>competiti</w:t>
      </w:r>
      <w:r w:rsidR="008A5EC8" w:rsidRPr="0043215C">
        <w:rPr>
          <w:rFonts w:cstheme="minorHAnsi"/>
          <w:sz w:val="20"/>
          <w:szCs w:val="20"/>
        </w:rPr>
        <w:t xml:space="preserve">on. </w:t>
      </w:r>
    </w:p>
    <w:p w14:paraId="7EF1C3AE" w14:textId="77777777" w:rsidR="008A5EC8" w:rsidRPr="0043215C" w:rsidRDefault="008A5EC8" w:rsidP="00FE641D">
      <w:pPr>
        <w:shd w:val="clear" w:color="auto" w:fill="FDFDFD"/>
        <w:spacing w:after="0" w:line="240" w:lineRule="auto"/>
        <w:rPr>
          <w:rFonts w:cstheme="minorHAnsi"/>
          <w:sz w:val="20"/>
          <w:szCs w:val="20"/>
        </w:rPr>
      </w:pPr>
    </w:p>
    <w:p w14:paraId="1E4C6805" w14:textId="6B4A4F5B" w:rsidR="00FE641D" w:rsidRPr="0043215C" w:rsidRDefault="008A5EC8" w:rsidP="00FE641D">
      <w:pPr>
        <w:shd w:val="clear" w:color="auto" w:fill="FDFDFD"/>
        <w:spacing w:after="0" w:line="240" w:lineRule="auto"/>
        <w:rPr>
          <w:rFonts w:cstheme="minorHAnsi"/>
          <w:sz w:val="20"/>
          <w:szCs w:val="20"/>
        </w:rPr>
      </w:pPr>
      <w:r w:rsidRPr="0043215C">
        <w:rPr>
          <w:rFonts w:cstheme="minorHAnsi"/>
          <w:sz w:val="20"/>
          <w:szCs w:val="20"/>
        </w:rPr>
        <w:t>D</w:t>
      </w:r>
      <w:r w:rsidR="006E542D" w:rsidRPr="0043215C">
        <w:rPr>
          <w:rFonts w:cstheme="minorHAnsi"/>
          <w:sz w:val="20"/>
          <w:szCs w:val="20"/>
        </w:rPr>
        <w:t xml:space="preserve">istribution </w:t>
      </w:r>
      <w:r w:rsidR="00FE641D" w:rsidRPr="0043215C">
        <w:rPr>
          <w:rFonts w:cstheme="minorHAnsi"/>
          <w:sz w:val="20"/>
          <w:szCs w:val="20"/>
        </w:rPr>
        <w:t xml:space="preserve">and retail sales activities </w:t>
      </w:r>
      <w:r w:rsidRPr="0043215C">
        <w:rPr>
          <w:rFonts w:cstheme="minorHAnsi"/>
          <w:sz w:val="20"/>
          <w:szCs w:val="20"/>
        </w:rPr>
        <w:t>have been</w:t>
      </w:r>
      <w:r w:rsidR="00FE641D" w:rsidRPr="0043215C">
        <w:rPr>
          <w:rFonts w:cstheme="minorHAnsi"/>
          <w:sz w:val="20"/>
          <w:szCs w:val="20"/>
        </w:rPr>
        <w:t xml:space="preserve"> </w:t>
      </w:r>
      <w:r w:rsidR="00824880" w:rsidRPr="0043215C">
        <w:rPr>
          <w:rFonts w:cstheme="minorHAnsi"/>
          <w:sz w:val="20"/>
          <w:szCs w:val="20"/>
        </w:rPr>
        <w:t xml:space="preserve">legally unbundled </w:t>
      </w:r>
      <w:r w:rsidRPr="0043215C">
        <w:rPr>
          <w:rFonts w:cstheme="minorHAnsi"/>
          <w:sz w:val="20"/>
          <w:szCs w:val="20"/>
        </w:rPr>
        <w:t>since January 1</w:t>
      </w:r>
      <w:r w:rsidRPr="0043215C">
        <w:rPr>
          <w:rFonts w:cstheme="minorHAnsi"/>
          <w:sz w:val="20"/>
          <w:szCs w:val="20"/>
          <w:vertAlign w:val="superscript"/>
        </w:rPr>
        <w:t>st</w:t>
      </w:r>
      <w:r w:rsidR="00D72026" w:rsidRPr="0043215C">
        <w:rPr>
          <w:rFonts w:cstheme="minorHAnsi"/>
          <w:sz w:val="20"/>
          <w:szCs w:val="20"/>
        </w:rPr>
        <w:t>, 2013,</w:t>
      </w:r>
      <w:r w:rsidR="00407B1E" w:rsidRPr="0043215C">
        <w:rPr>
          <w:rFonts w:cstheme="minorHAnsi"/>
          <w:sz w:val="20"/>
          <w:szCs w:val="20"/>
        </w:rPr>
        <w:t xml:space="preserve"> and</w:t>
      </w:r>
      <w:r w:rsidR="00824880" w:rsidRPr="0043215C">
        <w:rPr>
          <w:rFonts w:cstheme="minorHAnsi"/>
          <w:sz w:val="20"/>
          <w:szCs w:val="20"/>
        </w:rPr>
        <w:t xml:space="preserve"> </w:t>
      </w:r>
      <w:r w:rsidR="00407B1E" w:rsidRPr="0043215C">
        <w:rPr>
          <w:rFonts w:cstheme="minorHAnsi"/>
          <w:sz w:val="20"/>
          <w:szCs w:val="20"/>
        </w:rPr>
        <w:t>i</w:t>
      </w:r>
      <w:r w:rsidR="00D354A3" w:rsidRPr="0043215C">
        <w:rPr>
          <w:rFonts w:cstheme="minorHAnsi"/>
          <w:sz w:val="20"/>
          <w:szCs w:val="20"/>
        </w:rPr>
        <w:t>ncumbent</w:t>
      </w:r>
      <w:r w:rsidR="00FE641D" w:rsidRPr="0043215C">
        <w:rPr>
          <w:rFonts w:cstheme="minorHAnsi"/>
          <w:sz w:val="20"/>
          <w:szCs w:val="20"/>
        </w:rPr>
        <w:t xml:space="preserve"> </w:t>
      </w:r>
      <w:r w:rsidR="00407B1E" w:rsidRPr="0043215C">
        <w:rPr>
          <w:rFonts w:cstheme="minorHAnsi"/>
          <w:sz w:val="20"/>
          <w:szCs w:val="20"/>
        </w:rPr>
        <w:t>s</w:t>
      </w:r>
      <w:r w:rsidR="00FE641D" w:rsidRPr="0043215C">
        <w:rPr>
          <w:rFonts w:cstheme="minorHAnsi"/>
          <w:sz w:val="20"/>
          <w:szCs w:val="20"/>
        </w:rPr>
        <w:t xml:space="preserve">upplier concept was introduced. </w:t>
      </w:r>
      <w:r w:rsidR="00434E84" w:rsidRPr="0043215C">
        <w:rPr>
          <w:rFonts w:cstheme="minorHAnsi"/>
          <w:sz w:val="20"/>
          <w:szCs w:val="20"/>
        </w:rPr>
        <w:t>Incumbent</w:t>
      </w:r>
      <w:r w:rsidR="00FE641D" w:rsidRPr="0043215C">
        <w:rPr>
          <w:rFonts w:cstheme="minorHAnsi"/>
          <w:sz w:val="20"/>
          <w:szCs w:val="20"/>
        </w:rPr>
        <w:t xml:space="preserve"> suppliers are the suppliers that can sell electricity to </w:t>
      </w:r>
      <w:r w:rsidR="003C7566" w:rsidRPr="0043215C">
        <w:rPr>
          <w:rFonts w:cstheme="minorHAnsi"/>
          <w:sz w:val="20"/>
          <w:szCs w:val="20"/>
        </w:rPr>
        <w:t>in</w:t>
      </w:r>
      <w:r w:rsidR="00E66244" w:rsidRPr="0043215C">
        <w:rPr>
          <w:rFonts w:cstheme="minorHAnsi"/>
          <w:sz w:val="20"/>
          <w:szCs w:val="20"/>
        </w:rPr>
        <w:t>eligible</w:t>
      </w:r>
      <w:r w:rsidR="00FE641D" w:rsidRPr="0043215C">
        <w:rPr>
          <w:rFonts w:cstheme="minorHAnsi"/>
          <w:sz w:val="20"/>
          <w:szCs w:val="20"/>
        </w:rPr>
        <w:t xml:space="preserve"> and last-resort </w:t>
      </w:r>
      <w:r w:rsidR="00E66244" w:rsidRPr="0043215C">
        <w:rPr>
          <w:rFonts w:cstheme="minorHAnsi"/>
          <w:sz w:val="20"/>
          <w:szCs w:val="20"/>
        </w:rPr>
        <w:t>customers</w:t>
      </w:r>
      <w:r w:rsidR="00FE641D" w:rsidRPr="0043215C">
        <w:rPr>
          <w:rFonts w:cstheme="minorHAnsi"/>
          <w:sz w:val="20"/>
          <w:szCs w:val="20"/>
        </w:rPr>
        <w:t xml:space="preserve"> in a pre</w:t>
      </w:r>
      <w:r w:rsidR="0013401E" w:rsidRPr="0043215C">
        <w:rPr>
          <w:rFonts w:cstheme="minorHAnsi"/>
          <w:sz w:val="20"/>
          <w:szCs w:val="20"/>
        </w:rPr>
        <w:t>-</w:t>
      </w:r>
      <w:r w:rsidR="00FE641D" w:rsidRPr="0043215C">
        <w:rPr>
          <w:rFonts w:cstheme="minorHAnsi"/>
          <w:sz w:val="20"/>
          <w:szCs w:val="20"/>
        </w:rPr>
        <w:t xml:space="preserve">determined region </w:t>
      </w:r>
      <w:r w:rsidR="0013401E" w:rsidRPr="0043215C">
        <w:rPr>
          <w:rFonts w:cstheme="minorHAnsi"/>
          <w:sz w:val="20"/>
          <w:szCs w:val="20"/>
        </w:rPr>
        <w:t xml:space="preserve">which matches with the electricity </w:t>
      </w:r>
      <w:r w:rsidR="00FE641D" w:rsidRPr="0043215C">
        <w:rPr>
          <w:rFonts w:cstheme="minorHAnsi"/>
          <w:sz w:val="20"/>
          <w:szCs w:val="20"/>
        </w:rPr>
        <w:t>distribution region.</w:t>
      </w:r>
    </w:p>
    <w:p w14:paraId="250DA9B6" w14:textId="77777777" w:rsidR="00614EA4" w:rsidRPr="0043215C" w:rsidRDefault="00614EA4" w:rsidP="00FE641D">
      <w:pPr>
        <w:shd w:val="clear" w:color="auto" w:fill="FDFDFD"/>
        <w:spacing w:after="0" w:line="240" w:lineRule="auto"/>
        <w:rPr>
          <w:rFonts w:cstheme="minorHAnsi"/>
          <w:sz w:val="20"/>
          <w:szCs w:val="20"/>
        </w:rPr>
      </w:pPr>
    </w:p>
    <w:p w14:paraId="7725D056" w14:textId="3A851E46" w:rsidR="009D0588" w:rsidRPr="0043215C" w:rsidRDefault="00982768" w:rsidP="00982768">
      <w:pPr>
        <w:shd w:val="clear" w:color="auto" w:fill="FDFDFD"/>
        <w:spacing w:after="0" w:line="240" w:lineRule="auto"/>
        <w:rPr>
          <w:rFonts w:cstheme="minorHAnsi"/>
          <w:sz w:val="20"/>
          <w:szCs w:val="20"/>
        </w:rPr>
      </w:pPr>
      <w:r w:rsidRPr="0043215C">
        <w:rPr>
          <w:rFonts w:cstheme="minorHAnsi"/>
          <w:sz w:val="20"/>
          <w:szCs w:val="20"/>
        </w:rPr>
        <w:t xml:space="preserve">Before the Reform, </w:t>
      </w:r>
      <w:r w:rsidR="00361998" w:rsidRPr="0043215C">
        <w:rPr>
          <w:rFonts w:cstheme="minorHAnsi"/>
          <w:sz w:val="20"/>
          <w:szCs w:val="20"/>
        </w:rPr>
        <w:t>Türkiye</w:t>
      </w:r>
      <w:r w:rsidR="008E62BA" w:rsidRPr="0043215C">
        <w:rPr>
          <w:rFonts w:cstheme="minorHAnsi"/>
          <w:sz w:val="20"/>
          <w:szCs w:val="20"/>
        </w:rPr>
        <w:t xml:space="preserve"> Electricity </w:t>
      </w:r>
      <w:r w:rsidR="00A26734" w:rsidRPr="0043215C">
        <w:rPr>
          <w:rFonts w:cstheme="minorHAnsi"/>
          <w:sz w:val="20"/>
          <w:szCs w:val="20"/>
        </w:rPr>
        <w:t xml:space="preserve">Distribution Corporation </w:t>
      </w:r>
      <w:r w:rsidR="00361998" w:rsidRPr="0043215C">
        <w:rPr>
          <w:rFonts w:cstheme="minorHAnsi"/>
          <w:sz w:val="20"/>
          <w:szCs w:val="20"/>
        </w:rPr>
        <w:t>(</w:t>
      </w:r>
      <w:r w:rsidRPr="0043215C">
        <w:rPr>
          <w:rFonts w:cstheme="minorHAnsi"/>
          <w:sz w:val="20"/>
          <w:szCs w:val="20"/>
        </w:rPr>
        <w:t>TEDAS</w:t>
      </w:r>
      <w:r w:rsidR="00361998" w:rsidRPr="0043215C">
        <w:rPr>
          <w:rFonts w:cstheme="minorHAnsi"/>
          <w:sz w:val="20"/>
          <w:szCs w:val="20"/>
        </w:rPr>
        <w:t>)</w:t>
      </w:r>
      <w:r w:rsidRPr="0043215C">
        <w:rPr>
          <w:rFonts w:cstheme="minorHAnsi"/>
          <w:sz w:val="20"/>
          <w:szCs w:val="20"/>
        </w:rPr>
        <w:t xml:space="preserve"> was the owner and operator of all distribution regions in Türkiye. Distribution regions were restructured as 21 subsidiaries of TEDAS and all privatized</w:t>
      </w:r>
      <w:r w:rsidR="003C7566" w:rsidRPr="0043215C">
        <w:rPr>
          <w:rFonts w:cstheme="minorHAnsi"/>
          <w:sz w:val="20"/>
          <w:szCs w:val="20"/>
        </w:rPr>
        <w:t xml:space="preserve"> between 2008 and 2013</w:t>
      </w:r>
      <w:r w:rsidRPr="0043215C">
        <w:rPr>
          <w:rFonts w:cstheme="minorHAnsi"/>
          <w:sz w:val="20"/>
          <w:szCs w:val="20"/>
        </w:rPr>
        <w:t xml:space="preserve">. The </w:t>
      </w:r>
      <w:r w:rsidR="009D0588" w:rsidRPr="0043215C">
        <w:rPr>
          <w:rFonts w:cstheme="minorHAnsi"/>
          <w:sz w:val="20"/>
          <w:szCs w:val="20"/>
        </w:rPr>
        <w:t>ownership</w:t>
      </w:r>
      <w:r w:rsidRPr="0043215C">
        <w:rPr>
          <w:rFonts w:cstheme="minorHAnsi"/>
          <w:sz w:val="20"/>
          <w:szCs w:val="20"/>
        </w:rPr>
        <w:t xml:space="preserve"> of </w:t>
      </w:r>
      <w:r w:rsidR="009D0588" w:rsidRPr="0043215C">
        <w:rPr>
          <w:rFonts w:cstheme="minorHAnsi"/>
          <w:sz w:val="20"/>
          <w:szCs w:val="20"/>
        </w:rPr>
        <w:t>the</w:t>
      </w:r>
      <w:r w:rsidRPr="0043215C">
        <w:rPr>
          <w:rFonts w:cstheme="minorHAnsi"/>
          <w:sz w:val="20"/>
          <w:szCs w:val="20"/>
        </w:rPr>
        <w:t xml:space="preserve"> distribution assets remained with </w:t>
      </w:r>
      <w:r w:rsidR="00D72026" w:rsidRPr="0043215C">
        <w:rPr>
          <w:rFonts w:cstheme="minorHAnsi"/>
          <w:sz w:val="20"/>
          <w:szCs w:val="20"/>
        </w:rPr>
        <w:t>TEDAS,</w:t>
      </w:r>
      <w:r w:rsidRPr="0043215C">
        <w:rPr>
          <w:rFonts w:cstheme="minorHAnsi"/>
          <w:sz w:val="20"/>
          <w:szCs w:val="20"/>
        </w:rPr>
        <w:t xml:space="preserve"> and operational rights were transferred to the private companies. Following the privatization process, electricity distribution activities are performed by Distribution Companies (</w:t>
      </w:r>
      <w:proofErr w:type="spellStart"/>
      <w:r w:rsidRPr="0043215C">
        <w:rPr>
          <w:rFonts w:cstheme="minorHAnsi"/>
          <w:sz w:val="20"/>
          <w:szCs w:val="20"/>
        </w:rPr>
        <w:t>DistCos</w:t>
      </w:r>
      <w:proofErr w:type="spellEnd"/>
      <w:r w:rsidRPr="0043215C">
        <w:rPr>
          <w:rFonts w:cstheme="minorHAnsi"/>
          <w:sz w:val="20"/>
          <w:szCs w:val="20"/>
        </w:rPr>
        <w:t xml:space="preserve">) in regions indicated in their respective licenses. </w:t>
      </w:r>
      <w:proofErr w:type="spellStart"/>
      <w:r w:rsidRPr="0043215C">
        <w:rPr>
          <w:rFonts w:cstheme="minorHAnsi"/>
          <w:sz w:val="20"/>
          <w:szCs w:val="20"/>
        </w:rPr>
        <w:t>DistCos</w:t>
      </w:r>
      <w:proofErr w:type="spellEnd"/>
      <w:r w:rsidRPr="0043215C">
        <w:rPr>
          <w:rFonts w:cstheme="minorHAnsi"/>
          <w:sz w:val="20"/>
          <w:szCs w:val="20"/>
        </w:rPr>
        <w:t xml:space="preserve"> are to operate and maintain the distribution grid, carry out necessary grid investments, provide non-discriminatory electricity distribution and connection services to all system users including eligible consumers connected and/or to be connected to the distribution system. </w:t>
      </w:r>
    </w:p>
    <w:p w14:paraId="47FA9194" w14:textId="77777777" w:rsidR="009D0588" w:rsidRPr="0043215C" w:rsidRDefault="009D0588" w:rsidP="00982768">
      <w:pPr>
        <w:shd w:val="clear" w:color="auto" w:fill="FDFDFD"/>
        <w:spacing w:after="0" w:line="240" w:lineRule="auto"/>
        <w:rPr>
          <w:rFonts w:cstheme="minorHAnsi"/>
          <w:sz w:val="20"/>
          <w:szCs w:val="20"/>
        </w:rPr>
      </w:pPr>
    </w:p>
    <w:p w14:paraId="245010B4" w14:textId="70F71262" w:rsidR="00982768" w:rsidRPr="0043215C" w:rsidRDefault="00982768" w:rsidP="00982768">
      <w:pPr>
        <w:shd w:val="clear" w:color="auto" w:fill="FDFDFD"/>
        <w:spacing w:after="0" w:line="240" w:lineRule="auto"/>
        <w:rPr>
          <w:rFonts w:cstheme="minorHAnsi"/>
          <w:sz w:val="20"/>
          <w:szCs w:val="20"/>
        </w:rPr>
      </w:pPr>
      <w:proofErr w:type="spellStart"/>
      <w:r w:rsidRPr="0043215C">
        <w:rPr>
          <w:rFonts w:cstheme="minorHAnsi"/>
          <w:sz w:val="20"/>
          <w:szCs w:val="20"/>
        </w:rPr>
        <w:t>DistCos</w:t>
      </w:r>
      <w:proofErr w:type="spellEnd"/>
      <w:r w:rsidRPr="0043215C">
        <w:rPr>
          <w:rFonts w:cstheme="minorHAnsi"/>
          <w:sz w:val="20"/>
          <w:szCs w:val="20"/>
        </w:rPr>
        <w:t xml:space="preserve"> also </w:t>
      </w:r>
      <w:proofErr w:type="gramStart"/>
      <w:r w:rsidRPr="0043215C">
        <w:rPr>
          <w:rFonts w:cstheme="minorHAnsi"/>
          <w:sz w:val="20"/>
          <w:szCs w:val="20"/>
        </w:rPr>
        <w:t>have to</w:t>
      </w:r>
      <w:proofErr w:type="gramEnd"/>
      <w:r w:rsidRPr="0043215C">
        <w:rPr>
          <w:rFonts w:cstheme="minorHAnsi"/>
          <w:sz w:val="20"/>
          <w:szCs w:val="20"/>
        </w:rPr>
        <w:t xml:space="preserve"> prepare regional demand projections and distribution investment plans for required distribution facilities to be constructed in the regions specified in their licenses. TEDAS still remains as the asset owner and audit</w:t>
      </w:r>
      <w:r w:rsidR="63218F12" w:rsidRPr="0043215C">
        <w:rPr>
          <w:rFonts w:cstheme="minorHAnsi"/>
          <w:sz w:val="20"/>
          <w:szCs w:val="20"/>
        </w:rPr>
        <w:t>s</w:t>
      </w:r>
      <w:r w:rsidRPr="0043215C">
        <w:rPr>
          <w:rFonts w:cstheme="minorHAnsi"/>
          <w:sz w:val="20"/>
          <w:szCs w:val="20"/>
        </w:rPr>
        <w:t xml:space="preserve"> the investment by the authority of MENR. EMRA approves distribution investments.</w:t>
      </w:r>
      <w:r w:rsidR="004F6258" w:rsidRPr="0043215C">
        <w:rPr>
          <w:rFonts w:cstheme="minorHAnsi"/>
          <w:sz w:val="20"/>
          <w:szCs w:val="20"/>
        </w:rPr>
        <w:t xml:space="preserve"> </w:t>
      </w:r>
    </w:p>
    <w:p w14:paraId="2E9D95D2" w14:textId="77777777" w:rsidR="00982768" w:rsidRPr="0043215C" w:rsidRDefault="00982768" w:rsidP="00982768">
      <w:pPr>
        <w:shd w:val="clear" w:color="auto" w:fill="FDFDFD"/>
        <w:spacing w:after="0" w:line="240" w:lineRule="auto"/>
        <w:rPr>
          <w:rFonts w:cstheme="minorHAnsi"/>
          <w:sz w:val="20"/>
          <w:szCs w:val="20"/>
        </w:rPr>
      </w:pPr>
    </w:p>
    <w:p w14:paraId="7A215DBC" w14:textId="1A1A64C0" w:rsidR="00292423" w:rsidRPr="0043215C" w:rsidRDefault="00292423" w:rsidP="00292423">
      <w:pPr>
        <w:shd w:val="clear" w:color="auto" w:fill="FDFDFD"/>
        <w:spacing w:after="0" w:line="240" w:lineRule="auto"/>
        <w:rPr>
          <w:rFonts w:cstheme="minorHAnsi"/>
          <w:sz w:val="20"/>
          <w:szCs w:val="20"/>
        </w:rPr>
      </w:pPr>
      <w:r w:rsidRPr="0043215C">
        <w:rPr>
          <w:rFonts w:cstheme="minorHAnsi"/>
          <w:sz w:val="20"/>
          <w:szCs w:val="20"/>
        </w:rPr>
        <w:t xml:space="preserve">Following the electricity market liberalization process in 2001, the private sector gained the chance to construct power plants on its own by bearing the risk of investment. Since then, the private sector obtaining a license from the Energy Market Regulatory Authority (EMRA) could invest in constructing a new generation facility or attend public generation facilities’ privatization auctions to generate electricity. At the time of liberalization, there was some private sector participation in generation activities in the form of Build Operate Transfer (BOT), Build Own Operate (BOO), Transfer of Operational Rights (TOOR), and auto production (self-generation).  BOT and TOOR generators are operating State-owned generation facilities so, at the end of their contract period, assets are transferred to a public company, Electric Generation Co. (EUAS). Thermal and small hydro generation assets under the control of EUAŞ have gradually </w:t>
      </w:r>
      <w:r w:rsidR="2ACBC33A" w:rsidRPr="0043215C">
        <w:rPr>
          <w:rFonts w:cstheme="minorHAnsi"/>
          <w:sz w:val="20"/>
          <w:szCs w:val="20"/>
        </w:rPr>
        <w:t>been</w:t>
      </w:r>
      <w:r w:rsidRPr="0043215C">
        <w:rPr>
          <w:rFonts w:cstheme="minorHAnsi"/>
          <w:sz w:val="20"/>
          <w:szCs w:val="20"/>
        </w:rPr>
        <w:t xml:space="preserve"> privatized and on the other hand, at the end of their contract period, some TOOR and BOT facilities were transferred to EUAS, waiting to be privatized again.</w:t>
      </w:r>
    </w:p>
    <w:p w14:paraId="6D15F772" w14:textId="77777777" w:rsidR="00292423" w:rsidRPr="0043215C" w:rsidRDefault="00292423" w:rsidP="00292423">
      <w:pPr>
        <w:shd w:val="clear" w:color="auto" w:fill="FDFDFD"/>
        <w:spacing w:after="0" w:line="240" w:lineRule="auto"/>
        <w:rPr>
          <w:rFonts w:cstheme="minorHAnsi"/>
          <w:sz w:val="20"/>
          <w:szCs w:val="20"/>
        </w:rPr>
      </w:pPr>
    </w:p>
    <w:p w14:paraId="7EC2BDE1" w14:textId="18C780B8" w:rsidR="00292423" w:rsidRPr="0043215C" w:rsidRDefault="00292423" w:rsidP="00292423">
      <w:pPr>
        <w:shd w:val="clear" w:color="auto" w:fill="FDFDFD"/>
        <w:spacing w:after="0" w:line="240" w:lineRule="auto"/>
        <w:rPr>
          <w:rFonts w:cstheme="minorHAnsi"/>
          <w:sz w:val="20"/>
          <w:szCs w:val="20"/>
        </w:rPr>
      </w:pPr>
      <w:r w:rsidRPr="0043215C">
        <w:rPr>
          <w:rFonts w:cstheme="minorHAnsi"/>
          <w:sz w:val="20"/>
          <w:szCs w:val="20"/>
        </w:rPr>
        <w:t>EUAS, however, will continue to have and operate high-capacity Reservoir Hydroelectric Power Plants (HPPs) as those are very effective in keeping the transmission system stable and controlling frequency. Also, some strategic HPPs are located on border crossing rivers and should be operated by a public company for geopolitical reasons.</w:t>
      </w:r>
    </w:p>
    <w:p w14:paraId="743F5524" w14:textId="77777777" w:rsidR="00FE641D" w:rsidRPr="0043215C" w:rsidRDefault="00FE641D" w:rsidP="00FE641D">
      <w:pPr>
        <w:shd w:val="clear" w:color="auto" w:fill="FDFDFD"/>
        <w:spacing w:after="0" w:line="240" w:lineRule="auto"/>
        <w:rPr>
          <w:rFonts w:cstheme="minorHAnsi"/>
          <w:sz w:val="20"/>
          <w:szCs w:val="20"/>
        </w:rPr>
      </w:pPr>
    </w:p>
    <w:p w14:paraId="578ABEEF" w14:textId="77777777" w:rsidR="00ED2B31" w:rsidRPr="0043215C" w:rsidRDefault="00ED2B31" w:rsidP="00ED2B31">
      <w:pPr>
        <w:shd w:val="clear" w:color="auto" w:fill="FDFDFD"/>
        <w:spacing w:after="0" w:line="240" w:lineRule="auto"/>
        <w:rPr>
          <w:rFonts w:cstheme="minorHAnsi"/>
          <w:sz w:val="20"/>
          <w:szCs w:val="20"/>
        </w:rPr>
      </w:pPr>
      <w:r w:rsidRPr="1E9D41E1">
        <w:rPr>
          <w:sz w:val="20"/>
          <w:szCs w:val="20"/>
        </w:rPr>
        <w:lastRenderedPageBreak/>
        <w:t>With the introduction of unlicensed generation</w:t>
      </w:r>
      <w:r w:rsidRPr="1E9D41E1">
        <w:rPr>
          <w:rStyle w:val="FootnoteReference"/>
          <w:sz w:val="20"/>
          <w:szCs w:val="20"/>
        </w:rPr>
        <w:footnoteReference w:id="41"/>
      </w:r>
      <w:r w:rsidRPr="1E9D41E1">
        <w:rPr>
          <w:sz w:val="20"/>
          <w:szCs w:val="20"/>
        </w:rPr>
        <w:t>, real persons in addition to legal persons had gained electricity generation opportunities for their needs using renewable energy sources.</w:t>
      </w:r>
    </w:p>
    <w:p w14:paraId="4D2235F8" w14:textId="77777777" w:rsidR="00ED2B31" w:rsidRPr="0043215C" w:rsidRDefault="00ED2B31" w:rsidP="00FE641D">
      <w:pPr>
        <w:shd w:val="clear" w:color="auto" w:fill="FDFDFD"/>
        <w:spacing w:after="0" w:line="240" w:lineRule="auto"/>
        <w:rPr>
          <w:rFonts w:cstheme="minorHAnsi"/>
          <w:sz w:val="20"/>
          <w:szCs w:val="20"/>
        </w:rPr>
      </w:pPr>
    </w:p>
    <w:p w14:paraId="75F88318" w14:textId="2338D5A0" w:rsidR="0042582E" w:rsidRPr="0043215C" w:rsidRDefault="0042582E" w:rsidP="0042582E">
      <w:pPr>
        <w:shd w:val="clear" w:color="auto" w:fill="FDFDFD"/>
        <w:spacing w:after="0" w:line="240" w:lineRule="auto"/>
        <w:rPr>
          <w:rFonts w:cstheme="minorHAnsi"/>
          <w:sz w:val="20"/>
          <w:szCs w:val="20"/>
        </w:rPr>
      </w:pPr>
      <w:r w:rsidRPr="1E9D41E1">
        <w:rPr>
          <w:sz w:val="20"/>
          <w:szCs w:val="20"/>
        </w:rPr>
        <w:t xml:space="preserve">In the liberalization process, generation and </w:t>
      </w:r>
      <w:r w:rsidR="00BD4F14" w:rsidRPr="1E9D41E1">
        <w:rPr>
          <w:sz w:val="20"/>
          <w:szCs w:val="20"/>
        </w:rPr>
        <w:t>wholesale</w:t>
      </w:r>
      <w:r w:rsidRPr="1E9D41E1">
        <w:rPr>
          <w:sz w:val="20"/>
          <w:szCs w:val="20"/>
        </w:rPr>
        <w:t xml:space="preserve"> activities were separated from the mother company Türkiye Electric Generation and Transmission Company (TEAS) and a new public company was established to carry out only transmission and its related activities. Other transmission assets under the control of private companies were gathered under The Turkish Electricity Transmission Company (</w:t>
      </w:r>
      <w:r w:rsidR="002B50C9" w:rsidRPr="1E9D41E1">
        <w:rPr>
          <w:sz w:val="20"/>
          <w:szCs w:val="20"/>
        </w:rPr>
        <w:t>TEİAŞ</w:t>
      </w:r>
      <w:r w:rsidRPr="1E9D41E1">
        <w:rPr>
          <w:sz w:val="20"/>
          <w:szCs w:val="20"/>
        </w:rPr>
        <w:t xml:space="preserve">). Hence </w:t>
      </w:r>
      <w:r w:rsidR="002B50C9" w:rsidRPr="1E9D41E1">
        <w:rPr>
          <w:sz w:val="20"/>
          <w:szCs w:val="20"/>
        </w:rPr>
        <w:t>TEİAŞ</w:t>
      </w:r>
      <w:r w:rsidRPr="1E9D41E1">
        <w:rPr>
          <w:sz w:val="20"/>
          <w:szCs w:val="20"/>
        </w:rPr>
        <w:t xml:space="preserve"> became a regulated public monopole company. Currently, </w:t>
      </w:r>
      <w:r w:rsidR="002B50C9" w:rsidRPr="1E9D41E1">
        <w:rPr>
          <w:sz w:val="20"/>
          <w:szCs w:val="20"/>
        </w:rPr>
        <w:t>TEİAŞ</w:t>
      </w:r>
      <w:r w:rsidRPr="1E9D41E1">
        <w:rPr>
          <w:sz w:val="20"/>
          <w:szCs w:val="20"/>
        </w:rPr>
        <w:t xml:space="preserve"> is the only authorized company to construct and operate transmission systems except for generation companies whose generation facilities are near the country border and may construct transmission facilities up to the border to export electricity to neighboring countries with unit dedication</w:t>
      </w:r>
      <w:r w:rsidRPr="1E9D41E1">
        <w:rPr>
          <w:rStyle w:val="FootnoteReference"/>
          <w:sz w:val="20"/>
          <w:szCs w:val="20"/>
        </w:rPr>
        <w:footnoteReference w:id="42"/>
      </w:r>
      <w:r w:rsidRPr="1E9D41E1">
        <w:rPr>
          <w:sz w:val="20"/>
          <w:szCs w:val="20"/>
        </w:rPr>
        <w:t xml:space="preserve"> method. Also, if </w:t>
      </w:r>
      <w:r w:rsidR="002B50C9" w:rsidRPr="1E9D41E1">
        <w:rPr>
          <w:sz w:val="20"/>
          <w:szCs w:val="20"/>
        </w:rPr>
        <w:t>TEİAŞ</w:t>
      </w:r>
      <w:r w:rsidRPr="1E9D41E1">
        <w:rPr>
          <w:sz w:val="20"/>
          <w:szCs w:val="20"/>
        </w:rPr>
        <w:t xml:space="preserve"> does not have sufficient financing or cannot make timely investment planning to connect a new generation facility to the grid, such investments may be made or financed by the subject generation facility licensee on behalf of </w:t>
      </w:r>
      <w:r w:rsidR="002B50C9" w:rsidRPr="1E9D41E1">
        <w:rPr>
          <w:sz w:val="20"/>
          <w:szCs w:val="20"/>
        </w:rPr>
        <w:t>TEİAŞ</w:t>
      </w:r>
      <w:r w:rsidRPr="1E9D41E1">
        <w:rPr>
          <w:sz w:val="20"/>
          <w:szCs w:val="20"/>
        </w:rPr>
        <w:t>.</w:t>
      </w:r>
    </w:p>
    <w:p w14:paraId="59CA1EC3" w14:textId="77777777" w:rsidR="0042582E" w:rsidRPr="0043215C" w:rsidRDefault="0042582E" w:rsidP="0042582E">
      <w:pPr>
        <w:pStyle w:val="Default"/>
        <w:spacing w:after="46"/>
        <w:ind w:left="720"/>
        <w:jc w:val="both"/>
        <w:rPr>
          <w:rFonts w:asciiTheme="minorHAnsi" w:hAnsiTheme="minorHAnsi" w:cstheme="minorHAnsi"/>
          <w:sz w:val="20"/>
          <w:szCs w:val="20"/>
          <w:lang w:val="en-US"/>
        </w:rPr>
      </w:pPr>
    </w:p>
    <w:p w14:paraId="3A0B002C" w14:textId="73F8F99A" w:rsidR="0042582E" w:rsidRPr="0043215C" w:rsidRDefault="0042582E" w:rsidP="0042582E">
      <w:pPr>
        <w:shd w:val="clear" w:color="auto" w:fill="FDFDFD"/>
        <w:spacing w:after="0" w:line="240" w:lineRule="auto"/>
        <w:rPr>
          <w:rFonts w:cstheme="minorHAnsi"/>
          <w:sz w:val="20"/>
          <w:szCs w:val="20"/>
        </w:rPr>
      </w:pPr>
      <w:r w:rsidRPr="0043215C">
        <w:rPr>
          <w:rFonts w:cstheme="minorHAnsi"/>
          <w:sz w:val="20"/>
          <w:szCs w:val="20"/>
        </w:rPr>
        <w:t xml:space="preserve">The transmission lines and transformer station data of </w:t>
      </w:r>
      <w:r w:rsidR="002B50C9" w:rsidRPr="0043215C">
        <w:rPr>
          <w:rFonts w:cstheme="minorHAnsi"/>
          <w:sz w:val="20"/>
          <w:szCs w:val="20"/>
        </w:rPr>
        <w:t>TEİAŞ</w:t>
      </w:r>
      <w:r w:rsidRPr="0043215C">
        <w:rPr>
          <w:rFonts w:cstheme="minorHAnsi"/>
          <w:sz w:val="20"/>
          <w:szCs w:val="20"/>
        </w:rPr>
        <w:t xml:space="preserve"> as of the end of </w:t>
      </w:r>
      <w:r w:rsidR="00117C8A" w:rsidRPr="0043215C">
        <w:rPr>
          <w:rFonts w:cstheme="minorHAnsi"/>
          <w:sz w:val="20"/>
          <w:szCs w:val="20"/>
        </w:rPr>
        <w:t xml:space="preserve">April 2024 </w:t>
      </w:r>
      <w:r w:rsidRPr="0043215C">
        <w:rPr>
          <w:rFonts w:cstheme="minorHAnsi"/>
          <w:sz w:val="20"/>
          <w:szCs w:val="20"/>
        </w:rPr>
        <w:t xml:space="preserve">are given in </w:t>
      </w:r>
      <w:r w:rsidR="00B42AD8" w:rsidRPr="0043215C">
        <w:rPr>
          <w:rFonts w:cstheme="minorHAnsi"/>
          <w:sz w:val="20"/>
          <w:szCs w:val="20"/>
        </w:rPr>
        <w:t>Table</w:t>
      </w:r>
      <w:r w:rsidR="00B02248" w:rsidRPr="0043215C">
        <w:rPr>
          <w:rFonts w:cstheme="minorHAnsi"/>
          <w:sz w:val="20"/>
          <w:szCs w:val="20"/>
        </w:rPr>
        <w:t xml:space="preserve"> 6</w:t>
      </w:r>
      <w:r w:rsidR="00B42AD8" w:rsidRPr="0043215C">
        <w:rPr>
          <w:rFonts w:cstheme="minorHAnsi"/>
          <w:sz w:val="20"/>
          <w:szCs w:val="20"/>
        </w:rPr>
        <w:t xml:space="preserve"> below</w:t>
      </w:r>
      <w:r w:rsidR="00C16D7F" w:rsidRPr="0043215C">
        <w:rPr>
          <w:rFonts w:cstheme="minorHAnsi"/>
          <w:sz w:val="20"/>
          <w:szCs w:val="20"/>
        </w:rPr>
        <w:t xml:space="preserve">. </w:t>
      </w:r>
      <w:r w:rsidRPr="0043215C">
        <w:rPr>
          <w:rFonts w:cstheme="minorHAnsi"/>
          <w:sz w:val="20"/>
          <w:szCs w:val="20"/>
        </w:rPr>
        <w:t>66 kV transmission lines and transformers were constructed by a concessionary company in the past and they are being transformed to 154 kV gradually.</w:t>
      </w:r>
    </w:p>
    <w:p w14:paraId="53126FF3" w14:textId="77777777" w:rsidR="0042582E" w:rsidRPr="0043215C" w:rsidRDefault="0042582E" w:rsidP="0042582E">
      <w:pPr>
        <w:pStyle w:val="Default"/>
        <w:spacing w:after="46"/>
        <w:ind w:left="720"/>
        <w:jc w:val="both"/>
        <w:rPr>
          <w:rFonts w:asciiTheme="minorHAnsi" w:hAnsiTheme="minorHAnsi" w:cstheme="minorHAnsi"/>
          <w:sz w:val="20"/>
          <w:szCs w:val="20"/>
          <w:lang w:val="en-US"/>
        </w:rPr>
      </w:pPr>
    </w:p>
    <w:p w14:paraId="7C1EE153" w14:textId="14E99526" w:rsidR="008F574F" w:rsidRPr="0043215C" w:rsidRDefault="0042582E" w:rsidP="00C50668">
      <w:pPr>
        <w:pStyle w:val="Caption"/>
        <w:keepNext/>
        <w:spacing w:after="120"/>
        <w:rPr>
          <w:rFonts w:cstheme="minorHAnsi"/>
          <w:sz w:val="20"/>
          <w:szCs w:val="20"/>
        </w:rPr>
      </w:pPr>
      <w:r w:rsidRPr="0043215C">
        <w:rPr>
          <w:rFonts w:cstheme="minorHAnsi"/>
          <w:sz w:val="20"/>
          <w:szCs w:val="20"/>
        </w:rPr>
        <w:t xml:space="preserve">Table </w:t>
      </w:r>
      <w:r w:rsidR="00EE2030" w:rsidRPr="0043215C">
        <w:rPr>
          <w:rFonts w:cstheme="minorHAnsi"/>
          <w:sz w:val="20"/>
          <w:szCs w:val="20"/>
        </w:rPr>
        <w:t>6</w:t>
      </w:r>
      <w:r w:rsidR="008C36A4" w:rsidRPr="0043215C">
        <w:rPr>
          <w:rFonts w:cstheme="minorHAnsi"/>
          <w:sz w:val="20"/>
          <w:szCs w:val="20"/>
        </w:rPr>
        <w:t xml:space="preserve">: </w:t>
      </w:r>
      <w:r w:rsidRPr="0043215C">
        <w:rPr>
          <w:rFonts w:cstheme="minorHAnsi"/>
          <w:sz w:val="20"/>
          <w:szCs w:val="20"/>
        </w:rPr>
        <w:t>Transmission Lines of TEİAŞ</w:t>
      </w:r>
    </w:p>
    <w:tbl>
      <w:tblPr>
        <w:tblW w:w="9345" w:type="dxa"/>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539"/>
        <w:gridCol w:w="950"/>
        <w:gridCol w:w="992"/>
        <w:gridCol w:w="992"/>
        <w:gridCol w:w="851"/>
        <w:gridCol w:w="2102"/>
      </w:tblGrid>
      <w:tr w:rsidR="0043498D" w:rsidRPr="0043215C" w14:paraId="1C26A39E" w14:textId="77777777" w:rsidTr="00945D18">
        <w:trPr>
          <w:trHeight w:val="300"/>
        </w:trPr>
        <w:tc>
          <w:tcPr>
            <w:tcW w:w="3539" w:type="dxa"/>
            <w:shd w:val="clear" w:color="auto" w:fill="D9E1F2"/>
            <w:noWrap/>
            <w:vAlign w:val="bottom"/>
            <w:hideMark/>
          </w:tcPr>
          <w:p w14:paraId="75B44B0E" w14:textId="77777777" w:rsidR="00117C8A" w:rsidRPr="0043215C" w:rsidRDefault="00117C8A">
            <w:pPr>
              <w:spacing w:after="0" w:line="240" w:lineRule="auto"/>
              <w:jc w:val="center"/>
              <w:rPr>
                <w:rFonts w:eastAsia="Times New Roman" w:cstheme="minorHAnsi"/>
                <w:b/>
                <w:bCs/>
                <w:color w:val="000000"/>
                <w:sz w:val="20"/>
                <w:szCs w:val="20"/>
                <w:lang w:eastAsia="tr-TR"/>
              </w:rPr>
            </w:pPr>
            <w:r w:rsidRPr="0043215C">
              <w:rPr>
                <w:rFonts w:eastAsia="Times New Roman" w:cstheme="minorHAnsi"/>
                <w:b/>
                <w:color w:val="000000" w:themeColor="text1"/>
                <w:sz w:val="20"/>
                <w:szCs w:val="20"/>
                <w:lang w:eastAsia="tr-TR"/>
              </w:rPr>
              <w:t>TRANSMISSION LINES (km)</w:t>
            </w:r>
          </w:p>
        </w:tc>
        <w:tc>
          <w:tcPr>
            <w:tcW w:w="869" w:type="dxa"/>
            <w:shd w:val="clear" w:color="auto" w:fill="D9E1F2"/>
            <w:noWrap/>
            <w:vAlign w:val="bottom"/>
            <w:hideMark/>
          </w:tcPr>
          <w:p w14:paraId="20B06002" w14:textId="77777777" w:rsidR="00117C8A" w:rsidRPr="0043215C" w:rsidRDefault="00117C8A">
            <w:pPr>
              <w:spacing w:after="0" w:line="240" w:lineRule="auto"/>
              <w:jc w:val="center"/>
              <w:rPr>
                <w:rFonts w:eastAsia="Times New Roman" w:cstheme="minorHAnsi"/>
                <w:b/>
                <w:bCs/>
                <w:color w:val="000000"/>
                <w:sz w:val="20"/>
                <w:szCs w:val="20"/>
                <w:lang w:eastAsia="tr-TR"/>
              </w:rPr>
            </w:pPr>
            <w:r w:rsidRPr="0043215C">
              <w:rPr>
                <w:rFonts w:eastAsia="Times New Roman" w:cstheme="minorHAnsi"/>
                <w:b/>
                <w:color w:val="000000" w:themeColor="text1"/>
                <w:sz w:val="20"/>
                <w:szCs w:val="20"/>
                <w:lang w:eastAsia="tr-TR"/>
              </w:rPr>
              <w:t>400 kV</w:t>
            </w:r>
          </w:p>
        </w:tc>
        <w:tc>
          <w:tcPr>
            <w:tcW w:w="992" w:type="dxa"/>
            <w:shd w:val="clear" w:color="auto" w:fill="D9E1F2"/>
            <w:noWrap/>
            <w:vAlign w:val="bottom"/>
            <w:hideMark/>
          </w:tcPr>
          <w:p w14:paraId="295FF363" w14:textId="77777777" w:rsidR="00117C8A" w:rsidRPr="0043215C" w:rsidRDefault="00117C8A">
            <w:pPr>
              <w:spacing w:after="0" w:line="240" w:lineRule="auto"/>
              <w:jc w:val="center"/>
              <w:rPr>
                <w:rFonts w:eastAsia="Times New Roman" w:cstheme="minorHAnsi"/>
                <w:b/>
                <w:bCs/>
                <w:color w:val="000000"/>
                <w:sz w:val="20"/>
                <w:szCs w:val="20"/>
                <w:lang w:eastAsia="tr-TR"/>
              </w:rPr>
            </w:pPr>
            <w:r w:rsidRPr="0043215C">
              <w:rPr>
                <w:rFonts w:eastAsia="Times New Roman" w:cstheme="minorHAnsi"/>
                <w:b/>
                <w:color w:val="000000" w:themeColor="text1"/>
                <w:sz w:val="20"/>
                <w:szCs w:val="20"/>
                <w:lang w:eastAsia="tr-TR"/>
              </w:rPr>
              <w:t>220 kV</w:t>
            </w:r>
          </w:p>
        </w:tc>
        <w:tc>
          <w:tcPr>
            <w:tcW w:w="992" w:type="dxa"/>
            <w:shd w:val="clear" w:color="auto" w:fill="D9E1F2"/>
            <w:noWrap/>
            <w:vAlign w:val="bottom"/>
            <w:hideMark/>
          </w:tcPr>
          <w:p w14:paraId="6108DB74" w14:textId="77777777" w:rsidR="00117C8A" w:rsidRPr="0043215C" w:rsidRDefault="00117C8A">
            <w:pPr>
              <w:spacing w:after="0" w:line="240" w:lineRule="auto"/>
              <w:jc w:val="center"/>
              <w:rPr>
                <w:rFonts w:eastAsia="Times New Roman" w:cstheme="minorHAnsi"/>
                <w:b/>
                <w:bCs/>
                <w:color w:val="000000"/>
                <w:sz w:val="20"/>
                <w:szCs w:val="20"/>
                <w:lang w:eastAsia="tr-TR"/>
              </w:rPr>
            </w:pPr>
            <w:r w:rsidRPr="0043215C">
              <w:rPr>
                <w:rFonts w:eastAsia="Times New Roman" w:cstheme="minorHAnsi"/>
                <w:b/>
                <w:color w:val="000000" w:themeColor="text1"/>
                <w:sz w:val="20"/>
                <w:szCs w:val="20"/>
                <w:lang w:eastAsia="tr-TR"/>
              </w:rPr>
              <w:t>154 kV</w:t>
            </w:r>
          </w:p>
        </w:tc>
        <w:tc>
          <w:tcPr>
            <w:tcW w:w="851" w:type="dxa"/>
            <w:shd w:val="clear" w:color="auto" w:fill="D9E1F2"/>
            <w:noWrap/>
            <w:vAlign w:val="bottom"/>
            <w:hideMark/>
          </w:tcPr>
          <w:p w14:paraId="2BD7DDB7" w14:textId="77777777" w:rsidR="00117C8A" w:rsidRPr="0043215C" w:rsidRDefault="00117C8A">
            <w:pPr>
              <w:spacing w:after="0" w:line="240" w:lineRule="auto"/>
              <w:jc w:val="center"/>
              <w:rPr>
                <w:rFonts w:eastAsia="Times New Roman" w:cstheme="minorHAnsi"/>
                <w:b/>
                <w:bCs/>
                <w:color w:val="000000"/>
                <w:sz w:val="20"/>
                <w:szCs w:val="20"/>
                <w:lang w:eastAsia="tr-TR"/>
              </w:rPr>
            </w:pPr>
            <w:r w:rsidRPr="0043215C">
              <w:rPr>
                <w:rFonts w:eastAsia="Times New Roman" w:cstheme="minorHAnsi"/>
                <w:b/>
                <w:color w:val="000000" w:themeColor="text1"/>
                <w:sz w:val="20"/>
                <w:szCs w:val="20"/>
                <w:lang w:eastAsia="tr-TR"/>
              </w:rPr>
              <w:t>66 kV</w:t>
            </w:r>
          </w:p>
        </w:tc>
        <w:tc>
          <w:tcPr>
            <w:tcW w:w="2102" w:type="dxa"/>
            <w:shd w:val="clear" w:color="auto" w:fill="D9E1F2"/>
            <w:noWrap/>
            <w:vAlign w:val="bottom"/>
            <w:hideMark/>
          </w:tcPr>
          <w:p w14:paraId="13617087" w14:textId="77777777" w:rsidR="00117C8A" w:rsidRPr="0043215C" w:rsidRDefault="00117C8A">
            <w:pPr>
              <w:spacing w:after="0" w:line="240" w:lineRule="auto"/>
              <w:jc w:val="center"/>
              <w:rPr>
                <w:rFonts w:eastAsia="Times New Roman" w:cstheme="minorHAnsi"/>
                <w:b/>
                <w:bCs/>
                <w:color w:val="000000"/>
                <w:sz w:val="20"/>
                <w:szCs w:val="20"/>
                <w:lang w:eastAsia="tr-TR"/>
              </w:rPr>
            </w:pPr>
            <w:r w:rsidRPr="0043215C">
              <w:rPr>
                <w:rFonts w:eastAsia="Times New Roman" w:cstheme="minorHAnsi"/>
                <w:b/>
                <w:color w:val="000000" w:themeColor="text1"/>
                <w:sz w:val="20"/>
                <w:szCs w:val="20"/>
                <w:lang w:eastAsia="tr-TR"/>
              </w:rPr>
              <w:t>TOTAL</w:t>
            </w:r>
          </w:p>
        </w:tc>
      </w:tr>
      <w:tr w:rsidR="0096391C" w:rsidRPr="0043215C" w14:paraId="13B5E7D5" w14:textId="77777777" w:rsidTr="00945D18">
        <w:trPr>
          <w:trHeight w:val="300"/>
        </w:trPr>
        <w:tc>
          <w:tcPr>
            <w:tcW w:w="3539" w:type="dxa"/>
            <w:shd w:val="clear" w:color="auto" w:fill="auto"/>
            <w:noWrap/>
            <w:vAlign w:val="bottom"/>
            <w:hideMark/>
          </w:tcPr>
          <w:p w14:paraId="115F9D32"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National Grid Overhead Lines</w:t>
            </w:r>
          </w:p>
        </w:tc>
        <w:tc>
          <w:tcPr>
            <w:tcW w:w="869" w:type="dxa"/>
            <w:shd w:val="clear" w:color="auto" w:fill="auto"/>
            <w:noWrap/>
            <w:vAlign w:val="bottom"/>
            <w:hideMark/>
          </w:tcPr>
          <w:p w14:paraId="1C1E54DE"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25,381.81</w:t>
            </w:r>
          </w:p>
        </w:tc>
        <w:tc>
          <w:tcPr>
            <w:tcW w:w="992" w:type="dxa"/>
            <w:shd w:val="clear" w:color="auto" w:fill="auto"/>
            <w:noWrap/>
            <w:vAlign w:val="bottom"/>
            <w:hideMark/>
          </w:tcPr>
          <w:p w14:paraId="52AA89FC"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w:t>
            </w:r>
          </w:p>
        </w:tc>
        <w:tc>
          <w:tcPr>
            <w:tcW w:w="992" w:type="dxa"/>
            <w:shd w:val="clear" w:color="auto" w:fill="auto"/>
            <w:noWrap/>
            <w:vAlign w:val="bottom"/>
            <w:hideMark/>
          </w:tcPr>
          <w:p w14:paraId="737C715E"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47,824.74</w:t>
            </w:r>
          </w:p>
        </w:tc>
        <w:tc>
          <w:tcPr>
            <w:tcW w:w="851" w:type="dxa"/>
            <w:shd w:val="clear" w:color="auto" w:fill="auto"/>
            <w:noWrap/>
            <w:vAlign w:val="bottom"/>
            <w:hideMark/>
          </w:tcPr>
          <w:p w14:paraId="081627C6"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99.03</w:t>
            </w:r>
          </w:p>
        </w:tc>
        <w:tc>
          <w:tcPr>
            <w:tcW w:w="2102" w:type="dxa"/>
            <w:shd w:val="clear" w:color="auto" w:fill="auto"/>
            <w:noWrap/>
            <w:vAlign w:val="bottom"/>
            <w:hideMark/>
          </w:tcPr>
          <w:p w14:paraId="55009DE3"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73,305.58</w:t>
            </w:r>
          </w:p>
        </w:tc>
      </w:tr>
      <w:tr w:rsidR="0096391C" w:rsidRPr="0043215C" w14:paraId="4CADD323" w14:textId="77777777" w:rsidTr="00945D18">
        <w:trPr>
          <w:trHeight w:val="300"/>
        </w:trPr>
        <w:tc>
          <w:tcPr>
            <w:tcW w:w="3539" w:type="dxa"/>
            <w:shd w:val="clear" w:color="auto" w:fill="auto"/>
            <w:noWrap/>
            <w:vAlign w:val="bottom"/>
            <w:hideMark/>
          </w:tcPr>
          <w:p w14:paraId="448B8C1A"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International Interconnection Overhead Lines</w:t>
            </w:r>
          </w:p>
        </w:tc>
        <w:tc>
          <w:tcPr>
            <w:tcW w:w="869" w:type="dxa"/>
            <w:shd w:val="clear" w:color="auto" w:fill="auto"/>
            <w:noWrap/>
            <w:vAlign w:val="bottom"/>
            <w:hideMark/>
          </w:tcPr>
          <w:p w14:paraId="388AA45A"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633.00</w:t>
            </w:r>
          </w:p>
        </w:tc>
        <w:tc>
          <w:tcPr>
            <w:tcW w:w="992" w:type="dxa"/>
            <w:shd w:val="clear" w:color="auto" w:fill="auto"/>
            <w:noWrap/>
            <w:vAlign w:val="bottom"/>
            <w:hideMark/>
          </w:tcPr>
          <w:p w14:paraId="39CFE18B"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85.35</w:t>
            </w:r>
          </w:p>
        </w:tc>
        <w:tc>
          <w:tcPr>
            <w:tcW w:w="992" w:type="dxa"/>
            <w:shd w:val="clear" w:color="auto" w:fill="auto"/>
            <w:noWrap/>
            <w:vAlign w:val="bottom"/>
            <w:hideMark/>
          </w:tcPr>
          <w:p w14:paraId="770C6AF5"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227.80</w:t>
            </w:r>
          </w:p>
        </w:tc>
        <w:tc>
          <w:tcPr>
            <w:tcW w:w="851" w:type="dxa"/>
            <w:shd w:val="clear" w:color="auto" w:fill="auto"/>
            <w:noWrap/>
            <w:vAlign w:val="bottom"/>
            <w:hideMark/>
          </w:tcPr>
          <w:p w14:paraId="32703490"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20.50</w:t>
            </w:r>
          </w:p>
        </w:tc>
        <w:tc>
          <w:tcPr>
            <w:tcW w:w="2102" w:type="dxa"/>
            <w:shd w:val="clear" w:color="auto" w:fill="auto"/>
            <w:noWrap/>
            <w:vAlign w:val="bottom"/>
            <w:hideMark/>
          </w:tcPr>
          <w:p w14:paraId="159D4006"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966.65</w:t>
            </w:r>
          </w:p>
        </w:tc>
      </w:tr>
      <w:tr w:rsidR="0043498D" w:rsidRPr="0043215C" w14:paraId="040A1BE2" w14:textId="77777777" w:rsidTr="00945D18">
        <w:trPr>
          <w:trHeight w:val="300"/>
        </w:trPr>
        <w:tc>
          <w:tcPr>
            <w:tcW w:w="3539" w:type="dxa"/>
            <w:shd w:val="clear" w:color="auto" w:fill="D9E1F2"/>
            <w:noWrap/>
            <w:vAlign w:val="bottom"/>
            <w:hideMark/>
          </w:tcPr>
          <w:p w14:paraId="4389BEF4"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Total Overhead Lines</w:t>
            </w:r>
          </w:p>
        </w:tc>
        <w:tc>
          <w:tcPr>
            <w:tcW w:w="869" w:type="dxa"/>
            <w:shd w:val="clear" w:color="auto" w:fill="D9E1F2"/>
            <w:noWrap/>
            <w:vAlign w:val="bottom"/>
            <w:hideMark/>
          </w:tcPr>
          <w:p w14:paraId="166F7D4C"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26,014.81</w:t>
            </w:r>
          </w:p>
        </w:tc>
        <w:tc>
          <w:tcPr>
            <w:tcW w:w="992" w:type="dxa"/>
            <w:shd w:val="clear" w:color="auto" w:fill="D9E1F2"/>
            <w:noWrap/>
            <w:vAlign w:val="bottom"/>
            <w:hideMark/>
          </w:tcPr>
          <w:p w14:paraId="4E267A3D"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85.35</w:t>
            </w:r>
          </w:p>
        </w:tc>
        <w:tc>
          <w:tcPr>
            <w:tcW w:w="992" w:type="dxa"/>
            <w:shd w:val="clear" w:color="auto" w:fill="D9E1F2"/>
            <w:noWrap/>
            <w:vAlign w:val="bottom"/>
            <w:hideMark/>
          </w:tcPr>
          <w:p w14:paraId="352C67C1"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48,052.54</w:t>
            </w:r>
          </w:p>
        </w:tc>
        <w:tc>
          <w:tcPr>
            <w:tcW w:w="851" w:type="dxa"/>
            <w:shd w:val="clear" w:color="auto" w:fill="D9E1F2"/>
            <w:noWrap/>
            <w:vAlign w:val="bottom"/>
            <w:hideMark/>
          </w:tcPr>
          <w:p w14:paraId="039518AE"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119.53</w:t>
            </w:r>
          </w:p>
        </w:tc>
        <w:tc>
          <w:tcPr>
            <w:tcW w:w="2102" w:type="dxa"/>
            <w:shd w:val="clear" w:color="auto" w:fill="D9E1F2"/>
            <w:noWrap/>
            <w:vAlign w:val="bottom"/>
            <w:hideMark/>
          </w:tcPr>
          <w:p w14:paraId="09E07C38"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74,272.23</w:t>
            </w:r>
          </w:p>
        </w:tc>
      </w:tr>
      <w:tr w:rsidR="0096391C" w:rsidRPr="0043215C" w14:paraId="465551C9" w14:textId="77777777" w:rsidTr="00945D18">
        <w:trPr>
          <w:trHeight w:val="300"/>
        </w:trPr>
        <w:tc>
          <w:tcPr>
            <w:tcW w:w="3539" w:type="dxa"/>
            <w:shd w:val="clear" w:color="auto" w:fill="auto"/>
            <w:noWrap/>
            <w:vAlign w:val="bottom"/>
            <w:hideMark/>
          </w:tcPr>
          <w:p w14:paraId="12DC4EAC"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National Grid Underground Cables</w:t>
            </w:r>
          </w:p>
        </w:tc>
        <w:tc>
          <w:tcPr>
            <w:tcW w:w="869" w:type="dxa"/>
            <w:shd w:val="clear" w:color="auto" w:fill="auto"/>
            <w:noWrap/>
            <w:vAlign w:val="bottom"/>
            <w:hideMark/>
          </w:tcPr>
          <w:p w14:paraId="28C2DE59"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86.96</w:t>
            </w:r>
          </w:p>
        </w:tc>
        <w:tc>
          <w:tcPr>
            <w:tcW w:w="992" w:type="dxa"/>
            <w:shd w:val="clear" w:color="auto" w:fill="auto"/>
            <w:noWrap/>
            <w:vAlign w:val="bottom"/>
            <w:hideMark/>
          </w:tcPr>
          <w:p w14:paraId="56D8C935"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w:t>
            </w:r>
          </w:p>
        </w:tc>
        <w:tc>
          <w:tcPr>
            <w:tcW w:w="992" w:type="dxa"/>
            <w:shd w:val="clear" w:color="auto" w:fill="auto"/>
            <w:noWrap/>
            <w:vAlign w:val="bottom"/>
            <w:hideMark/>
          </w:tcPr>
          <w:p w14:paraId="55ABDE07"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531.75</w:t>
            </w:r>
          </w:p>
        </w:tc>
        <w:tc>
          <w:tcPr>
            <w:tcW w:w="851" w:type="dxa"/>
            <w:shd w:val="clear" w:color="auto" w:fill="auto"/>
            <w:noWrap/>
            <w:vAlign w:val="bottom"/>
            <w:hideMark/>
          </w:tcPr>
          <w:p w14:paraId="3D71A256" w14:textId="4C9DFC01" w:rsidR="00117C8A" w:rsidRPr="0043215C" w:rsidRDefault="00117C8A" w:rsidP="00945D18">
            <w:pPr>
              <w:spacing w:after="0" w:line="240" w:lineRule="auto"/>
              <w:jc w:val="center"/>
              <w:rPr>
                <w:rFonts w:eastAsia="Times New Roman" w:cstheme="minorHAnsi"/>
                <w:color w:val="000000"/>
                <w:sz w:val="20"/>
                <w:szCs w:val="20"/>
                <w:lang w:eastAsia="tr-TR"/>
              </w:rPr>
            </w:pPr>
          </w:p>
        </w:tc>
        <w:tc>
          <w:tcPr>
            <w:tcW w:w="2102" w:type="dxa"/>
            <w:shd w:val="clear" w:color="auto" w:fill="auto"/>
            <w:noWrap/>
            <w:vAlign w:val="bottom"/>
            <w:hideMark/>
          </w:tcPr>
          <w:p w14:paraId="4B6D9761"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618.71</w:t>
            </w:r>
          </w:p>
        </w:tc>
      </w:tr>
      <w:tr w:rsidR="0096391C" w:rsidRPr="0043215C" w14:paraId="4B7D6806" w14:textId="77777777" w:rsidTr="00945D18">
        <w:trPr>
          <w:trHeight w:val="300"/>
        </w:trPr>
        <w:tc>
          <w:tcPr>
            <w:tcW w:w="3539" w:type="dxa"/>
            <w:shd w:val="clear" w:color="auto" w:fill="auto"/>
            <w:noWrap/>
            <w:vAlign w:val="bottom"/>
            <w:hideMark/>
          </w:tcPr>
          <w:p w14:paraId="522F54ED"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National Grid Submarine Cables</w:t>
            </w:r>
          </w:p>
        </w:tc>
        <w:tc>
          <w:tcPr>
            <w:tcW w:w="869" w:type="dxa"/>
            <w:shd w:val="clear" w:color="auto" w:fill="auto"/>
            <w:noWrap/>
            <w:vAlign w:val="bottom"/>
            <w:hideMark/>
          </w:tcPr>
          <w:p w14:paraId="7CD9D7D1"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24.78</w:t>
            </w:r>
          </w:p>
        </w:tc>
        <w:tc>
          <w:tcPr>
            <w:tcW w:w="992" w:type="dxa"/>
            <w:shd w:val="clear" w:color="auto" w:fill="auto"/>
            <w:noWrap/>
            <w:vAlign w:val="bottom"/>
            <w:hideMark/>
          </w:tcPr>
          <w:p w14:paraId="4C397751"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w:t>
            </w:r>
          </w:p>
        </w:tc>
        <w:tc>
          <w:tcPr>
            <w:tcW w:w="992" w:type="dxa"/>
            <w:shd w:val="clear" w:color="auto" w:fill="auto"/>
            <w:noWrap/>
            <w:vAlign w:val="bottom"/>
            <w:hideMark/>
          </w:tcPr>
          <w:p w14:paraId="53A34B25"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w:t>
            </w:r>
          </w:p>
        </w:tc>
        <w:tc>
          <w:tcPr>
            <w:tcW w:w="851" w:type="dxa"/>
            <w:shd w:val="clear" w:color="auto" w:fill="auto"/>
            <w:noWrap/>
            <w:vAlign w:val="bottom"/>
            <w:hideMark/>
          </w:tcPr>
          <w:p w14:paraId="3A86B9C9"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w:t>
            </w:r>
          </w:p>
        </w:tc>
        <w:tc>
          <w:tcPr>
            <w:tcW w:w="2102" w:type="dxa"/>
            <w:shd w:val="clear" w:color="auto" w:fill="auto"/>
            <w:noWrap/>
            <w:vAlign w:val="bottom"/>
            <w:hideMark/>
          </w:tcPr>
          <w:p w14:paraId="5D922AB6"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24.78</w:t>
            </w:r>
          </w:p>
        </w:tc>
      </w:tr>
      <w:tr w:rsidR="0043498D" w:rsidRPr="0043215C" w14:paraId="3735D87A" w14:textId="77777777" w:rsidTr="00945D18">
        <w:trPr>
          <w:trHeight w:val="300"/>
        </w:trPr>
        <w:tc>
          <w:tcPr>
            <w:tcW w:w="3539" w:type="dxa"/>
            <w:shd w:val="clear" w:color="auto" w:fill="D9E1F2"/>
            <w:noWrap/>
            <w:vAlign w:val="bottom"/>
            <w:hideMark/>
          </w:tcPr>
          <w:p w14:paraId="250C9B34" w14:textId="77777777" w:rsidR="00117C8A" w:rsidRPr="0043215C" w:rsidRDefault="00117C8A" w:rsidP="00945D18">
            <w:pPr>
              <w:spacing w:after="0" w:line="240" w:lineRule="auto"/>
              <w:jc w:val="center"/>
              <w:rPr>
                <w:rFonts w:eastAsia="Times New Roman" w:cstheme="minorHAnsi"/>
                <w:b/>
                <w:bCs/>
                <w:color w:val="000000"/>
                <w:sz w:val="20"/>
                <w:szCs w:val="20"/>
                <w:lang w:eastAsia="tr-TR"/>
              </w:rPr>
            </w:pPr>
            <w:r w:rsidRPr="0043215C">
              <w:rPr>
                <w:rFonts w:eastAsia="Times New Roman" w:cstheme="minorHAnsi"/>
                <w:b/>
                <w:color w:val="000000" w:themeColor="text1"/>
                <w:sz w:val="20"/>
                <w:szCs w:val="20"/>
                <w:lang w:eastAsia="tr-TR"/>
              </w:rPr>
              <w:t>TOTAL</w:t>
            </w:r>
          </w:p>
        </w:tc>
        <w:tc>
          <w:tcPr>
            <w:tcW w:w="869" w:type="dxa"/>
            <w:shd w:val="clear" w:color="auto" w:fill="D9E1F2"/>
            <w:noWrap/>
            <w:vAlign w:val="bottom"/>
            <w:hideMark/>
          </w:tcPr>
          <w:p w14:paraId="6FAAD861"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26,126.55</w:t>
            </w:r>
          </w:p>
        </w:tc>
        <w:tc>
          <w:tcPr>
            <w:tcW w:w="992" w:type="dxa"/>
            <w:shd w:val="clear" w:color="auto" w:fill="D9E1F2"/>
            <w:noWrap/>
            <w:vAlign w:val="bottom"/>
            <w:hideMark/>
          </w:tcPr>
          <w:p w14:paraId="083BEDD0"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85.35</w:t>
            </w:r>
          </w:p>
        </w:tc>
        <w:tc>
          <w:tcPr>
            <w:tcW w:w="992" w:type="dxa"/>
            <w:shd w:val="clear" w:color="auto" w:fill="D9E1F2"/>
            <w:noWrap/>
            <w:vAlign w:val="bottom"/>
            <w:hideMark/>
          </w:tcPr>
          <w:p w14:paraId="7E1EFFAD"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48,584.29</w:t>
            </w:r>
          </w:p>
        </w:tc>
        <w:tc>
          <w:tcPr>
            <w:tcW w:w="851" w:type="dxa"/>
            <w:shd w:val="clear" w:color="auto" w:fill="D9E1F2"/>
            <w:noWrap/>
            <w:vAlign w:val="bottom"/>
            <w:hideMark/>
          </w:tcPr>
          <w:p w14:paraId="06439C1E"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119.53</w:t>
            </w:r>
          </w:p>
        </w:tc>
        <w:tc>
          <w:tcPr>
            <w:tcW w:w="2102" w:type="dxa"/>
            <w:shd w:val="clear" w:color="auto" w:fill="D9E1F2"/>
            <w:noWrap/>
            <w:vAlign w:val="bottom"/>
            <w:hideMark/>
          </w:tcPr>
          <w:p w14:paraId="6AC8DF92" w14:textId="77777777" w:rsidR="00117C8A" w:rsidRPr="0043215C" w:rsidRDefault="00117C8A" w:rsidP="00945D18">
            <w:pPr>
              <w:spacing w:after="0" w:line="240" w:lineRule="auto"/>
              <w:jc w:val="center"/>
              <w:rPr>
                <w:rFonts w:eastAsia="Times New Roman" w:cstheme="minorHAnsi"/>
                <w:color w:val="000000"/>
                <w:sz w:val="20"/>
                <w:szCs w:val="20"/>
                <w:lang w:eastAsia="tr-TR"/>
              </w:rPr>
            </w:pPr>
            <w:r w:rsidRPr="0043215C">
              <w:rPr>
                <w:rFonts w:eastAsia="Times New Roman" w:cstheme="minorHAnsi"/>
                <w:color w:val="000000" w:themeColor="text1"/>
                <w:sz w:val="20"/>
                <w:szCs w:val="20"/>
                <w:lang w:eastAsia="tr-TR"/>
              </w:rPr>
              <w:t>74,915.72</w:t>
            </w:r>
          </w:p>
        </w:tc>
      </w:tr>
    </w:tbl>
    <w:p w14:paraId="40EB77A7" w14:textId="77777777" w:rsidR="0042582E" w:rsidRPr="0043215C" w:rsidRDefault="0042582E" w:rsidP="00902D2E">
      <w:pPr>
        <w:pStyle w:val="Default"/>
        <w:spacing w:after="46"/>
        <w:jc w:val="both"/>
        <w:rPr>
          <w:rFonts w:asciiTheme="minorHAnsi" w:hAnsiTheme="minorHAnsi" w:cstheme="minorHAnsi"/>
          <w:sz w:val="20"/>
          <w:szCs w:val="20"/>
          <w:lang w:val="en-US"/>
        </w:rPr>
      </w:pPr>
    </w:p>
    <w:p w14:paraId="3E142D8A" w14:textId="0524B803" w:rsidR="00117C8A" w:rsidRPr="0043215C" w:rsidRDefault="0042582E" w:rsidP="001312A5">
      <w:pPr>
        <w:pStyle w:val="Caption"/>
        <w:keepNext/>
        <w:spacing w:after="120"/>
        <w:rPr>
          <w:rFonts w:cstheme="minorHAnsi"/>
          <w:sz w:val="20"/>
          <w:szCs w:val="20"/>
        </w:rPr>
      </w:pPr>
      <w:r w:rsidRPr="0043215C">
        <w:rPr>
          <w:rFonts w:cstheme="minorHAnsi"/>
          <w:sz w:val="20"/>
          <w:szCs w:val="20"/>
        </w:rPr>
        <w:t xml:space="preserve">Table </w:t>
      </w:r>
      <w:r w:rsidR="00520ABD" w:rsidRPr="0043215C">
        <w:rPr>
          <w:rFonts w:cstheme="minorHAnsi"/>
          <w:sz w:val="20"/>
          <w:szCs w:val="20"/>
        </w:rPr>
        <w:t>7</w:t>
      </w:r>
      <w:r w:rsidR="008C36A4" w:rsidRPr="0043215C">
        <w:rPr>
          <w:rFonts w:cstheme="minorHAnsi"/>
          <w:sz w:val="20"/>
          <w:szCs w:val="20"/>
        </w:rPr>
        <w:t>:</w:t>
      </w:r>
      <w:r w:rsidRPr="0043215C">
        <w:rPr>
          <w:rFonts w:cstheme="minorHAnsi"/>
          <w:sz w:val="20"/>
          <w:szCs w:val="20"/>
        </w:rPr>
        <w:t xml:space="preserve"> Transformers of </w:t>
      </w:r>
      <w:r w:rsidR="008F574F" w:rsidRPr="0043215C">
        <w:rPr>
          <w:rFonts w:cstheme="minorHAnsi"/>
          <w:sz w:val="20"/>
          <w:szCs w:val="20"/>
        </w:rPr>
        <w:t>TEİAŞ</w:t>
      </w:r>
    </w:p>
    <w:tbl>
      <w:tblPr>
        <w:tblW w:w="93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240"/>
        <w:gridCol w:w="1020"/>
        <w:gridCol w:w="1720"/>
        <w:gridCol w:w="2040"/>
        <w:gridCol w:w="3358"/>
      </w:tblGrid>
      <w:tr w:rsidR="000C5237" w:rsidRPr="0043215C" w14:paraId="3FFC56BB" w14:textId="77777777" w:rsidTr="00945D18">
        <w:trPr>
          <w:trHeight w:val="465"/>
        </w:trPr>
        <w:tc>
          <w:tcPr>
            <w:tcW w:w="1240" w:type="dxa"/>
            <w:vMerge w:val="restart"/>
            <w:shd w:val="clear" w:color="000000" w:fill="D9E1F2"/>
            <w:vAlign w:val="center"/>
            <w:hideMark/>
          </w:tcPr>
          <w:p w14:paraId="0BCD5EFB" w14:textId="77777777" w:rsidR="006B1BA4" w:rsidRPr="0043215C" w:rsidRDefault="006B1BA4">
            <w:pPr>
              <w:jc w:val="center"/>
              <w:rPr>
                <w:rFonts w:cstheme="minorHAnsi"/>
                <w:b/>
                <w:bCs/>
                <w:color w:val="000000"/>
                <w:sz w:val="20"/>
                <w:szCs w:val="20"/>
              </w:rPr>
            </w:pPr>
            <w:r w:rsidRPr="0043215C">
              <w:rPr>
                <w:rFonts w:cstheme="minorHAnsi"/>
                <w:b/>
                <w:bCs/>
                <w:color w:val="000000"/>
                <w:sz w:val="20"/>
                <w:szCs w:val="20"/>
              </w:rPr>
              <w:t xml:space="preserve">Voltage </w:t>
            </w:r>
          </w:p>
        </w:tc>
        <w:tc>
          <w:tcPr>
            <w:tcW w:w="2740" w:type="dxa"/>
            <w:gridSpan w:val="2"/>
            <w:shd w:val="clear" w:color="000000" w:fill="D9E1F2"/>
            <w:vAlign w:val="center"/>
            <w:hideMark/>
          </w:tcPr>
          <w:p w14:paraId="60C18904" w14:textId="77777777" w:rsidR="006B1BA4" w:rsidRPr="0043215C" w:rsidRDefault="006B1BA4">
            <w:pPr>
              <w:jc w:val="center"/>
              <w:rPr>
                <w:rFonts w:cstheme="minorHAnsi"/>
                <w:b/>
                <w:bCs/>
                <w:color w:val="000000"/>
                <w:sz w:val="20"/>
                <w:szCs w:val="20"/>
              </w:rPr>
            </w:pPr>
            <w:r w:rsidRPr="0043215C">
              <w:rPr>
                <w:rFonts w:cstheme="minorHAnsi"/>
                <w:b/>
                <w:bCs/>
                <w:color w:val="000000"/>
                <w:sz w:val="20"/>
                <w:szCs w:val="20"/>
              </w:rPr>
              <w:t>Number of Transformer Stations</w:t>
            </w:r>
          </w:p>
        </w:tc>
        <w:tc>
          <w:tcPr>
            <w:tcW w:w="2040" w:type="dxa"/>
            <w:vMerge w:val="restart"/>
            <w:shd w:val="clear" w:color="000000" w:fill="D9E1F2"/>
            <w:vAlign w:val="center"/>
            <w:hideMark/>
          </w:tcPr>
          <w:p w14:paraId="7BB24361" w14:textId="77777777" w:rsidR="006B1BA4" w:rsidRPr="0043215C" w:rsidRDefault="006B1BA4">
            <w:pPr>
              <w:jc w:val="center"/>
              <w:rPr>
                <w:rFonts w:cstheme="minorHAnsi"/>
                <w:b/>
                <w:bCs/>
                <w:color w:val="000000"/>
                <w:sz w:val="20"/>
                <w:szCs w:val="20"/>
              </w:rPr>
            </w:pPr>
            <w:r w:rsidRPr="0043215C">
              <w:rPr>
                <w:rFonts w:cstheme="minorHAnsi"/>
                <w:b/>
                <w:bCs/>
                <w:color w:val="000000"/>
                <w:sz w:val="20"/>
                <w:szCs w:val="20"/>
              </w:rPr>
              <w:t>Number of Transformers</w:t>
            </w:r>
          </w:p>
        </w:tc>
        <w:tc>
          <w:tcPr>
            <w:tcW w:w="3358" w:type="dxa"/>
            <w:vMerge w:val="restart"/>
            <w:shd w:val="clear" w:color="000000" w:fill="D9E1F2"/>
            <w:vAlign w:val="center"/>
            <w:hideMark/>
          </w:tcPr>
          <w:p w14:paraId="00CFD3C8" w14:textId="77777777" w:rsidR="006B1BA4" w:rsidRPr="0043215C" w:rsidRDefault="006B1BA4">
            <w:pPr>
              <w:jc w:val="center"/>
              <w:rPr>
                <w:rFonts w:cstheme="minorHAnsi"/>
                <w:b/>
                <w:bCs/>
                <w:color w:val="000000"/>
                <w:sz w:val="20"/>
                <w:szCs w:val="20"/>
              </w:rPr>
            </w:pPr>
            <w:r w:rsidRPr="0043215C">
              <w:rPr>
                <w:rFonts w:cstheme="minorHAnsi"/>
                <w:b/>
                <w:bCs/>
                <w:color w:val="000000"/>
                <w:sz w:val="20"/>
                <w:szCs w:val="20"/>
              </w:rPr>
              <w:t>Transformer Installed Capacity (MVA)</w:t>
            </w:r>
          </w:p>
        </w:tc>
      </w:tr>
      <w:tr w:rsidR="006B1BA4" w:rsidRPr="0043215C" w14:paraId="41B18570" w14:textId="77777777" w:rsidTr="001312A5">
        <w:trPr>
          <w:trHeight w:val="489"/>
        </w:trPr>
        <w:tc>
          <w:tcPr>
            <w:tcW w:w="1240" w:type="dxa"/>
            <w:vMerge/>
            <w:vAlign w:val="center"/>
            <w:hideMark/>
          </w:tcPr>
          <w:p w14:paraId="4E980AD1" w14:textId="77777777" w:rsidR="006B1BA4" w:rsidRPr="0043215C" w:rsidRDefault="006B1BA4">
            <w:pPr>
              <w:rPr>
                <w:rFonts w:cstheme="minorHAnsi"/>
                <w:color w:val="000000"/>
                <w:sz w:val="20"/>
                <w:szCs w:val="20"/>
              </w:rPr>
            </w:pPr>
          </w:p>
        </w:tc>
        <w:tc>
          <w:tcPr>
            <w:tcW w:w="1020" w:type="dxa"/>
            <w:shd w:val="clear" w:color="000000" w:fill="D9E1F2"/>
            <w:vAlign w:val="center"/>
            <w:hideMark/>
          </w:tcPr>
          <w:p w14:paraId="39E3D2C9" w14:textId="77777777" w:rsidR="006B1BA4" w:rsidRPr="0043215C" w:rsidRDefault="006B1BA4">
            <w:pPr>
              <w:jc w:val="center"/>
              <w:rPr>
                <w:rFonts w:cstheme="minorHAnsi"/>
                <w:color w:val="000000"/>
                <w:sz w:val="20"/>
                <w:szCs w:val="20"/>
              </w:rPr>
            </w:pPr>
            <w:r w:rsidRPr="0043215C">
              <w:rPr>
                <w:rFonts w:cstheme="minorHAnsi"/>
                <w:color w:val="000000"/>
                <w:sz w:val="20"/>
                <w:szCs w:val="20"/>
              </w:rPr>
              <w:t>Total</w:t>
            </w:r>
          </w:p>
        </w:tc>
        <w:tc>
          <w:tcPr>
            <w:tcW w:w="1720" w:type="dxa"/>
            <w:shd w:val="clear" w:color="000000" w:fill="D9E1F2"/>
            <w:vAlign w:val="center"/>
            <w:hideMark/>
          </w:tcPr>
          <w:p w14:paraId="741A4135" w14:textId="77777777" w:rsidR="006B1BA4" w:rsidRPr="0043215C" w:rsidRDefault="006B1BA4">
            <w:pPr>
              <w:jc w:val="center"/>
              <w:rPr>
                <w:rFonts w:cstheme="minorHAnsi"/>
                <w:color w:val="000000"/>
                <w:sz w:val="20"/>
                <w:szCs w:val="20"/>
              </w:rPr>
            </w:pPr>
            <w:r w:rsidRPr="0043215C">
              <w:rPr>
                <w:rFonts w:cstheme="minorHAnsi"/>
                <w:color w:val="000000"/>
                <w:sz w:val="20"/>
                <w:szCs w:val="20"/>
              </w:rPr>
              <w:t>Connected to Abroad</w:t>
            </w:r>
          </w:p>
        </w:tc>
        <w:tc>
          <w:tcPr>
            <w:tcW w:w="2040" w:type="dxa"/>
            <w:vMerge/>
            <w:vAlign w:val="center"/>
            <w:hideMark/>
          </w:tcPr>
          <w:p w14:paraId="2E448671" w14:textId="77777777" w:rsidR="006B1BA4" w:rsidRPr="0043215C" w:rsidRDefault="006B1BA4">
            <w:pPr>
              <w:rPr>
                <w:rFonts w:cstheme="minorHAnsi"/>
                <w:color w:val="000000"/>
                <w:sz w:val="20"/>
                <w:szCs w:val="20"/>
              </w:rPr>
            </w:pPr>
          </w:p>
        </w:tc>
        <w:tc>
          <w:tcPr>
            <w:tcW w:w="3358" w:type="dxa"/>
            <w:vMerge/>
            <w:vAlign w:val="center"/>
            <w:hideMark/>
          </w:tcPr>
          <w:p w14:paraId="15E65E04" w14:textId="77777777" w:rsidR="006B1BA4" w:rsidRPr="0043215C" w:rsidRDefault="006B1BA4">
            <w:pPr>
              <w:rPr>
                <w:rFonts w:cstheme="minorHAnsi"/>
                <w:color w:val="000000"/>
                <w:sz w:val="20"/>
                <w:szCs w:val="20"/>
              </w:rPr>
            </w:pPr>
          </w:p>
        </w:tc>
      </w:tr>
      <w:tr w:rsidR="006B1BA4" w:rsidRPr="0043215C" w14:paraId="623407A3" w14:textId="77777777" w:rsidTr="001312A5">
        <w:trPr>
          <w:trHeight w:val="237"/>
        </w:trPr>
        <w:tc>
          <w:tcPr>
            <w:tcW w:w="1240" w:type="dxa"/>
            <w:shd w:val="clear" w:color="auto" w:fill="auto"/>
            <w:noWrap/>
            <w:vAlign w:val="center"/>
            <w:hideMark/>
          </w:tcPr>
          <w:p w14:paraId="5258E630" w14:textId="77777777" w:rsidR="006B1BA4" w:rsidRPr="0043215C" w:rsidRDefault="006B1BA4">
            <w:pPr>
              <w:jc w:val="center"/>
              <w:rPr>
                <w:rFonts w:cstheme="minorHAnsi"/>
                <w:color w:val="000000"/>
                <w:sz w:val="20"/>
                <w:szCs w:val="20"/>
              </w:rPr>
            </w:pPr>
            <w:r w:rsidRPr="0043215C">
              <w:rPr>
                <w:rFonts w:cstheme="minorHAnsi"/>
                <w:color w:val="000000"/>
                <w:sz w:val="20"/>
                <w:szCs w:val="20"/>
              </w:rPr>
              <w:t>400</w:t>
            </w:r>
          </w:p>
        </w:tc>
        <w:tc>
          <w:tcPr>
            <w:tcW w:w="1020" w:type="dxa"/>
            <w:shd w:val="clear" w:color="auto" w:fill="auto"/>
            <w:noWrap/>
            <w:vAlign w:val="center"/>
            <w:hideMark/>
          </w:tcPr>
          <w:p w14:paraId="3783AABC" w14:textId="77777777" w:rsidR="006B1BA4" w:rsidRPr="0043215C" w:rsidRDefault="006B1BA4">
            <w:pPr>
              <w:jc w:val="center"/>
              <w:rPr>
                <w:rFonts w:cstheme="minorHAnsi"/>
                <w:color w:val="000000"/>
                <w:sz w:val="20"/>
                <w:szCs w:val="20"/>
              </w:rPr>
            </w:pPr>
            <w:r w:rsidRPr="0043215C">
              <w:rPr>
                <w:rFonts w:cstheme="minorHAnsi"/>
                <w:color w:val="000000"/>
                <w:sz w:val="20"/>
                <w:szCs w:val="20"/>
              </w:rPr>
              <w:t>125</w:t>
            </w:r>
          </w:p>
        </w:tc>
        <w:tc>
          <w:tcPr>
            <w:tcW w:w="1720" w:type="dxa"/>
            <w:shd w:val="clear" w:color="auto" w:fill="auto"/>
            <w:noWrap/>
            <w:vAlign w:val="center"/>
            <w:hideMark/>
          </w:tcPr>
          <w:p w14:paraId="5139CC55" w14:textId="77777777" w:rsidR="006B1BA4" w:rsidRPr="0043215C" w:rsidRDefault="006B1BA4">
            <w:pPr>
              <w:jc w:val="center"/>
              <w:rPr>
                <w:rFonts w:cstheme="minorHAnsi"/>
                <w:color w:val="000000"/>
                <w:sz w:val="20"/>
                <w:szCs w:val="20"/>
              </w:rPr>
            </w:pPr>
            <w:r w:rsidRPr="0043215C">
              <w:rPr>
                <w:rFonts w:cstheme="minorHAnsi"/>
                <w:color w:val="000000"/>
                <w:sz w:val="20"/>
                <w:szCs w:val="20"/>
              </w:rPr>
              <w:t>7</w:t>
            </w:r>
          </w:p>
        </w:tc>
        <w:tc>
          <w:tcPr>
            <w:tcW w:w="2040" w:type="dxa"/>
            <w:shd w:val="clear" w:color="auto" w:fill="auto"/>
            <w:noWrap/>
            <w:vAlign w:val="center"/>
            <w:hideMark/>
          </w:tcPr>
          <w:p w14:paraId="3160B125" w14:textId="77777777" w:rsidR="006B1BA4" w:rsidRPr="0043215C" w:rsidRDefault="006B1BA4">
            <w:pPr>
              <w:jc w:val="center"/>
              <w:rPr>
                <w:rFonts w:cstheme="minorHAnsi"/>
                <w:color w:val="000000"/>
                <w:sz w:val="20"/>
                <w:szCs w:val="20"/>
              </w:rPr>
            </w:pPr>
            <w:r w:rsidRPr="0043215C">
              <w:rPr>
                <w:rFonts w:cstheme="minorHAnsi"/>
                <w:color w:val="000000"/>
                <w:sz w:val="20"/>
                <w:szCs w:val="20"/>
              </w:rPr>
              <w:t>441</w:t>
            </w:r>
          </w:p>
        </w:tc>
        <w:tc>
          <w:tcPr>
            <w:tcW w:w="3358" w:type="dxa"/>
            <w:shd w:val="clear" w:color="auto" w:fill="auto"/>
            <w:noWrap/>
            <w:vAlign w:val="center"/>
            <w:hideMark/>
          </w:tcPr>
          <w:p w14:paraId="6578B13B" w14:textId="77777777" w:rsidR="006B1BA4" w:rsidRPr="0043215C" w:rsidRDefault="006B1BA4">
            <w:pPr>
              <w:jc w:val="center"/>
              <w:rPr>
                <w:rFonts w:cstheme="minorHAnsi"/>
                <w:color w:val="000000"/>
                <w:sz w:val="20"/>
                <w:szCs w:val="20"/>
              </w:rPr>
            </w:pPr>
            <w:r w:rsidRPr="0043215C">
              <w:rPr>
                <w:rFonts w:cstheme="minorHAnsi"/>
                <w:color w:val="000000"/>
                <w:sz w:val="20"/>
                <w:szCs w:val="20"/>
              </w:rPr>
              <w:t>92,078</w:t>
            </w:r>
          </w:p>
        </w:tc>
      </w:tr>
      <w:tr w:rsidR="006B1BA4" w:rsidRPr="0043215C" w14:paraId="6514D9A8" w14:textId="77777777" w:rsidTr="00945D18">
        <w:trPr>
          <w:trHeight w:val="293"/>
        </w:trPr>
        <w:tc>
          <w:tcPr>
            <w:tcW w:w="1240" w:type="dxa"/>
            <w:shd w:val="clear" w:color="auto" w:fill="auto"/>
            <w:noWrap/>
            <w:vAlign w:val="center"/>
            <w:hideMark/>
          </w:tcPr>
          <w:p w14:paraId="0115E4F1" w14:textId="77777777" w:rsidR="006B1BA4" w:rsidRPr="0043215C" w:rsidRDefault="006B1BA4">
            <w:pPr>
              <w:jc w:val="center"/>
              <w:rPr>
                <w:rFonts w:cstheme="minorHAnsi"/>
                <w:color w:val="000000"/>
                <w:sz w:val="20"/>
                <w:szCs w:val="20"/>
              </w:rPr>
            </w:pPr>
            <w:r w:rsidRPr="0043215C">
              <w:rPr>
                <w:rFonts w:cstheme="minorHAnsi"/>
                <w:color w:val="000000"/>
                <w:sz w:val="20"/>
                <w:szCs w:val="20"/>
              </w:rPr>
              <w:t>220</w:t>
            </w:r>
          </w:p>
        </w:tc>
        <w:tc>
          <w:tcPr>
            <w:tcW w:w="1020" w:type="dxa"/>
            <w:shd w:val="clear" w:color="auto" w:fill="auto"/>
            <w:noWrap/>
            <w:vAlign w:val="center"/>
            <w:hideMark/>
          </w:tcPr>
          <w:p w14:paraId="3FFC942B" w14:textId="77777777" w:rsidR="006B1BA4" w:rsidRPr="0043215C" w:rsidRDefault="006B1BA4">
            <w:pPr>
              <w:jc w:val="center"/>
              <w:rPr>
                <w:rFonts w:cstheme="minorHAnsi"/>
                <w:color w:val="000000"/>
                <w:sz w:val="20"/>
                <w:szCs w:val="20"/>
              </w:rPr>
            </w:pPr>
            <w:r w:rsidRPr="0043215C">
              <w:rPr>
                <w:rFonts w:cstheme="minorHAnsi"/>
                <w:color w:val="000000"/>
                <w:sz w:val="20"/>
                <w:szCs w:val="20"/>
              </w:rPr>
              <w:t>-</w:t>
            </w:r>
          </w:p>
        </w:tc>
        <w:tc>
          <w:tcPr>
            <w:tcW w:w="1720" w:type="dxa"/>
            <w:shd w:val="clear" w:color="auto" w:fill="auto"/>
            <w:noWrap/>
            <w:vAlign w:val="center"/>
            <w:hideMark/>
          </w:tcPr>
          <w:p w14:paraId="57CD0C50" w14:textId="77777777" w:rsidR="006B1BA4" w:rsidRPr="0043215C" w:rsidRDefault="006B1BA4">
            <w:pPr>
              <w:jc w:val="center"/>
              <w:rPr>
                <w:rFonts w:cstheme="minorHAnsi"/>
                <w:color w:val="000000"/>
                <w:sz w:val="20"/>
                <w:szCs w:val="20"/>
              </w:rPr>
            </w:pPr>
            <w:r w:rsidRPr="0043215C">
              <w:rPr>
                <w:rFonts w:cstheme="minorHAnsi"/>
                <w:color w:val="000000"/>
                <w:sz w:val="20"/>
                <w:szCs w:val="20"/>
              </w:rPr>
              <w:t>-</w:t>
            </w:r>
          </w:p>
        </w:tc>
        <w:tc>
          <w:tcPr>
            <w:tcW w:w="2040" w:type="dxa"/>
            <w:shd w:val="clear" w:color="auto" w:fill="auto"/>
            <w:noWrap/>
            <w:vAlign w:val="center"/>
            <w:hideMark/>
          </w:tcPr>
          <w:p w14:paraId="705E446F" w14:textId="77777777" w:rsidR="006B1BA4" w:rsidRPr="0043215C" w:rsidRDefault="006B1BA4">
            <w:pPr>
              <w:jc w:val="center"/>
              <w:rPr>
                <w:rFonts w:cstheme="minorHAnsi"/>
                <w:color w:val="000000"/>
                <w:sz w:val="20"/>
                <w:szCs w:val="20"/>
              </w:rPr>
            </w:pPr>
            <w:r w:rsidRPr="0043215C">
              <w:rPr>
                <w:rFonts w:cstheme="minorHAnsi"/>
                <w:color w:val="000000"/>
                <w:sz w:val="20"/>
                <w:szCs w:val="20"/>
              </w:rPr>
              <w:t>-</w:t>
            </w:r>
          </w:p>
        </w:tc>
        <w:tc>
          <w:tcPr>
            <w:tcW w:w="3358" w:type="dxa"/>
            <w:shd w:val="clear" w:color="auto" w:fill="auto"/>
            <w:noWrap/>
            <w:vAlign w:val="center"/>
            <w:hideMark/>
          </w:tcPr>
          <w:p w14:paraId="6B743B53" w14:textId="77777777" w:rsidR="006B1BA4" w:rsidRPr="0043215C" w:rsidRDefault="006B1BA4">
            <w:pPr>
              <w:jc w:val="center"/>
              <w:rPr>
                <w:rFonts w:cstheme="minorHAnsi"/>
                <w:color w:val="000000"/>
                <w:sz w:val="20"/>
                <w:szCs w:val="20"/>
              </w:rPr>
            </w:pPr>
            <w:r w:rsidRPr="0043215C">
              <w:rPr>
                <w:rFonts w:cstheme="minorHAnsi"/>
                <w:color w:val="000000"/>
                <w:sz w:val="20"/>
                <w:szCs w:val="20"/>
              </w:rPr>
              <w:t>-</w:t>
            </w:r>
          </w:p>
        </w:tc>
      </w:tr>
      <w:tr w:rsidR="006B1BA4" w:rsidRPr="0043215C" w14:paraId="53795F72" w14:textId="77777777" w:rsidTr="00945D18">
        <w:trPr>
          <w:trHeight w:val="293"/>
        </w:trPr>
        <w:tc>
          <w:tcPr>
            <w:tcW w:w="1240" w:type="dxa"/>
            <w:shd w:val="clear" w:color="auto" w:fill="auto"/>
            <w:noWrap/>
            <w:vAlign w:val="center"/>
            <w:hideMark/>
          </w:tcPr>
          <w:p w14:paraId="6BEF01A2" w14:textId="77777777" w:rsidR="006B1BA4" w:rsidRPr="0043215C" w:rsidRDefault="006B1BA4">
            <w:pPr>
              <w:jc w:val="center"/>
              <w:rPr>
                <w:rFonts w:cstheme="minorHAnsi"/>
                <w:color w:val="000000"/>
                <w:sz w:val="20"/>
                <w:szCs w:val="20"/>
              </w:rPr>
            </w:pPr>
            <w:r w:rsidRPr="0043215C">
              <w:rPr>
                <w:rFonts w:cstheme="minorHAnsi"/>
                <w:color w:val="000000"/>
                <w:sz w:val="20"/>
                <w:szCs w:val="20"/>
              </w:rPr>
              <w:t>154</w:t>
            </w:r>
          </w:p>
        </w:tc>
        <w:tc>
          <w:tcPr>
            <w:tcW w:w="1020" w:type="dxa"/>
            <w:shd w:val="clear" w:color="auto" w:fill="auto"/>
            <w:noWrap/>
            <w:vAlign w:val="center"/>
            <w:hideMark/>
          </w:tcPr>
          <w:p w14:paraId="4B1E8A81" w14:textId="77777777" w:rsidR="006B1BA4" w:rsidRPr="0043215C" w:rsidRDefault="006B1BA4">
            <w:pPr>
              <w:jc w:val="center"/>
              <w:rPr>
                <w:rFonts w:cstheme="minorHAnsi"/>
                <w:color w:val="000000"/>
                <w:sz w:val="20"/>
                <w:szCs w:val="20"/>
              </w:rPr>
            </w:pPr>
            <w:r w:rsidRPr="0043215C">
              <w:rPr>
                <w:rFonts w:cstheme="minorHAnsi"/>
                <w:color w:val="000000"/>
                <w:sz w:val="20"/>
                <w:szCs w:val="20"/>
              </w:rPr>
              <w:t>672</w:t>
            </w:r>
          </w:p>
        </w:tc>
        <w:tc>
          <w:tcPr>
            <w:tcW w:w="1720" w:type="dxa"/>
            <w:shd w:val="clear" w:color="auto" w:fill="auto"/>
            <w:noWrap/>
            <w:vAlign w:val="center"/>
            <w:hideMark/>
          </w:tcPr>
          <w:p w14:paraId="6DB44B01" w14:textId="77777777" w:rsidR="006B1BA4" w:rsidRPr="0043215C" w:rsidRDefault="006B1BA4">
            <w:pPr>
              <w:jc w:val="center"/>
              <w:rPr>
                <w:rFonts w:cstheme="minorHAnsi"/>
                <w:color w:val="000000"/>
                <w:sz w:val="20"/>
                <w:szCs w:val="20"/>
              </w:rPr>
            </w:pPr>
            <w:r w:rsidRPr="0043215C">
              <w:rPr>
                <w:rFonts w:cstheme="minorHAnsi"/>
                <w:color w:val="000000"/>
                <w:sz w:val="20"/>
                <w:szCs w:val="20"/>
              </w:rPr>
              <w:t>4</w:t>
            </w:r>
          </w:p>
        </w:tc>
        <w:tc>
          <w:tcPr>
            <w:tcW w:w="2040" w:type="dxa"/>
            <w:shd w:val="clear" w:color="auto" w:fill="auto"/>
            <w:noWrap/>
            <w:vAlign w:val="center"/>
            <w:hideMark/>
          </w:tcPr>
          <w:p w14:paraId="38AE64E4" w14:textId="77777777" w:rsidR="006B1BA4" w:rsidRPr="0043215C" w:rsidRDefault="006B1BA4">
            <w:pPr>
              <w:jc w:val="center"/>
              <w:rPr>
                <w:rFonts w:cstheme="minorHAnsi"/>
                <w:color w:val="000000"/>
                <w:sz w:val="20"/>
                <w:szCs w:val="20"/>
              </w:rPr>
            </w:pPr>
            <w:r w:rsidRPr="0043215C">
              <w:rPr>
                <w:rFonts w:cstheme="minorHAnsi"/>
                <w:color w:val="000000"/>
                <w:sz w:val="20"/>
                <w:szCs w:val="20"/>
              </w:rPr>
              <w:t>1701</w:t>
            </w:r>
          </w:p>
        </w:tc>
        <w:tc>
          <w:tcPr>
            <w:tcW w:w="3358" w:type="dxa"/>
            <w:shd w:val="clear" w:color="auto" w:fill="auto"/>
            <w:noWrap/>
            <w:vAlign w:val="center"/>
            <w:hideMark/>
          </w:tcPr>
          <w:p w14:paraId="15615EAA" w14:textId="77777777" w:rsidR="006B1BA4" w:rsidRPr="0043215C" w:rsidRDefault="006B1BA4">
            <w:pPr>
              <w:jc w:val="center"/>
              <w:rPr>
                <w:rFonts w:cstheme="minorHAnsi"/>
                <w:color w:val="000000"/>
                <w:sz w:val="20"/>
                <w:szCs w:val="20"/>
              </w:rPr>
            </w:pPr>
            <w:r w:rsidRPr="0043215C">
              <w:rPr>
                <w:rFonts w:cstheme="minorHAnsi"/>
                <w:color w:val="000000"/>
                <w:sz w:val="20"/>
                <w:szCs w:val="20"/>
              </w:rPr>
              <w:t>134,548</w:t>
            </w:r>
          </w:p>
        </w:tc>
      </w:tr>
      <w:tr w:rsidR="006B1BA4" w:rsidRPr="0043215C" w14:paraId="40F5AC52" w14:textId="77777777" w:rsidTr="00945D18">
        <w:trPr>
          <w:trHeight w:val="293"/>
        </w:trPr>
        <w:tc>
          <w:tcPr>
            <w:tcW w:w="1240" w:type="dxa"/>
            <w:shd w:val="clear" w:color="auto" w:fill="auto"/>
            <w:noWrap/>
            <w:vAlign w:val="center"/>
            <w:hideMark/>
          </w:tcPr>
          <w:p w14:paraId="724F8163" w14:textId="77777777" w:rsidR="006B1BA4" w:rsidRPr="0043215C" w:rsidRDefault="006B1BA4">
            <w:pPr>
              <w:jc w:val="center"/>
              <w:rPr>
                <w:rFonts w:cstheme="minorHAnsi"/>
                <w:color w:val="000000"/>
                <w:sz w:val="20"/>
                <w:szCs w:val="20"/>
              </w:rPr>
            </w:pPr>
            <w:r w:rsidRPr="0043215C">
              <w:rPr>
                <w:rFonts w:cstheme="minorHAnsi"/>
                <w:color w:val="000000"/>
                <w:sz w:val="20"/>
                <w:szCs w:val="20"/>
              </w:rPr>
              <w:t>66</w:t>
            </w:r>
          </w:p>
        </w:tc>
        <w:tc>
          <w:tcPr>
            <w:tcW w:w="1020" w:type="dxa"/>
            <w:shd w:val="clear" w:color="auto" w:fill="auto"/>
            <w:noWrap/>
            <w:vAlign w:val="center"/>
            <w:hideMark/>
          </w:tcPr>
          <w:p w14:paraId="6F239F29" w14:textId="77777777" w:rsidR="006B1BA4" w:rsidRPr="0043215C" w:rsidRDefault="006B1BA4">
            <w:pPr>
              <w:jc w:val="center"/>
              <w:rPr>
                <w:rFonts w:cstheme="minorHAnsi"/>
                <w:color w:val="000000"/>
                <w:sz w:val="20"/>
                <w:szCs w:val="20"/>
              </w:rPr>
            </w:pPr>
            <w:r w:rsidRPr="0043215C">
              <w:rPr>
                <w:rFonts w:cstheme="minorHAnsi"/>
                <w:color w:val="000000"/>
                <w:sz w:val="20"/>
                <w:szCs w:val="20"/>
              </w:rPr>
              <w:t>1</w:t>
            </w:r>
          </w:p>
        </w:tc>
        <w:tc>
          <w:tcPr>
            <w:tcW w:w="1720" w:type="dxa"/>
            <w:shd w:val="clear" w:color="auto" w:fill="auto"/>
            <w:noWrap/>
            <w:vAlign w:val="center"/>
            <w:hideMark/>
          </w:tcPr>
          <w:p w14:paraId="449DCCD3" w14:textId="77777777" w:rsidR="006B1BA4" w:rsidRPr="0043215C" w:rsidRDefault="006B1BA4">
            <w:pPr>
              <w:jc w:val="center"/>
              <w:rPr>
                <w:rFonts w:cstheme="minorHAnsi"/>
                <w:color w:val="000000"/>
                <w:sz w:val="20"/>
                <w:szCs w:val="20"/>
              </w:rPr>
            </w:pPr>
            <w:r w:rsidRPr="0043215C">
              <w:rPr>
                <w:rFonts w:cstheme="minorHAnsi"/>
                <w:color w:val="000000"/>
                <w:sz w:val="20"/>
                <w:szCs w:val="20"/>
              </w:rPr>
              <w:t>3</w:t>
            </w:r>
          </w:p>
        </w:tc>
        <w:tc>
          <w:tcPr>
            <w:tcW w:w="2040" w:type="dxa"/>
            <w:shd w:val="clear" w:color="auto" w:fill="auto"/>
            <w:noWrap/>
            <w:vAlign w:val="center"/>
            <w:hideMark/>
          </w:tcPr>
          <w:p w14:paraId="74C787E7" w14:textId="77777777" w:rsidR="006B1BA4" w:rsidRPr="0043215C" w:rsidRDefault="006B1BA4">
            <w:pPr>
              <w:jc w:val="center"/>
              <w:rPr>
                <w:rFonts w:cstheme="minorHAnsi"/>
                <w:color w:val="000000"/>
                <w:sz w:val="20"/>
                <w:szCs w:val="20"/>
              </w:rPr>
            </w:pPr>
            <w:r w:rsidRPr="0043215C">
              <w:rPr>
                <w:rFonts w:cstheme="minorHAnsi"/>
                <w:color w:val="000000"/>
                <w:sz w:val="20"/>
                <w:szCs w:val="20"/>
              </w:rPr>
              <w:t>19</w:t>
            </w:r>
          </w:p>
        </w:tc>
        <w:tc>
          <w:tcPr>
            <w:tcW w:w="3358" w:type="dxa"/>
            <w:shd w:val="clear" w:color="auto" w:fill="auto"/>
            <w:noWrap/>
            <w:vAlign w:val="center"/>
            <w:hideMark/>
          </w:tcPr>
          <w:p w14:paraId="25B58D2D" w14:textId="77777777" w:rsidR="006B1BA4" w:rsidRPr="0043215C" w:rsidRDefault="006B1BA4">
            <w:pPr>
              <w:jc w:val="center"/>
              <w:rPr>
                <w:rFonts w:cstheme="minorHAnsi"/>
                <w:color w:val="000000"/>
                <w:sz w:val="20"/>
                <w:szCs w:val="20"/>
              </w:rPr>
            </w:pPr>
            <w:r w:rsidRPr="0043215C">
              <w:rPr>
                <w:rFonts w:cstheme="minorHAnsi"/>
                <w:color w:val="000000"/>
                <w:sz w:val="20"/>
                <w:szCs w:val="20"/>
              </w:rPr>
              <w:t>243</w:t>
            </w:r>
          </w:p>
        </w:tc>
      </w:tr>
      <w:tr w:rsidR="006B1BA4" w:rsidRPr="0043215C" w14:paraId="1FDD09D0" w14:textId="77777777" w:rsidTr="00945D18">
        <w:trPr>
          <w:trHeight w:val="293"/>
        </w:trPr>
        <w:tc>
          <w:tcPr>
            <w:tcW w:w="1240" w:type="dxa"/>
            <w:shd w:val="clear" w:color="auto" w:fill="auto"/>
            <w:noWrap/>
            <w:vAlign w:val="center"/>
            <w:hideMark/>
          </w:tcPr>
          <w:p w14:paraId="2BE0AFBD" w14:textId="77777777" w:rsidR="006B1BA4" w:rsidRPr="0043215C" w:rsidRDefault="006B1BA4">
            <w:pPr>
              <w:jc w:val="center"/>
              <w:rPr>
                <w:rFonts w:cstheme="minorHAnsi"/>
                <w:color w:val="000000"/>
                <w:sz w:val="20"/>
                <w:szCs w:val="20"/>
              </w:rPr>
            </w:pPr>
            <w:r w:rsidRPr="0043215C">
              <w:rPr>
                <w:rFonts w:cstheme="minorHAnsi"/>
                <w:color w:val="000000"/>
                <w:sz w:val="20"/>
                <w:szCs w:val="20"/>
              </w:rPr>
              <w:t>TOTAL</w:t>
            </w:r>
          </w:p>
        </w:tc>
        <w:tc>
          <w:tcPr>
            <w:tcW w:w="1020" w:type="dxa"/>
            <w:shd w:val="clear" w:color="auto" w:fill="auto"/>
            <w:noWrap/>
            <w:vAlign w:val="center"/>
            <w:hideMark/>
          </w:tcPr>
          <w:p w14:paraId="65C2B95A" w14:textId="77777777" w:rsidR="006B1BA4" w:rsidRPr="0043215C" w:rsidRDefault="006B1BA4">
            <w:pPr>
              <w:jc w:val="center"/>
              <w:rPr>
                <w:rFonts w:cstheme="minorHAnsi"/>
                <w:color w:val="000000"/>
                <w:sz w:val="20"/>
                <w:szCs w:val="20"/>
              </w:rPr>
            </w:pPr>
            <w:r w:rsidRPr="0043215C">
              <w:rPr>
                <w:rFonts w:cstheme="minorHAnsi"/>
                <w:color w:val="000000"/>
                <w:sz w:val="20"/>
                <w:szCs w:val="20"/>
              </w:rPr>
              <w:t>798</w:t>
            </w:r>
          </w:p>
        </w:tc>
        <w:tc>
          <w:tcPr>
            <w:tcW w:w="1720" w:type="dxa"/>
            <w:shd w:val="clear" w:color="auto" w:fill="auto"/>
            <w:noWrap/>
            <w:vAlign w:val="center"/>
            <w:hideMark/>
          </w:tcPr>
          <w:p w14:paraId="7A4DADC6" w14:textId="77777777" w:rsidR="006B1BA4" w:rsidRPr="0043215C" w:rsidRDefault="006B1BA4">
            <w:pPr>
              <w:jc w:val="center"/>
              <w:rPr>
                <w:rFonts w:cstheme="minorHAnsi"/>
                <w:color w:val="000000"/>
                <w:sz w:val="20"/>
                <w:szCs w:val="20"/>
              </w:rPr>
            </w:pPr>
            <w:r w:rsidRPr="0043215C">
              <w:rPr>
                <w:rFonts w:cstheme="minorHAnsi"/>
                <w:color w:val="000000"/>
                <w:sz w:val="20"/>
                <w:szCs w:val="20"/>
              </w:rPr>
              <w:t>14</w:t>
            </w:r>
          </w:p>
        </w:tc>
        <w:tc>
          <w:tcPr>
            <w:tcW w:w="2040" w:type="dxa"/>
            <w:shd w:val="clear" w:color="auto" w:fill="auto"/>
            <w:noWrap/>
            <w:vAlign w:val="center"/>
            <w:hideMark/>
          </w:tcPr>
          <w:p w14:paraId="11107D58" w14:textId="77777777" w:rsidR="006B1BA4" w:rsidRPr="0043215C" w:rsidRDefault="006B1BA4">
            <w:pPr>
              <w:jc w:val="center"/>
              <w:rPr>
                <w:rFonts w:cstheme="minorHAnsi"/>
                <w:color w:val="000000"/>
                <w:sz w:val="20"/>
                <w:szCs w:val="20"/>
              </w:rPr>
            </w:pPr>
            <w:r w:rsidRPr="0043215C">
              <w:rPr>
                <w:rFonts w:cstheme="minorHAnsi"/>
                <w:color w:val="000000"/>
                <w:sz w:val="20"/>
                <w:szCs w:val="20"/>
              </w:rPr>
              <w:t>2161</w:t>
            </w:r>
          </w:p>
        </w:tc>
        <w:tc>
          <w:tcPr>
            <w:tcW w:w="3358" w:type="dxa"/>
            <w:shd w:val="clear" w:color="auto" w:fill="auto"/>
            <w:noWrap/>
            <w:vAlign w:val="center"/>
            <w:hideMark/>
          </w:tcPr>
          <w:p w14:paraId="40A5488C" w14:textId="77777777" w:rsidR="006B1BA4" w:rsidRPr="0043215C" w:rsidRDefault="006B1BA4">
            <w:pPr>
              <w:jc w:val="center"/>
              <w:rPr>
                <w:rFonts w:cstheme="minorHAnsi"/>
                <w:color w:val="000000"/>
                <w:sz w:val="20"/>
                <w:szCs w:val="20"/>
              </w:rPr>
            </w:pPr>
            <w:r w:rsidRPr="0043215C">
              <w:rPr>
                <w:rFonts w:cstheme="minorHAnsi"/>
                <w:color w:val="000000"/>
                <w:sz w:val="20"/>
                <w:szCs w:val="20"/>
              </w:rPr>
              <w:t>226.869</w:t>
            </w:r>
          </w:p>
        </w:tc>
      </w:tr>
    </w:tbl>
    <w:p w14:paraId="389062A6" w14:textId="77777777" w:rsidR="00117C8A" w:rsidRPr="0043215C" w:rsidRDefault="00117C8A" w:rsidP="24898233">
      <w:pPr>
        <w:pStyle w:val="Default"/>
        <w:spacing w:after="46"/>
        <w:ind w:left="720"/>
        <w:jc w:val="center"/>
        <w:rPr>
          <w:rFonts w:asciiTheme="minorHAnsi" w:hAnsiTheme="minorHAnsi" w:cstheme="minorHAnsi"/>
          <w:sz w:val="20"/>
          <w:szCs w:val="20"/>
          <w:lang w:val="en-US"/>
        </w:rPr>
      </w:pPr>
    </w:p>
    <w:p w14:paraId="24DF15AB" w14:textId="77777777" w:rsidR="005478BA" w:rsidRPr="0043215C" w:rsidRDefault="005478BA" w:rsidP="0042582E">
      <w:pPr>
        <w:shd w:val="clear" w:color="auto" w:fill="FDFDFD"/>
        <w:spacing w:after="0" w:line="240" w:lineRule="auto"/>
        <w:rPr>
          <w:rFonts w:cstheme="minorHAnsi"/>
          <w:sz w:val="20"/>
          <w:szCs w:val="20"/>
        </w:rPr>
      </w:pPr>
    </w:p>
    <w:p w14:paraId="74FA3BE1" w14:textId="5892AD0A" w:rsidR="0042582E" w:rsidRPr="0043215C" w:rsidRDefault="0042582E" w:rsidP="0042582E">
      <w:pPr>
        <w:shd w:val="clear" w:color="auto" w:fill="FDFDFD"/>
        <w:spacing w:after="0" w:line="240" w:lineRule="auto"/>
        <w:rPr>
          <w:rFonts w:cstheme="minorHAnsi"/>
          <w:sz w:val="20"/>
          <w:szCs w:val="20"/>
        </w:rPr>
      </w:pPr>
      <w:r w:rsidRPr="0043215C">
        <w:rPr>
          <w:rFonts w:cstheme="minorHAnsi"/>
          <w:sz w:val="20"/>
          <w:szCs w:val="20"/>
        </w:rPr>
        <w:t xml:space="preserve">The main tasks of </w:t>
      </w:r>
      <w:r w:rsidR="002B50C9" w:rsidRPr="0043215C">
        <w:rPr>
          <w:rFonts w:cstheme="minorHAnsi"/>
          <w:sz w:val="20"/>
          <w:szCs w:val="20"/>
        </w:rPr>
        <w:t>TEİAŞ</w:t>
      </w:r>
      <w:r w:rsidRPr="0043215C">
        <w:rPr>
          <w:rFonts w:cstheme="minorHAnsi"/>
          <w:sz w:val="20"/>
          <w:szCs w:val="20"/>
        </w:rPr>
        <w:t xml:space="preserve"> are to carry out load distribution and frequency control, to operate the ancillary services market and balancing power market within the scope of the market operation license, to monitor real-time system reliability, to determine the necessary ancillary services to ensure system reliability and the provision of electrical energy under the stipulated quality conditions. Also, to make a transmission investment plan for the new transmission facilities envisaged to be established, to establish new transmission facilities, to operate the transmission system per the competitive environment in the generation and supply of electrical energy, and to invest in substitution and capacity increase in the transmission system when necessary. Also, in line with the decision of the MENR, international interconnection studies are conducted.</w:t>
      </w:r>
    </w:p>
    <w:p w14:paraId="3ED80DD7" w14:textId="77777777" w:rsidR="0042582E" w:rsidRPr="0043215C" w:rsidRDefault="0042582E" w:rsidP="0042582E">
      <w:pPr>
        <w:pStyle w:val="Default"/>
        <w:spacing w:after="46"/>
        <w:ind w:left="720"/>
        <w:jc w:val="both"/>
        <w:rPr>
          <w:rFonts w:asciiTheme="minorHAnsi" w:hAnsiTheme="minorHAnsi" w:cstheme="minorHAnsi"/>
          <w:sz w:val="20"/>
          <w:szCs w:val="20"/>
          <w:lang w:val="en-US"/>
        </w:rPr>
      </w:pPr>
    </w:p>
    <w:p w14:paraId="0197C88D" w14:textId="77777777" w:rsidR="0042582E" w:rsidRPr="0043215C" w:rsidRDefault="0042582E" w:rsidP="0042582E">
      <w:pPr>
        <w:shd w:val="clear" w:color="auto" w:fill="FDFDFD"/>
        <w:spacing w:after="0" w:line="240" w:lineRule="auto"/>
        <w:rPr>
          <w:rFonts w:cstheme="minorHAnsi"/>
          <w:sz w:val="20"/>
          <w:szCs w:val="20"/>
        </w:rPr>
      </w:pPr>
      <w:r w:rsidRPr="0043215C">
        <w:rPr>
          <w:rFonts w:cstheme="minorHAnsi"/>
          <w:sz w:val="20"/>
          <w:szCs w:val="20"/>
        </w:rPr>
        <w:t>Since September 18, 2010, the Turkish Electricity System has been operated in synchronous parallel with the European Network of Electricity Transmission System Operators (ENTSO-E) via interconnections with Greece and Bulgaria. There are interconnections with other neighboring countries that do not meet ENTSO-E standards so direct energy flow is not possible since the electricity quality is not the same in exporting and importing countries. For such cases, either back-to-back DC connections are used for asynchronous parallel operations like the ones with Georgia and with Persia. For interconnections with Azerbaijan, Iraq, and Syria, either an isolated region is formed in the importing country, or an electricity generation facility is isolated from the exporting country's system to act as a facility of the importing country's system.</w:t>
      </w:r>
    </w:p>
    <w:p w14:paraId="36F57BBA" w14:textId="77777777" w:rsidR="0042582E" w:rsidRPr="0043215C" w:rsidRDefault="0042582E" w:rsidP="0042582E">
      <w:pPr>
        <w:pStyle w:val="Default"/>
        <w:spacing w:after="46"/>
        <w:ind w:left="720"/>
        <w:jc w:val="both"/>
        <w:rPr>
          <w:rFonts w:asciiTheme="minorHAnsi" w:hAnsiTheme="minorHAnsi" w:cstheme="minorHAnsi"/>
          <w:sz w:val="20"/>
          <w:szCs w:val="20"/>
          <w:lang w:val="en-US"/>
        </w:rPr>
      </w:pPr>
      <w:r w:rsidRPr="0043215C">
        <w:rPr>
          <w:rFonts w:asciiTheme="minorHAnsi" w:hAnsiTheme="minorHAnsi" w:cstheme="minorHAnsi"/>
          <w:sz w:val="20"/>
          <w:szCs w:val="20"/>
        </w:rPr>
        <w:t xml:space="preserve"> </w:t>
      </w:r>
    </w:p>
    <w:p w14:paraId="02985263" w14:textId="79C9EDFA" w:rsidR="0042582E" w:rsidRPr="0043215C" w:rsidRDefault="0042582E" w:rsidP="0042582E">
      <w:pPr>
        <w:shd w:val="clear" w:color="auto" w:fill="FDFDFD"/>
        <w:spacing w:after="0" w:line="240" w:lineRule="auto"/>
        <w:rPr>
          <w:rFonts w:cstheme="minorHAnsi"/>
          <w:sz w:val="20"/>
          <w:szCs w:val="20"/>
        </w:rPr>
      </w:pPr>
      <w:r w:rsidRPr="0043215C">
        <w:rPr>
          <w:rFonts w:cstheme="minorHAnsi"/>
          <w:sz w:val="20"/>
          <w:szCs w:val="20"/>
        </w:rPr>
        <w:t xml:space="preserve">For new generation investments, </w:t>
      </w:r>
      <w:r w:rsidR="00D72026" w:rsidRPr="0043215C">
        <w:rPr>
          <w:rFonts w:cstheme="minorHAnsi"/>
          <w:sz w:val="20"/>
          <w:szCs w:val="20"/>
        </w:rPr>
        <w:t>until October</w:t>
      </w:r>
      <w:r w:rsidR="006E3D1F" w:rsidRPr="0043215C">
        <w:rPr>
          <w:rFonts w:cstheme="minorHAnsi"/>
          <w:sz w:val="20"/>
          <w:szCs w:val="20"/>
        </w:rPr>
        <w:t xml:space="preserve"> 1st</w:t>
      </w:r>
      <w:r w:rsidRPr="0043215C">
        <w:rPr>
          <w:rFonts w:cstheme="minorHAnsi"/>
          <w:sz w:val="20"/>
          <w:szCs w:val="20"/>
        </w:rPr>
        <w:t xml:space="preserve"> of each year, </w:t>
      </w:r>
      <w:r w:rsidR="002B50C9" w:rsidRPr="0043215C">
        <w:rPr>
          <w:rFonts w:cstheme="minorHAnsi"/>
          <w:sz w:val="20"/>
          <w:szCs w:val="20"/>
        </w:rPr>
        <w:t>TEİAŞ</w:t>
      </w:r>
      <w:r w:rsidRPr="0043215C">
        <w:rPr>
          <w:rFonts w:cstheme="minorHAnsi"/>
          <w:sz w:val="20"/>
          <w:szCs w:val="20"/>
        </w:rPr>
        <w:t xml:space="preserve"> prepares and publishes a report on the capacities of regional generation facilities that can be connected to its systems on a connection point and/or regional basis, for the following five and ten years.</w:t>
      </w:r>
    </w:p>
    <w:p w14:paraId="289D474E" w14:textId="77777777" w:rsidR="0042582E" w:rsidRPr="0043215C" w:rsidRDefault="0042582E" w:rsidP="0042582E">
      <w:pPr>
        <w:pStyle w:val="Default"/>
        <w:spacing w:after="46"/>
        <w:ind w:left="720"/>
        <w:jc w:val="both"/>
        <w:rPr>
          <w:rFonts w:asciiTheme="minorHAnsi" w:hAnsiTheme="minorHAnsi" w:cstheme="minorHAnsi"/>
          <w:sz w:val="20"/>
          <w:szCs w:val="20"/>
          <w:lang w:val="en-US"/>
        </w:rPr>
      </w:pPr>
    </w:p>
    <w:p w14:paraId="34C53CAD" w14:textId="75F239EF" w:rsidR="0042582E" w:rsidRPr="0043215C" w:rsidRDefault="002B50C9" w:rsidP="0042582E">
      <w:pPr>
        <w:shd w:val="clear" w:color="auto" w:fill="FDFDFD"/>
        <w:spacing w:after="0" w:line="240" w:lineRule="auto"/>
        <w:rPr>
          <w:rFonts w:cstheme="minorHAnsi"/>
          <w:sz w:val="20"/>
          <w:szCs w:val="20"/>
        </w:rPr>
      </w:pPr>
      <w:r w:rsidRPr="0043215C">
        <w:rPr>
          <w:rFonts w:cstheme="minorHAnsi"/>
          <w:sz w:val="20"/>
          <w:szCs w:val="20"/>
        </w:rPr>
        <w:t>TEİAŞ</w:t>
      </w:r>
      <w:r w:rsidR="0042582E" w:rsidRPr="0043215C">
        <w:rPr>
          <w:rFonts w:cstheme="minorHAnsi"/>
          <w:sz w:val="20"/>
          <w:szCs w:val="20"/>
        </w:rPr>
        <w:t xml:space="preserve"> has a National Load Dispatch Center in Ankara and 9 regional load dispatch centers throughout the country. Depending on the regional electricity supply–demand balance, 15 tariff regions are determined. Generation and consumption facilities connected to the transmission grid in these regions </w:t>
      </w:r>
      <w:r w:rsidR="006E3D1F" w:rsidRPr="0043215C">
        <w:rPr>
          <w:rFonts w:cstheme="minorHAnsi"/>
          <w:sz w:val="20"/>
          <w:szCs w:val="20"/>
        </w:rPr>
        <w:t>should</w:t>
      </w:r>
      <w:r w:rsidR="0042582E" w:rsidRPr="0043215C">
        <w:rPr>
          <w:rFonts w:cstheme="minorHAnsi"/>
          <w:sz w:val="20"/>
          <w:szCs w:val="20"/>
        </w:rPr>
        <w:t xml:space="preserve"> pay the </w:t>
      </w:r>
      <w:r w:rsidR="00254524" w:rsidRPr="0043215C">
        <w:rPr>
          <w:rFonts w:cstheme="minorHAnsi"/>
          <w:sz w:val="20"/>
          <w:szCs w:val="20"/>
        </w:rPr>
        <w:t xml:space="preserve">transmission </w:t>
      </w:r>
      <w:r w:rsidR="009B4F0B" w:rsidRPr="0043215C">
        <w:rPr>
          <w:rFonts w:cstheme="minorHAnsi"/>
          <w:sz w:val="20"/>
          <w:szCs w:val="20"/>
        </w:rPr>
        <w:t>fee</w:t>
      </w:r>
      <w:r w:rsidR="007C5DCF" w:rsidRPr="0043215C">
        <w:rPr>
          <w:rFonts w:cstheme="minorHAnsi"/>
          <w:sz w:val="20"/>
          <w:szCs w:val="20"/>
        </w:rPr>
        <w:t xml:space="preserve"> based on the</w:t>
      </w:r>
      <w:r w:rsidR="0042582E" w:rsidRPr="0043215C">
        <w:rPr>
          <w:rFonts w:cstheme="minorHAnsi"/>
          <w:sz w:val="20"/>
          <w:szCs w:val="20"/>
        </w:rPr>
        <w:t xml:space="preserve"> </w:t>
      </w:r>
      <w:proofErr w:type="spellStart"/>
      <w:r w:rsidR="0042582E" w:rsidRPr="0043215C">
        <w:rPr>
          <w:rFonts w:cstheme="minorHAnsi"/>
          <w:sz w:val="20"/>
          <w:szCs w:val="20"/>
        </w:rPr>
        <w:t>the</w:t>
      </w:r>
      <w:proofErr w:type="spellEnd"/>
      <w:r w:rsidR="0042582E" w:rsidRPr="0043215C">
        <w:rPr>
          <w:rFonts w:cstheme="minorHAnsi"/>
          <w:sz w:val="20"/>
          <w:szCs w:val="20"/>
        </w:rPr>
        <w:t xml:space="preserve"> tariff </w:t>
      </w:r>
      <w:r w:rsidR="007C5DCF" w:rsidRPr="0043215C">
        <w:rPr>
          <w:rFonts w:cstheme="minorHAnsi"/>
          <w:sz w:val="20"/>
          <w:szCs w:val="20"/>
        </w:rPr>
        <w:t xml:space="preserve">valid </w:t>
      </w:r>
      <w:r w:rsidR="0042582E" w:rsidRPr="0043215C">
        <w:rPr>
          <w:rFonts w:cstheme="minorHAnsi"/>
          <w:sz w:val="20"/>
          <w:szCs w:val="20"/>
        </w:rPr>
        <w:t xml:space="preserve">for that region. The transmission tariff is determined and proposed by </w:t>
      </w:r>
      <w:r w:rsidRPr="0043215C">
        <w:rPr>
          <w:rFonts w:cstheme="minorHAnsi"/>
          <w:sz w:val="20"/>
          <w:szCs w:val="20"/>
        </w:rPr>
        <w:t>TEİAŞ</w:t>
      </w:r>
      <w:r w:rsidR="0042582E" w:rsidRPr="0043215C">
        <w:rPr>
          <w:rFonts w:cstheme="minorHAnsi"/>
          <w:sz w:val="20"/>
          <w:szCs w:val="20"/>
        </w:rPr>
        <w:t xml:space="preserve"> and approved by EMRA to cover all expenses of </w:t>
      </w:r>
      <w:r w:rsidRPr="0043215C">
        <w:rPr>
          <w:rFonts w:cstheme="minorHAnsi"/>
          <w:sz w:val="20"/>
          <w:szCs w:val="20"/>
        </w:rPr>
        <w:t>TEİAŞ</w:t>
      </w:r>
      <w:r w:rsidR="0042582E" w:rsidRPr="0043215C">
        <w:rPr>
          <w:rFonts w:cstheme="minorHAnsi"/>
          <w:sz w:val="20"/>
          <w:szCs w:val="20"/>
        </w:rPr>
        <w:t>.</w:t>
      </w:r>
    </w:p>
    <w:p w14:paraId="5667F1E4" w14:textId="77777777" w:rsidR="00FE641D" w:rsidRPr="0043215C" w:rsidRDefault="00FE641D" w:rsidP="007E5505">
      <w:pPr>
        <w:shd w:val="clear" w:color="auto" w:fill="FDFDFD"/>
        <w:spacing w:after="0" w:line="240" w:lineRule="auto"/>
        <w:rPr>
          <w:rFonts w:cstheme="minorHAnsi"/>
          <w:sz w:val="20"/>
          <w:szCs w:val="20"/>
        </w:rPr>
      </w:pPr>
      <w:r w:rsidRPr="0043215C">
        <w:rPr>
          <w:rFonts w:cstheme="minorHAnsi"/>
          <w:sz w:val="20"/>
          <w:szCs w:val="20"/>
        </w:rPr>
        <w:t>The main market players are as follows:</w:t>
      </w:r>
    </w:p>
    <w:p w14:paraId="6CB78C1F" w14:textId="77777777" w:rsidR="00FE641D" w:rsidRPr="0043215C" w:rsidRDefault="00FE641D" w:rsidP="00996556">
      <w:pPr>
        <w:pStyle w:val="BodyText"/>
        <w:numPr>
          <w:ilvl w:val="0"/>
          <w:numId w:val="13"/>
        </w:numPr>
        <w:jc w:val="both"/>
        <w:rPr>
          <w:rFonts w:asciiTheme="minorHAnsi" w:hAnsiTheme="minorHAnsi" w:cstheme="minorHAnsi"/>
          <w:sz w:val="20"/>
          <w:szCs w:val="20"/>
        </w:rPr>
      </w:pPr>
      <w:r w:rsidRPr="0043215C">
        <w:rPr>
          <w:rFonts w:asciiTheme="minorHAnsi" w:hAnsiTheme="minorHAnsi" w:cstheme="minorHAnsi"/>
          <w:sz w:val="20"/>
          <w:szCs w:val="20"/>
        </w:rPr>
        <w:t>MENR – determines the policy for the sector.</w:t>
      </w:r>
    </w:p>
    <w:p w14:paraId="5887685D" w14:textId="62B40E22" w:rsidR="00FE641D" w:rsidRPr="0043215C" w:rsidRDefault="00FE641D" w:rsidP="00996556">
      <w:pPr>
        <w:pStyle w:val="BodyText"/>
        <w:numPr>
          <w:ilvl w:val="0"/>
          <w:numId w:val="13"/>
        </w:numPr>
        <w:jc w:val="both"/>
        <w:rPr>
          <w:rFonts w:asciiTheme="minorHAnsi" w:hAnsiTheme="minorHAnsi" w:cstheme="minorHAnsi"/>
          <w:sz w:val="20"/>
          <w:szCs w:val="20"/>
        </w:rPr>
      </w:pPr>
      <w:r w:rsidRPr="0043215C">
        <w:rPr>
          <w:rFonts w:asciiTheme="minorHAnsi" w:hAnsiTheme="minorHAnsi" w:cstheme="minorHAnsi"/>
          <w:sz w:val="20"/>
          <w:szCs w:val="20"/>
        </w:rPr>
        <w:t xml:space="preserve">EMRA – prepares secondary legislation and regulates, monitors, </w:t>
      </w:r>
      <w:r w:rsidR="00B508F5" w:rsidRPr="0043215C">
        <w:rPr>
          <w:rFonts w:asciiTheme="minorHAnsi" w:hAnsiTheme="minorHAnsi" w:cstheme="minorHAnsi"/>
          <w:sz w:val="20"/>
          <w:szCs w:val="20"/>
        </w:rPr>
        <w:t>audits</w:t>
      </w:r>
      <w:r w:rsidRPr="0043215C">
        <w:rPr>
          <w:rFonts w:asciiTheme="minorHAnsi" w:hAnsiTheme="minorHAnsi" w:cstheme="minorHAnsi"/>
          <w:sz w:val="20"/>
          <w:szCs w:val="20"/>
        </w:rPr>
        <w:t xml:space="preserve"> and approves tariffs.</w:t>
      </w:r>
    </w:p>
    <w:p w14:paraId="5DBB8F3A" w14:textId="41D44EE0" w:rsidR="00FE641D" w:rsidRPr="0043215C" w:rsidRDefault="002B50C9" w:rsidP="00996556">
      <w:pPr>
        <w:pStyle w:val="BodyText"/>
        <w:numPr>
          <w:ilvl w:val="0"/>
          <w:numId w:val="13"/>
        </w:numPr>
        <w:jc w:val="both"/>
        <w:rPr>
          <w:rFonts w:asciiTheme="minorHAnsi" w:hAnsiTheme="minorHAnsi" w:cstheme="minorHAnsi"/>
          <w:sz w:val="20"/>
          <w:szCs w:val="20"/>
        </w:rPr>
      </w:pPr>
      <w:r w:rsidRPr="0043215C">
        <w:rPr>
          <w:rFonts w:asciiTheme="minorHAnsi" w:hAnsiTheme="minorHAnsi" w:cstheme="minorHAnsi"/>
          <w:sz w:val="20"/>
          <w:szCs w:val="20"/>
        </w:rPr>
        <w:t>TEİAŞ</w:t>
      </w:r>
      <w:r w:rsidR="00FE641D" w:rsidRPr="0043215C">
        <w:rPr>
          <w:rFonts w:asciiTheme="minorHAnsi" w:hAnsiTheme="minorHAnsi" w:cstheme="minorHAnsi"/>
          <w:sz w:val="20"/>
          <w:szCs w:val="20"/>
        </w:rPr>
        <w:t>– the state-owned transmission company, also operates the system, balancing power market and ancillary services market.</w:t>
      </w:r>
    </w:p>
    <w:p w14:paraId="7F727CEF" w14:textId="3B5F6794" w:rsidR="00FE641D" w:rsidRPr="0043215C" w:rsidRDefault="00FE641D" w:rsidP="00996556">
      <w:pPr>
        <w:pStyle w:val="BodyText"/>
        <w:numPr>
          <w:ilvl w:val="0"/>
          <w:numId w:val="13"/>
        </w:numPr>
        <w:jc w:val="both"/>
        <w:rPr>
          <w:rFonts w:asciiTheme="minorHAnsi" w:hAnsiTheme="minorHAnsi" w:cstheme="minorHAnsi"/>
          <w:sz w:val="20"/>
          <w:szCs w:val="20"/>
        </w:rPr>
      </w:pPr>
      <w:r w:rsidRPr="0043215C">
        <w:rPr>
          <w:rFonts w:asciiTheme="minorHAnsi" w:hAnsiTheme="minorHAnsi" w:cstheme="minorHAnsi"/>
          <w:sz w:val="20"/>
          <w:szCs w:val="20"/>
        </w:rPr>
        <w:t>E</w:t>
      </w:r>
      <w:r w:rsidR="00B95957" w:rsidRPr="0043215C">
        <w:rPr>
          <w:rFonts w:asciiTheme="minorHAnsi" w:hAnsiTheme="minorHAnsi" w:cstheme="minorHAnsi"/>
          <w:sz w:val="20"/>
          <w:szCs w:val="20"/>
        </w:rPr>
        <w:t>U</w:t>
      </w:r>
      <w:r w:rsidRPr="0043215C">
        <w:rPr>
          <w:rFonts w:asciiTheme="minorHAnsi" w:hAnsiTheme="minorHAnsi" w:cstheme="minorHAnsi"/>
          <w:sz w:val="20"/>
          <w:szCs w:val="20"/>
        </w:rPr>
        <w:t>A</w:t>
      </w:r>
      <w:r w:rsidR="00B95957" w:rsidRPr="0043215C">
        <w:rPr>
          <w:rFonts w:asciiTheme="minorHAnsi" w:hAnsiTheme="minorHAnsi" w:cstheme="minorHAnsi"/>
          <w:sz w:val="20"/>
          <w:szCs w:val="20"/>
        </w:rPr>
        <w:t>S</w:t>
      </w:r>
      <w:r w:rsidRPr="0043215C">
        <w:rPr>
          <w:rFonts w:asciiTheme="minorHAnsi" w:hAnsiTheme="minorHAnsi" w:cstheme="minorHAnsi"/>
          <w:sz w:val="20"/>
          <w:szCs w:val="20"/>
        </w:rPr>
        <w:t xml:space="preserve"> – the state-owned generation and trading company, also acting as the party of guaranteed energy contracts.</w:t>
      </w:r>
    </w:p>
    <w:p w14:paraId="662FC6FF" w14:textId="56157587" w:rsidR="00FE641D" w:rsidRPr="0043215C" w:rsidRDefault="00FE641D" w:rsidP="00996556">
      <w:pPr>
        <w:pStyle w:val="BodyText"/>
        <w:numPr>
          <w:ilvl w:val="0"/>
          <w:numId w:val="13"/>
        </w:numPr>
        <w:jc w:val="both"/>
        <w:rPr>
          <w:rFonts w:asciiTheme="minorHAnsi" w:hAnsiTheme="minorHAnsi" w:cstheme="minorHAnsi"/>
          <w:sz w:val="20"/>
          <w:szCs w:val="20"/>
        </w:rPr>
      </w:pPr>
      <w:r w:rsidRPr="0043215C">
        <w:rPr>
          <w:rFonts w:asciiTheme="minorHAnsi" w:hAnsiTheme="minorHAnsi" w:cstheme="minorHAnsi"/>
          <w:sz w:val="20"/>
          <w:szCs w:val="20"/>
        </w:rPr>
        <w:t>Distribution companies – private companies operating distribution regions which are owned by TEDA</w:t>
      </w:r>
      <w:r w:rsidR="00B95957" w:rsidRPr="0043215C">
        <w:rPr>
          <w:rFonts w:asciiTheme="minorHAnsi" w:hAnsiTheme="minorHAnsi" w:cstheme="minorHAnsi"/>
          <w:sz w:val="20"/>
          <w:szCs w:val="20"/>
        </w:rPr>
        <w:t>S</w:t>
      </w:r>
      <w:r w:rsidRPr="0043215C">
        <w:rPr>
          <w:rFonts w:asciiTheme="minorHAnsi" w:hAnsiTheme="minorHAnsi" w:cstheme="minorHAnsi"/>
          <w:sz w:val="20"/>
          <w:szCs w:val="20"/>
        </w:rPr>
        <w:t>, the state-owned distribution company.</w:t>
      </w:r>
    </w:p>
    <w:p w14:paraId="51F20D50" w14:textId="0082C88A" w:rsidR="00FE641D" w:rsidRPr="0043215C" w:rsidRDefault="00B508F5" w:rsidP="00996556">
      <w:pPr>
        <w:pStyle w:val="BodyText"/>
        <w:numPr>
          <w:ilvl w:val="0"/>
          <w:numId w:val="13"/>
        </w:numPr>
        <w:jc w:val="both"/>
        <w:rPr>
          <w:rFonts w:asciiTheme="minorHAnsi" w:hAnsiTheme="minorHAnsi" w:cstheme="minorHAnsi"/>
          <w:sz w:val="20"/>
          <w:szCs w:val="20"/>
        </w:rPr>
      </w:pPr>
      <w:r w:rsidRPr="0043215C">
        <w:rPr>
          <w:rFonts w:asciiTheme="minorHAnsi" w:hAnsiTheme="minorHAnsi" w:cstheme="minorHAnsi"/>
          <w:sz w:val="20"/>
          <w:szCs w:val="20"/>
        </w:rPr>
        <w:t>Incumbent</w:t>
      </w:r>
      <w:r w:rsidR="00FE641D" w:rsidRPr="0043215C">
        <w:rPr>
          <w:rFonts w:asciiTheme="minorHAnsi" w:hAnsiTheme="minorHAnsi" w:cstheme="minorHAnsi"/>
          <w:sz w:val="20"/>
          <w:szCs w:val="20"/>
        </w:rPr>
        <w:t xml:space="preserve"> suppliers – private </w:t>
      </w:r>
      <w:r w:rsidRPr="0043215C">
        <w:rPr>
          <w:rFonts w:asciiTheme="minorHAnsi" w:hAnsiTheme="minorHAnsi" w:cstheme="minorHAnsi"/>
          <w:sz w:val="20"/>
          <w:szCs w:val="20"/>
        </w:rPr>
        <w:t>retail sales</w:t>
      </w:r>
      <w:r w:rsidR="00FE641D" w:rsidRPr="0043215C">
        <w:rPr>
          <w:rFonts w:asciiTheme="minorHAnsi" w:hAnsiTheme="minorHAnsi" w:cstheme="minorHAnsi"/>
          <w:sz w:val="20"/>
          <w:szCs w:val="20"/>
        </w:rPr>
        <w:t xml:space="preserve"> companies in distribution regions, supplying electricity to non-eligible and last-resort consumers.</w:t>
      </w:r>
    </w:p>
    <w:p w14:paraId="4DF58663" w14:textId="77777777" w:rsidR="00FE641D" w:rsidRPr="0043215C" w:rsidRDefault="00FE641D" w:rsidP="00996556">
      <w:pPr>
        <w:pStyle w:val="BodyText"/>
        <w:numPr>
          <w:ilvl w:val="0"/>
          <w:numId w:val="13"/>
        </w:numPr>
        <w:jc w:val="both"/>
        <w:rPr>
          <w:rFonts w:asciiTheme="minorHAnsi" w:hAnsiTheme="minorHAnsi" w:cstheme="minorHAnsi"/>
          <w:sz w:val="20"/>
          <w:szCs w:val="20"/>
        </w:rPr>
      </w:pPr>
      <w:r w:rsidRPr="0043215C">
        <w:rPr>
          <w:rFonts w:asciiTheme="minorHAnsi" w:hAnsiTheme="minorHAnsi" w:cstheme="minorHAnsi"/>
          <w:sz w:val="20"/>
          <w:szCs w:val="20"/>
        </w:rPr>
        <w:t>Suppliers – private companies supplying electricity to eligible consumers and other suppliers.</w:t>
      </w:r>
    </w:p>
    <w:p w14:paraId="5F315303" w14:textId="174F13DB" w:rsidR="00FE641D" w:rsidRPr="0043215C" w:rsidRDefault="00FE641D" w:rsidP="00996556">
      <w:pPr>
        <w:pStyle w:val="BodyText"/>
        <w:numPr>
          <w:ilvl w:val="0"/>
          <w:numId w:val="13"/>
        </w:numPr>
        <w:jc w:val="both"/>
        <w:rPr>
          <w:rFonts w:asciiTheme="minorHAnsi" w:hAnsiTheme="minorHAnsi" w:cstheme="minorHAnsi"/>
          <w:sz w:val="20"/>
          <w:szCs w:val="20"/>
        </w:rPr>
      </w:pPr>
      <w:r w:rsidRPr="0043215C">
        <w:rPr>
          <w:rFonts w:asciiTheme="minorHAnsi" w:hAnsiTheme="minorHAnsi" w:cstheme="minorHAnsi"/>
          <w:sz w:val="20"/>
          <w:szCs w:val="20"/>
        </w:rPr>
        <w:t>EP</w:t>
      </w:r>
      <w:r w:rsidR="00B95957" w:rsidRPr="0043215C">
        <w:rPr>
          <w:rFonts w:asciiTheme="minorHAnsi" w:hAnsiTheme="minorHAnsi" w:cstheme="minorHAnsi"/>
          <w:sz w:val="20"/>
          <w:szCs w:val="20"/>
        </w:rPr>
        <w:t>I</w:t>
      </w:r>
      <w:r w:rsidRPr="0043215C">
        <w:rPr>
          <w:rFonts w:asciiTheme="minorHAnsi" w:hAnsiTheme="minorHAnsi" w:cstheme="minorHAnsi"/>
          <w:sz w:val="20"/>
          <w:szCs w:val="20"/>
        </w:rPr>
        <w:t>A</w:t>
      </w:r>
      <w:r w:rsidR="00B95957" w:rsidRPr="0043215C">
        <w:rPr>
          <w:rFonts w:asciiTheme="minorHAnsi" w:hAnsiTheme="minorHAnsi" w:cstheme="minorHAnsi"/>
          <w:sz w:val="20"/>
          <w:szCs w:val="20"/>
        </w:rPr>
        <w:t>S</w:t>
      </w:r>
      <w:r w:rsidRPr="0043215C">
        <w:rPr>
          <w:rFonts w:asciiTheme="minorHAnsi" w:hAnsiTheme="minorHAnsi" w:cstheme="minorHAnsi"/>
          <w:sz w:val="20"/>
          <w:szCs w:val="20"/>
        </w:rPr>
        <w:t xml:space="preserve"> – the market operator established under commercial law which operates the organized wholesale power markets and financially settles the transactions made in these markets. </w:t>
      </w:r>
    </w:p>
    <w:p w14:paraId="024A8C23" w14:textId="77777777" w:rsidR="00FE641D" w:rsidRPr="0043215C" w:rsidRDefault="00FE641D" w:rsidP="00996556">
      <w:pPr>
        <w:pStyle w:val="BodyText"/>
        <w:numPr>
          <w:ilvl w:val="0"/>
          <w:numId w:val="13"/>
        </w:numPr>
        <w:jc w:val="both"/>
        <w:rPr>
          <w:rFonts w:asciiTheme="minorHAnsi" w:hAnsiTheme="minorHAnsi" w:cstheme="minorHAnsi"/>
          <w:sz w:val="20"/>
          <w:szCs w:val="20"/>
        </w:rPr>
      </w:pPr>
      <w:r w:rsidRPr="0043215C">
        <w:rPr>
          <w:rFonts w:asciiTheme="minorHAnsi" w:hAnsiTheme="minorHAnsi" w:cstheme="minorHAnsi"/>
          <w:sz w:val="20"/>
          <w:szCs w:val="20"/>
        </w:rPr>
        <w:t xml:space="preserve">Organized Industrial Zones (OIZ) – industrial areas which can generate and distribute electricity in their zones. </w:t>
      </w:r>
    </w:p>
    <w:p w14:paraId="00EEB95D" w14:textId="77777777" w:rsidR="00FE641D" w:rsidRPr="0043215C" w:rsidRDefault="00FE641D" w:rsidP="00901BCA">
      <w:pPr>
        <w:shd w:val="clear" w:color="auto" w:fill="FDFDFD"/>
        <w:spacing w:after="0" w:line="240" w:lineRule="auto"/>
        <w:rPr>
          <w:rFonts w:cstheme="minorHAnsi"/>
          <w:sz w:val="20"/>
          <w:szCs w:val="20"/>
        </w:rPr>
      </w:pPr>
    </w:p>
    <w:p w14:paraId="6149E36D" w14:textId="00E2CFA1" w:rsidR="00FE641D" w:rsidRPr="0043215C" w:rsidRDefault="00FE641D" w:rsidP="00901BCA">
      <w:pPr>
        <w:shd w:val="clear" w:color="auto" w:fill="FDFDFD"/>
        <w:spacing w:after="0" w:line="240" w:lineRule="auto"/>
        <w:rPr>
          <w:rFonts w:cstheme="minorHAnsi"/>
          <w:sz w:val="20"/>
          <w:szCs w:val="20"/>
        </w:rPr>
      </w:pPr>
      <w:r w:rsidRPr="1E9D41E1">
        <w:rPr>
          <w:sz w:val="20"/>
          <w:szCs w:val="20"/>
        </w:rPr>
        <w:t xml:space="preserve">The eligible consumer concept was introduced with EML in 2001 and the eligibility threshold was determined as 9 GWh per year to be effective as of 3 March 2003. Consumers directly connected to the transmission grid or OIZs are </w:t>
      </w:r>
      <w:r w:rsidRPr="1E9D41E1">
        <w:rPr>
          <w:sz w:val="20"/>
          <w:szCs w:val="20"/>
        </w:rPr>
        <w:lastRenderedPageBreak/>
        <w:t>also considered eligible. This limit has been reduced regularly and for 2024 it is determined as 950 kWh per annum</w:t>
      </w:r>
      <w:r w:rsidRPr="1E9D41E1">
        <w:rPr>
          <w:rStyle w:val="FootnoteReference"/>
          <w:sz w:val="20"/>
          <w:szCs w:val="20"/>
        </w:rPr>
        <w:footnoteReference w:id="43"/>
      </w:r>
      <w:r w:rsidRPr="1E9D41E1">
        <w:rPr>
          <w:sz w:val="20"/>
          <w:szCs w:val="20"/>
        </w:rPr>
        <w:t xml:space="preserve">. Practically almost all consumers are eligible and either purchase their electricity needs from the market or </w:t>
      </w:r>
      <w:r w:rsidR="000D5F0E" w:rsidRPr="1E9D41E1">
        <w:rPr>
          <w:sz w:val="20"/>
          <w:szCs w:val="20"/>
        </w:rPr>
        <w:t>incumbent</w:t>
      </w:r>
      <w:r w:rsidRPr="1E9D41E1">
        <w:rPr>
          <w:sz w:val="20"/>
          <w:szCs w:val="20"/>
        </w:rPr>
        <w:t xml:space="preserve"> supplier in their region at the last-resort tariff</w:t>
      </w:r>
      <w:r w:rsidRPr="1E9D41E1">
        <w:rPr>
          <w:rStyle w:val="FootnoteReference"/>
          <w:sz w:val="20"/>
          <w:szCs w:val="20"/>
        </w:rPr>
        <w:footnoteReference w:id="44"/>
      </w:r>
      <w:r w:rsidRPr="1E9D41E1">
        <w:rPr>
          <w:sz w:val="20"/>
          <w:szCs w:val="20"/>
        </w:rPr>
        <w:t xml:space="preserve">. However, household and agriculture consumers who have an annual consumption of 100 </w:t>
      </w:r>
      <w:r w:rsidR="00DE7EA1" w:rsidRPr="1E9D41E1">
        <w:rPr>
          <w:sz w:val="20"/>
          <w:szCs w:val="20"/>
        </w:rPr>
        <w:t>m.</w:t>
      </w:r>
      <w:r w:rsidRPr="1E9D41E1">
        <w:rPr>
          <w:sz w:val="20"/>
          <w:szCs w:val="20"/>
        </w:rPr>
        <w:t xml:space="preserve"> kWh/annum or less, are allowed to purchase electricity from their assigned suppliers at the </w:t>
      </w:r>
      <w:r w:rsidR="00156D68" w:rsidRPr="1E9D41E1">
        <w:rPr>
          <w:sz w:val="20"/>
          <w:szCs w:val="20"/>
        </w:rPr>
        <w:t>last resort</w:t>
      </w:r>
      <w:r w:rsidRPr="1E9D41E1">
        <w:rPr>
          <w:sz w:val="20"/>
          <w:szCs w:val="20"/>
        </w:rPr>
        <w:t xml:space="preserve"> consumer tariff</w:t>
      </w:r>
      <w:r w:rsidRPr="1E9D41E1">
        <w:rPr>
          <w:rStyle w:val="FootnoteReference"/>
          <w:sz w:val="20"/>
          <w:szCs w:val="20"/>
        </w:rPr>
        <w:footnoteReference w:id="45"/>
      </w:r>
      <w:r w:rsidRPr="1E9D41E1">
        <w:rPr>
          <w:sz w:val="20"/>
          <w:szCs w:val="20"/>
        </w:rPr>
        <w:t>.</w:t>
      </w:r>
    </w:p>
    <w:p w14:paraId="6AA6B7BD" w14:textId="77777777" w:rsidR="00FE641D" w:rsidRPr="0043215C" w:rsidRDefault="00FE641D" w:rsidP="00901BCA">
      <w:pPr>
        <w:shd w:val="clear" w:color="auto" w:fill="FDFDFD"/>
        <w:spacing w:after="0" w:line="240" w:lineRule="auto"/>
        <w:rPr>
          <w:rFonts w:cstheme="minorHAnsi"/>
          <w:sz w:val="20"/>
          <w:szCs w:val="20"/>
        </w:rPr>
      </w:pPr>
    </w:p>
    <w:p w14:paraId="18E3B105" w14:textId="7FBED9C4" w:rsidR="00FE641D" w:rsidRPr="0043215C" w:rsidRDefault="00FE641D" w:rsidP="00901BCA">
      <w:pPr>
        <w:shd w:val="clear" w:color="auto" w:fill="FDFDFD"/>
        <w:spacing w:after="0" w:line="240" w:lineRule="auto"/>
        <w:rPr>
          <w:rFonts w:cstheme="minorHAnsi"/>
          <w:sz w:val="20"/>
          <w:szCs w:val="20"/>
        </w:rPr>
      </w:pPr>
      <w:r w:rsidRPr="0043215C">
        <w:rPr>
          <w:rFonts w:cstheme="minorHAnsi"/>
          <w:sz w:val="20"/>
          <w:szCs w:val="20"/>
        </w:rPr>
        <w:t xml:space="preserve">In the Türkiye Electricity Market, there are spot markets such as Day Ahead Market, Intraday Market, Balancing Power Market (Power Exchange), and Futures Market in operation currently. There is also a YEK-G market, which enables the monitoring, proof, and disclosure that the energy used by end consumers is produced from renewable energy sources. On the technical side, for system reliability and stability an Ancillary Services Market is operated by </w:t>
      </w:r>
      <w:r w:rsidR="002B50C9" w:rsidRPr="0043215C">
        <w:rPr>
          <w:rFonts w:cstheme="minorHAnsi"/>
          <w:sz w:val="20"/>
          <w:szCs w:val="20"/>
        </w:rPr>
        <w:t>TEİAŞ</w:t>
      </w:r>
      <w:r w:rsidRPr="0043215C">
        <w:rPr>
          <w:rFonts w:cstheme="minorHAnsi"/>
          <w:sz w:val="20"/>
          <w:szCs w:val="20"/>
        </w:rPr>
        <w:t>.</w:t>
      </w:r>
    </w:p>
    <w:p w14:paraId="720ABABF" w14:textId="77777777" w:rsidR="00FE641D" w:rsidRPr="0043215C" w:rsidRDefault="00FE641D" w:rsidP="00901BCA">
      <w:pPr>
        <w:shd w:val="clear" w:color="auto" w:fill="FDFDFD"/>
        <w:spacing w:after="0" w:line="240" w:lineRule="auto"/>
        <w:rPr>
          <w:rFonts w:cstheme="minorHAnsi"/>
          <w:sz w:val="20"/>
          <w:szCs w:val="20"/>
        </w:rPr>
      </w:pPr>
    </w:p>
    <w:p w14:paraId="20AB187E" w14:textId="77777777" w:rsidR="00FE641D" w:rsidRPr="0043215C" w:rsidRDefault="00FE641D" w:rsidP="00901BCA">
      <w:pPr>
        <w:shd w:val="clear" w:color="auto" w:fill="FDFDFD"/>
        <w:spacing w:after="0" w:line="240" w:lineRule="auto"/>
        <w:rPr>
          <w:rFonts w:cstheme="minorHAnsi"/>
          <w:sz w:val="20"/>
          <w:szCs w:val="20"/>
        </w:rPr>
      </w:pPr>
      <w:r w:rsidRPr="1E9D41E1">
        <w:rPr>
          <w:sz w:val="20"/>
          <w:szCs w:val="20"/>
        </w:rPr>
        <w:t>The new EML amended the provisions for license exemptions also. The following renewable facilities are exempt from setting up a company and obtaining a license for generating electricity</w:t>
      </w:r>
      <w:r w:rsidRPr="1E9D41E1">
        <w:rPr>
          <w:rStyle w:val="FootnoteReference"/>
          <w:sz w:val="20"/>
          <w:szCs w:val="20"/>
        </w:rPr>
        <w:footnoteReference w:id="46"/>
      </w:r>
      <w:r w:rsidRPr="1E9D41E1">
        <w:rPr>
          <w:sz w:val="20"/>
          <w:szCs w:val="20"/>
        </w:rPr>
        <w:t>:</w:t>
      </w:r>
    </w:p>
    <w:p w14:paraId="5ED74ADA" w14:textId="77777777" w:rsidR="00FE641D" w:rsidRPr="0043215C" w:rsidRDefault="00FE641D" w:rsidP="00901BCA">
      <w:pPr>
        <w:shd w:val="clear" w:color="auto" w:fill="FDFDFD"/>
        <w:spacing w:after="0" w:line="240" w:lineRule="auto"/>
        <w:rPr>
          <w:rFonts w:cstheme="minorHAnsi"/>
          <w:sz w:val="20"/>
          <w:szCs w:val="20"/>
        </w:rPr>
      </w:pPr>
    </w:p>
    <w:p w14:paraId="045F6610" w14:textId="77777777" w:rsidR="00FE641D" w:rsidRPr="0043215C" w:rsidRDefault="00FE641D" w:rsidP="00901BCA">
      <w:pPr>
        <w:pStyle w:val="BodyText"/>
        <w:jc w:val="both"/>
        <w:rPr>
          <w:rFonts w:asciiTheme="minorHAnsi" w:hAnsiTheme="minorHAnsi" w:cstheme="minorHAnsi"/>
          <w:sz w:val="20"/>
          <w:szCs w:val="20"/>
        </w:rPr>
      </w:pPr>
      <w:r w:rsidRPr="1E9D41E1">
        <w:rPr>
          <w:rFonts w:asciiTheme="minorHAnsi" w:hAnsiTheme="minorHAnsi" w:cstheme="minorBidi"/>
          <w:sz w:val="20"/>
          <w:szCs w:val="20"/>
        </w:rPr>
        <w:t>Generation facilities that use renewable energy sources with a maximum installed capacity of 5 MW</w:t>
      </w:r>
      <w:r w:rsidRPr="1E9D41E1">
        <w:rPr>
          <w:rStyle w:val="FootnoteReference"/>
          <w:rFonts w:asciiTheme="minorHAnsi" w:hAnsiTheme="minorHAnsi" w:cstheme="minorBidi"/>
          <w:sz w:val="20"/>
          <w:szCs w:val="20"/>
        </w:rPr>
        <w:footnoteReference w:id="47"/>
      </w:r>
      <w:r w:rsidRPr="1E9D41E1">
        <w:rPr>
          <w:rFonts w:asciiTheme="minorHAnsi" w:hAnsiTheme="minorHAnsi" w:cstheme="minorBidi"/>
          <w:sz w:val="20"/>
          <w:szCs w:val="20"/>
        </w:rPr>
        <w:t xml:space="preserve"> ; </w:t>
      </w:r>
    </w:p>
    <w:p w14:paraId="5ADB379F" w14:textId="3435B3E5" w:rsidR="00FE641D" w:rsidRPr="0043215C" w:rsidRDefault="00FE641D" w:rsidP="00901BCA">
      <w:pPr>
        <w:pStyle w:val="BodyText"/>
        <w:jc w:val="both"/>
        <w:rPr>
          <w:rFonts w:asciiTheme="minorHAnsi" w:hAnsiTheme="minorHAnsi" w:cstheme="minorBidi"/>
          <w:sz w:val="20"/>
          <w:szCs w:val="20"/>
        </w:rPr>
      </w:pPr>
      <w:r w:rsidRPr="122DD767">
        <w:rPr>
          <w:rFonts w:asciiTheme="minorHAnsi" w:hAnsiTheme="minorHAnsi" w:cstheme="minorBidi"/>
          <w:sz w:val="20"/>
          <w:szCs w:val="20"/>
        </w:rPr>
        <w:t>Renewable generation facilities</w:t>
      </w:r>
      <w:r w:rsidRPr="122DD767">
        <w:rPr>
          <w:rFonts w:asciiTheme="minorHAnsi" w:hAnsiTheme="minorHAnsi" w:cstheme="minorBidi"/>
          <w:sz w:val="20"/>
          <w:szCs w:val="20"/>
        </w:rPr>
        <w:t xml:space="preserve"> </w:t>
      </w:r>
      <w:r w:rsidRPr="122DD767">
        <w:rPr>
          <w:rFonts w:asciiTheme="minorHAnsi" w:hAnsiTheme="minorHAnsi" w:cstheme="minorBidi"/>
          <w:sz w:val="20"/>
          <w:szCs w:val="20"/>
        </w:rPr>
        <w:t>consume all the electricity that they generate, without feeding it into the transmission or distribution systems and whose generation and consumption are at the same measurement point.</w:t>
      </w:r>
    </w:p>
    <w:p w14:paraId="28B3B5E9" w14:textId="77777777" w:rsidR="009B48D5" w:rsidRPr="0043215C" w:rsidRDefault="009B48D5" w:rsidP="00901BCA">
      <w:pPr>
        <w:pStyle w:val="BodyText"/>
        <w:jc w:val="both"/>
        <w:rPr>
          <w:rFonts w:asciiTheme="minorHAnsi" w:hAnsiTheme="minorHAnsi" w:cstheme="minorHAnsi"/>
          <w:sz w:val="20"/>
          <w:szCs w:val="20"/>
        </w:rPr>
      </w:pPr>
    </w:p>
    <w:p w14:paraId="26F1B75D" w14:textId="77777777" w:rsidR="00FE641D" w:rsidRPr="0043215C" w:rsidRDefault="00FE641D" w:rsidP="00901BCA">
      <w:pPr>
        <w:pStyle w:val="BodyText"/>
        <w:jc w:val="both"/>
        <w:rPr>
          <w:rFonts w:asciiTheme="minorHAnsi" w:hAnsiTheme="minorHAnsi" w:cstheme="minorHAnsi"/>
          <w:sz w:val="20"/>
          <w:szCs w:val="20"/>
        </w:rPr>
      </w:pPr>
      <w:r w:rsidRPr="0043215C">
        <w:rPr>
          <w:rFonts w:asciiTheme="minorHAnsi" w:hAnsiTheme="minorHAnsi" w:cstheme="minorHAnsi"/>
          <w:sz w:val="20"/>
          <w:szCs w:val="20"/>
        </w:rPr>
        <w:t>Market activities carried out within the scope of electricity storage and demand-side participation within the framework of the limits, procedures, and principles to be determined by the EMRA Board in consultation with MENR.</w:t>
      </w:r>
    </w:p>
    <w:p w14:paraId="2085EA19" w14:textId="77777777" w:rsidR="009B48D5" w:rsidRPr="0043215C" w:rsidRDefault="009B48D5" w:rsidP="00901BCA">
      <w:pPr>
        <w:pStyle w:val="BodyText"/>
        <w:jc w:val="both"/>
        <w:rPr>
          <w:rFonts w:asciiTheme="minorHAnsi" w:hAnsiTheme="minorHAnsi" w:cstheme="minorHAnsi"/>
          <w:sz w:val="20"/>
          <w:szCs w:val="20"/>
        </w:rPr>
      </w:pPr>
    </w:p>
    <w:p w14:paraId="22143424" w14:textId="28214CA4" w:rsidR="00FE641D" w:rsidRPr="0043215C" w:rsidRDefault="00FE641D" w:rsidP="00901BCA">
      <w:pPr>
        <w:pStyle w:val="BodyText"/>
        <w:jc w:val="both"/>
        <w:rPr>
          <w:rFonts w:asciiTheme="minorHAnsi" w:hAnsiTheme="minorHAnsi" w:cstheme="minorHAnsi"/>
          <w:sz w:val="20"/>
          <w:szCs w:val="20"/>
        </w:rPr>
      </w:pPr>
      <w:r w:rsidRPr="0043215C">
        <w:rPr>
          <w:rFonts w:asciiTheme="minorHAnsi" w:hAnsiTheme="minorHAnsi" w:cstheme="minorHAnsi"/>
          <w:sz w:val="20"/>
          <w:szCs w:val="20"/>
        </w:rPr>
        <w:t>Generation facilities based on renewable energy sources, provided that the capacity is limited to twice the contractual power in the connection agreement by municipalities and their affiliates, industrial facilities and facilities for agricultural irrigation, and other persons limited to the contractual power in the connection agreement.</w:t>
      </w:r>
    </w:p>
    <w:p w14:paraId="6BBF5491" w14:textId="77777777" w:rsidR="00F97323" w:rsidRPr="0043215C" w:rsidRDefault="00F97323" w:rsidP="00127197">
      <w:pPr>
        <w:pStyle w:val="BodyText"/>
        <w:rPr>
          <w:rFonts w:asciiTheme="minorHAnsi" w:hAnsiTheme="minorHAnsi" w:cstheme="minorHAnsi"/>
          <w:sz w:val="20"/>
          <w:szCs w:val="20"/>
        </w:rPr>
      </w:pPr>
    </w:p>
    <w:p w14:paraId="7C211C3F" w14:textId="4B392EA5" w:rsidR="00FE641D" w:rsidRPr="0043215C" w:rsidRDefault="00FE641D" w:rsidP="00127197">
      <w:pPr>
        <w:pStyle w:val="BodyText"/>
        <w:rPr>
          <w:rFonts w:asciiTheme="minorHAnsi" w:hAnsiTheme="minorHAnsi" w:cstheme="minorHAnsi"/>
          <w:sz w:val="20"/>
          <w:szCs w:val="20"/>
        </w:rPr>
      </w:pPr>
      <w:r w:rsidRPr="0043215C">
        <w:rPr>
          <w:rFonts w:asciiTheme="minorHAnsi" w:hAnsiTheme="minorHAnsi" w:cstheme="minorHAnsi"/>
          <w:sz w:val="20"/>
          <w:szCs w:val="20"/>
        </w:rPr>
        <w:t>Also, some activities carried out by irrigation facilities, and irrigation associations using renewable energy sources are exempt from setting up a company and obtaining a license.</w:t>
      </w:r>
    </w:p>
    <w:p w14:paraId="1D458E8E" w14:textId="77777777" w:rsidR="00FE641D" w:rsidRPr="0043215C" w:rsidRDefault="00FE641D" w:rsidP="002D02ED">
      <w:pPr>
        <w:shd w:val="clear" w:color="auto" w:fill="FDFDFD"/>
        <w:spacing w:after="0" w:line="240" w:lineRule="auto"/>
        <w:jc w:val="center"/>
        <w:rPr>
          <w:rFonts w:cstheme="minorHAnsi"/>
          <w:sz w:val="20"/>
          <w:szCs w:val="20"/>
        </w:rPr>
      </w:pPr>
    </w:p>
    <w:p w14:paraId="6E88ED1E" w14:textId="475857C5" w:rsidR="002458F0" w:rsidRDefault="002458F0">
      <w:pPr>
        <w:jc w:val="left"/>
        <w:rPr>
          <w:rFonts w:cstheme="minorHAnsi"/>
          <w:sz w:val="20"/>
          <w:szCs w:val="20"/>
        </w:rPr>
      </w:pPr>
    </w:p>
    <w:p w14:paraId="6E58CA9B" w14:textId="77777777" w:rsidR="0043215C" w:rsidRDefault="0043215C">
      <w:pPr>
        <w:jc w:val="left"/>
        <w:rPr>
          <w:rFonts w:cstheme="minorHAnsi"/>
          <w:sz w:val="20"/>
          <w:szCs w:val="20"/>
        </w:rPr>
      </w:pPr>
    </w:p>
    <w:p w14:paraId="3F705752" w14:textId="77777777" w:rsidR="0043215C" w:rsidRDefault="0043215C">
      <w:pPr>
        <w:jc w:val="left"/>
        <w:rPr>
          <w:rFonts w:cstheme="minorHAnsi"/>
          <w:sz w:val="20"/>
          <w:szCs w:val="20"/>
        </w:rPr>
      </w:pPr>
    </w:p>
    <w:p w14:paraId="0D1919DB" w14:textId="77777777" w:rsidR="0043215C" w:rsidRDefault="0043215C">
      <w:pPr>
        <w:jc w:val="left"/>
        <w:rPr>
          <w:rFonts w:cstheme="minorHAnsi"/>
          <w:sz w:val="20"/>
          <w:szCs w:val="20"/>
        </w:rPr>
      </w:pPr>
    </w:p>
    <w:p w14:paraId="477B441E" w14:textId="77777777" w:rsidR="0043215C" w:rsidRDefault="0043215C">
      <w:pPr>
        <w:jc w:val="left"/>
        <w:rPr>
          <w:rFonts w:cstheme="minorHAnsi"/>
          <w:sz w:val="20"/>
          <w:szCs w:val="20"/>
        </w:rPr>
      </w:pPr>
    </w:p>
    <w:p w14:paraId="04F075EA" w14:textId="77777777" w:rsidR="0043215C" w:rsidRDefault="0043215C">
      <w:pPr>
        <w:jc w:val="left"/>
        <w:rPr>
          <w:rFonts w:cstheme="minorHAnsi"/>
          <w:sz w:val="20"/>
          <w:szCs w:val="20"/>
        </w:rPr>
      </w:pPr>
    </w:p>
    <w:p w14:paraId="5019F6FC" w14:textId="77777777" w:rsidR="0043215C" w:rsidRDefault="0043215C">
      <w:pPr>
        <w:jc w:val="left"/>
        <w:rPr>
          <w:rFonts w:cstheme="minorHAnsi"/>
          <w:sz w:val="20"/>
          <w:szCs w:val="20"/>
        </w:rPr>
      </w:pPr>
    </w:p>
    <w:p w14:paraId="43C26ABA" w14:textId="77777777" w:rsidR="0043215C" w:rsidRDefault="0043215C">
      <w:pPr>
        <w:jc w:val="left"/>
        <w:rPr>
          <w:rFonts w:cstheme="minorHAnsi"/>
          <w:sz w:val="20"/>
          <w:szCs w:val="20"/>
        </w:rPr>
      </w:pPr>
    </w:p>
    <w:p w14:paraId="1455A226" w14:textId="77777777" w:rsidR="0043215C" w:rsidRPr="0043215C" w:rsidRDefault="0043215C">
      <w:pPr>
        <w:jc w:val="left"/>
        <w:rPr>
          <w:sz w:val="20"/>
          <w:szCs w:val="20"/>
        </w:rPr>
      </w:pPr>
    </w:p>
    <w:p w14:paraId="01128890" w14:textId="58F019D6" w:rsidR="00D063DF" w:rsidRPr="0043215C" w:rsidRDefault="00D063DF" w:rsidP="00D063DF">
      <w:pPr>
        <w:pStyle w:val="Heading3"/>
        <w:rPr>
          <w:rFonts w:cstheme="minorHAnsi"/>
          <w:sz w:val="20"/>
          <w:szCs w:val="20"/>
        </w:rPr>
      </w:pPr>
      <w:bookmarkStart w:id="167" w:name="_Toc162899060"/>
      <w:bookmarkStart w:id="168" w:name="_Toc162962977"/>
      <w:bookmarkStart w:id="169" w:name="_Toc162964159"/>
      <w:bookmarkStart w:id="170" w:name="_Toc162899062"/>
      <w:bookmarkStart w:id="171" w:name="_Toc170319852"/>
      <w:r w:rsidRPr="0043215C">
        <w:rPr>
          <w:rFonts w:cstheme="minorHAnsi"/>
          <w:sz w:val="20"/>
          <w:szCs w:val="20"/>
        </w:rPr>
        <w:lastRenderedPageBreak/>
        <w:t>ANNEX 4: Previous CIF / CTF Program in Türkiye</w:t>
      </w:r>
      <w:bookmarkEnd w:id="167"/>
      <w:bookmarkEnd w:id="168"/>
      <w:bookmarkEnd w:id="169"/>
      <w:bookmarkEnd w:id="171"/>
    </w:p>
    <w:p w14:paraId="3F0DB389" w14:textId="3B1F414C" w:rsidR="00D063DF" w:rsidRPr="0043215C" w:rsidRDefault="00D063DF" w:rsidP="00D063DF">
      <w:pPr>
        <w:rPr>
          <w:rFonts w:cstheme="minorHAnsi"/>
          <w:sz w:val="20"/>
          <w:szCs w:val="20"/>
        </w:rPr>
      </w:pPr>
      <w:r w:rsidRPr="0043215C">
        <w:rPr>
          <w:rFonts w:cstheme="minorHAnsi"/>
          <w:sz w:val="20"/>
          <w:szCs w:val="20"/>
        </w:rPr>
        <w:t xml:space="preserve">CIF’s investment in Türkiye has been through its Clean Technology Fund (CTF) since 2012. Türkiye’s </w:t>
      </w:r>
      <w:r w:rsidR="00636124" w:rsidRPr="0043215C">
        <w:rPr>
          <w:rFonts w:cstheme="minorHAnsi"/>
          <w:sz w:val="20"/>
          <w:szCs w:val="20"/>
        </w:rPr>
        <w:t>US$</w:t>
      </w:r>
      <w:r w:rsidRPr="0043215C">
        <w:rPr>
          <w:rFonts w:cstheme="minorHAnsi"/>
          <w:sz w:val="20"/>
          <w:szCs w:val="20"/>
        </w:rPr>
        <w:t xml:space="preserve">440 </w:t>
      </w:r>
      <w:r w:rsidR="00DE7EA1" w:rsidRPr="0043215C">
        <w:rPr>
          <w:rFonts w:cstheme="minorHAnsi"/>
          <w:sz w:val="20"/>
          <w:szCs w:val="20"/>
        </w:rPr>
        <w:t>m.</w:t>
      </w:r>
      <w:r w:rsidRPr="0043215C">
        <w:rPr>
          <w:rFonts w:cstheme="minorHAnsi"/>
          <w:sz w:val="20"/>
          <w:szCs w:val="20"/>
        </w:rPr>
        <w:t xml:space="preserve">, multiphase CTF investment plan has been supporting wind power expansion, smart grid upgrades, and complementary programs with local banks and leasing companies </w:t>
      </w:r>
      <w:r w:rsidR="00525D5F" w:rsidRPr="0043215C">
        <w:rPr>
          <w:rFonts w:cstheme="minorHAnsi"/>
          <w:sz w:val="20"/>
          <w:szCs w:val="20"/>
        </w:rPr>
        <w:t>to</w:t>
      </w:r>
      <w:r w:rsidRPr="0043215C">
        <w:rPr>
          <w:rFonts w:cstheme="minorHAnsi"/>
          <w:sz w:val="20"/>
          <w:szCs w:val="20"/>
        </w:rPr>
        <w:t xml:space="preserve"> address market barriers and drive investments in renewable energy and energy efficiency.</w:t>
      </w:r>
    </w:p>
    <w:p w14:paraId="0BAD6398" w14:textId="0CEFCB33" w:rsidR="00D063DF" w:rsidRPr="0043215C" w:rsidRDefault="00D063DF" w:rsidP="00D063DF">
      <w:pPr>
        <w:rPr>
          <w:rFonts w:cstheme="minorHAnsi"/>
          <w:sz w:val="20"/>
          <w:szCs w:val="20"/>
        </w:rPr>
      </w:pPr>
      <w:r w:rsidRPr="0043215C">
        <w:rPr>
          <w:rFonts w:cstheme="minorHAnsi"/>
          <w:sz w:val="20"/>
          <w:szCs w:val="20"/>
        </w:rPr>
        <w:t xml:space="preserve">In the first phase alone (through end-2012), </w:t>
      </w:r>
      <w:r w:rsidR="00636124" w:rsidRPr="0043215C">
        <w:rPr>
          <w:rFonts w:cstheme="minorHAnsi"/>
          <w:sz w:val="20"/>
          <w:szCs w:val="20"/>
        </w:rPr>
        <w:t>US$</w:t>
      </w:r>
      <w:r w:rsidRPr="0043215C">
        <w:rPr>
          <w:rFonts w:cstheme="minorHAnsi"/>
          <w:sz w:val="20"/>
          <w:szCs w:val="20"/>
        </w:rPr>
        <w:t xml:space="preserve">172 </w:t>
      </w:r>
      <w:r w:rsidR="00DE7EA1" w:rsidRPr="0043215C">
        <w:rPr>
          <w:rFonts w:cstheme="minorHAnsi"/>
          <w:sz w:val="20"/>
          <w:szCs w:val="20"/>
        </w:rPr>
        <w:t>m.</w:t>
      </w:r>
      <w:r w:rsidRPr="0043215C">
        <w:rPr>
          <w:rFonts w:cstheme="minorHAnsi"/>
          <w:sz w:val="20"/>
          <w:szCs w:val="20"/>
        </w:rPr>
        <w:t xml:space="preserve"> from the investment plan helped to mobilize </w:t>
      </w:r>
      <w:r w:rsidR="00636124" w:rsidRPr="0043215C">
        <w:rPr>
          <w:rFonts w:cstheme="minorHAnsi"/>
          <w:sz w:val="20"/>
          <w:szCs w:val="20"/>
        </w:rPr>
        <w:t>US$</w:t>
      </w:r>
      <w:r w:rsidRPr="0043215C">
        <w:rPr>
          <w:rFonts w:cstheme="minorHAnsi"/>
          <w:sz w:val="20"/>
          <w:szCs w:val="20"/>
        </w:rPr>
        <w:t xml:space="preserve">1.8 billion through 430 subprojects via local financial intermediaries. Savings have amounted to 902,000 tons of carbon dioxide equivalent and </w:t>
      </w:r>
      <w:r w:rsidR="00636124" w:rsidRPr="0043215C">
        <w:rPr>
          <w:rFonts w:cstheme="minorHAnsi"/>
          <w:sz w:val="20"/>
          <w:szCs w:val="20"/>
        </w:rPr>
        <w:t>US$</w:t>
      </w:r>
      <w:r w:rsidRPr="0043215C">
        <w:rPr>
          <w:rFonts w:cstheme="minorHAnsi"/>
          <w:sz w:val="20"/>
          <w:szCs w:val="20"/>
        </w:rPr>
        <w:t xml:space="preserve">568 </w:t>
      </w:r>
      <w:r w:rsidR="00DE7EA1" w:rsidRPr="0043215C">
        <w:rPr>
          <w:rFonts w:cstheme="minorHAnsi"/>
          <w:sz w:val="20"/>
          <w:szCs w:val="20"/>
        </w:rPr>
        <w:t>m.</w:t>
      </w:r>
      <w:r w:rsidRPr="0043215C">
        <w:rPr>
          <w:rFonts w:cstheme="minorHAnsi"/>
          <w:sz w:val="20"/>
          <w:szCs w:val="20"/>
        </w:rPr>
        <w:t xml:space="preserve"> in avoided oil imports per year.</w:t>
      </w:r>
    </w:p>
    <w:p w14:paraId="15D26E7A" w14:textId="1993982C" w:rsidR="00D063DF" w:rsidRPr="0043215C" w:rsidRDefault="00D063DF" w:rsidP="00D063DF">
      <w:pPr>
        <w:spacing w:after="0"/>
        <w:ind w:left="-20" w:right="94"/>
        <w:rPr>
          <w:rFonts w:cstheme="minorHAnsi"/>
          <w:sz w:val="20"/>
          <w:szCs w:val="20"/>
        </w:rPr>
      </w:pPr>
      <w:r w:rsidRPr="0043215C">
        <w:rPr>
          <w:rFonts w:eastAsia="Calibri" w:cstheme="minorHAnsi"/>
          <w:sz w:val="20"/>
          <w:szCs w:val="20"/>
        </w:rPr>
        <w:t xml:space="preserve">A summary of </w:t>
      </w:r>
      <w:r w:rsidR="00B56874" w:rsidRPr="0043215C">
        <w:rPr>
          <w:rFonts w:eastAsia="Calibri" w:cstheme="minorHAnsi"/>
          <w:sz w:val="20"/>
          <w:szCs w:val="20"/>
        </w:rPr>
        <w:t>Türkiye</w:t>
      </w:r>
      <w:r w:rsidRPr="0043215C">
        <w:rPr>
          <w:rFonts w:eastAsia="Calibri" w:cstheme="minorHAnsi"/>
          <w:sz w:val="20"/>
          <w:szCs w:val="20"/>
        </w:rPr>
        <w:t xml:space="preserve">’s experience with CTF programs in collaboration with </w:t>
      </w:r>
      <w:r w:rsidR="005F41B8" w:rsidRPr="0043215C">
        <w:rPr>
          <w:rFonts w:eastAsia="Calibri" w:cstheme="minorHAnsi"/>
          <w:sz w:val="20"/>
          <w:szCs w:val="20"/>
        </w:rPr>
        <w:t>CIF</w:t>
      </w:r>
      <w:r w:rsidR="00581511" w:rsidRPr="0043215C">
        <w:rPr>
          <w:rFonts w:eastAsia="Calibri" w:cstheme="minorHAnsi"/>
          <w:sz w:val="20"/>
          <w:szCs w:val="20"/>
        </w:rPr>
        <w:t xml:space="preserve"> partner </w:t>
      </w:r>
      <w:r w:rsidR="00653161" w:rsidRPr="0043215C">
        <w:rPr>
          <w:rFonts w:eastAsia="Calibri" w:cstheme="minorHAnsi"/>
          <w:sz w:val="20"/>
          <w:szCs w:val="20"/>
        </w:rPr>
        <w:t xml:space="preserve">MDBs is </w:t>
      </w:r>
      <w:r w:rsidRPr="0043215C">
        <w:rPr>
          <w:rFonts w:eastAsia="Calibri" w:cstheme="minorHAnsi"/>
          <w:sz w:val="20"/>
          <w:szCs w:val="20"/>
        </w:rPr>
        <w:t>provided in Table</w:t>
      </w:r>
      <w:r w:rsidR="00B02248" w:rsidRPr="0043215C">
        <w:rPr>
          <w:rFonts w:eastAsia="Calibri" w:cstheme="minorHAnsi"/>
          <w:sz w:val="20"/>
          <w:szCs w:val="20"/>
        </w:rPr>
        <w:t xml:space="preserve"> 8</w:t>
      </w:r>
      <w:r w:rsidRPr="0043215C">
        <w:rPr>
          <w:rFonts w:eastAsia="Calibri" w:cstheme="minorHAnsi"/>
          <w:sz w:val="20"/>
          <w:szCs w:val="20"/>
        </w:rPr>
        <w:t xml:space="preserve">. In addition to the financing from the CTFs and MDBs, co-financing from private sector sources was also mobilized through the CTF programs and projects. </w:t>
      </w:r>
    </w:p>
    <w:p w14:paraId="44E4F0E6" w14:textId="77777777" w:rsidR="00D063DF" w:rsidRDefault="00D063DF" w:rsidP="00D063DF">
      <w:pPr>
        <w:shd w:val="clear" w:color="auto" w:fill="FFFFFF" w:themeFill="background1"/>
        <w:spacing w:line="257" w:lineRule="auto"/>
        <w:ind w:left="-20" w:right="-20"/>
        <w:rPr>
          <w:rFonts w:eastAsia="Calibri" w:cstheme="minorHAnsi"/>
          <w:sz w:val="20"/>
          <w:szCs w:val="20"/>
        </w:rPr>
      </w:pPr>
      <w:r w:rsidRPr="0043215C">
        <w:rPr>
          <w:rFonts w:eastAsia="Calibri" w:cstheme="minorHAnsi"/>
          <w:sz w:val="20"/>
          <w:szCs w:val="20"/>
        </w:rPr>
        <w:t xml:space="preserve"> </w:t>
      </w:r>
    </w:p>
    <w:p w14:paraId="796FD0F8" w14:textId="77777777" w:rsidR="00CA277A" w:rsidRDefault="00CA277A" w:rsidP="00D063DF">
      <w:pPr>
        <w:shd w:val="clear" w:color="auto" w:fill="FFFFFF" w:themeFill="background1"/>
        <w:spacing w:line="257" w:lineRule="auto"/>
        <w:ind w:left="-20" w:right="-20"/>
        <w:rPr>
          <w:rFonts w:eastAsia="Calibri" w:cstheme="minorHAnsi"/>
          <w:sz w:val="20"/>
          <w:szCs w:val="20"/>
        </w:rPr>
      </w:pPr>
    </w:p>
    <w:p w14:paraId="043563F1" w14:textId="77777777" w:rsidR="00CA277A" w:rsidRDefault="00CA277A" w:rsidP="00D063DF">
      <w:pPr>
        <w:shd w:val="clear" w:color="auto" w:fill="FFFFFF" w:themeFill="background1"/>
        <w:spacing w:line="257" w:lineRule="auto"/>
        <w:ind w:left="-20" w:right="-20"/>
        <w:rPr>
          <w:rFonts w:eastAsia="Calibri" w:cstheme="minorHAnsi"/>
          <w:sz w:val="20"/>
          <w:szCs w:val="20"/>
        </w:rPr>
      </w:pPr>
    </w:p>
    <w:p w14:paraId="52698857" w14:textId="77777777" w:rsidR="00CA277A" w:rsidRDefault="00CA277A" w:rsidP="00D063DF">
      <w:pPr>
        <w:shd w:val="clear" w:color="auto" w:fill="FFFFFF" w:themeFill="background1"/>
        <w:spacing w:line="257" w:lineRule="auto"/>
        <w:ind w:left="-20" w:right="-20"/>
        <w:rPr>
          <w:rFonts w:eastAsia="Calibri" w:cstheme="minorHAnsi"/>
          <w:sz w:val="20"/>
          <w:szCs w:val="20"/>
        </w:rPr>
      </w:pPr>
    </w:p>
    <w:p w14:paraId="627AFA93" w14:textId="77777777" w:rsidR="00CA277A" w:rsidRDefault="00CA277A" w:rsidP="00D063DF">
      <w:pPr>
        <w:shd w:val="clear" w:color="auto" w:fill="FFFFFF" w:themeFill="background1"/>
        <w:spacing w:line="257" w:lineRule="auto"/>
        <w:ind w:left="-20" w:right="-20"/>
        <w:rPr>
          <w:rFonts w:eastAsia="Calibri" w:cstheme="minorHAnsi"/>
          <w:sz w:val="20"/>
          <w:szCs w:val="20"/>
        </w:rPr>
      </w:pPr>
    </w:p>
    <w:p w14:paraId="49BDA6DF" w14:textId="77777777" w:rsidR="00CA277A" w:rsidRDefault="00CA277A" w:rsidP="00D063DF">
      <w:pPr>
        <w:shd w:val="clear" w:color="auto" w:fill="FFFFFF" w:themeFill="background1"/>
        <w:spacing w:line="257" w:lineRule="auto"/>
        <w:ind w:left="-20" w:right="-20"/>
        <w:rPr>
          <w:rFonts w:eastAsia="Calibri" w:cstheme="minorHAnsi"/>
          <w:sz w:val="20"/>
          <w:szCs w:val="20"/>
        </w:rPr>
      </w:pPr>
    </w:p>
    <w:p w14:paraId="1F32C838" w14:textId="77777777" w:rsidR="00CA277A" w:rsidRDefault="00CA277A" w:rsidP="00D063DF">
      <w:pPr>
        <w:shd w:val="clear" w:color="auto" w:fill="FFFFFF" w:themeFill="background1"/>
        <w:spacing w:line="257" w:lineRule="auto"/>
        <w:ind w:left="-20" w:right="-20"/>
        <w:rPr>
          <w:rFonts w:eastAsia="Calibri" w:cstheme="minorHAnsi"/>
          <w:sz w:val="20"/>
          <w:szCs w:val="20"/>
        </w:rPr>
      </w:pPr>
    </w:p>
    <w:p w14:paraId="4AD1A9EA" w14:textId="77777777" w:rsidR="00CA277A" w:rsidRDefault="00CA277A" w:rsidP="00D063DF">
      <w:pPr>
        <w:shd w:val="clear" w:color="auto" w:fill="FFFFFF" w:themeFill="background1"/>
        <w:spacing w:line="257" w:lineRule="auto"/>
        <w:ind w:left="-20" w:right="-20"/>
        <w:rPr>
          <w:rFonts w:eastAsia="Calibri" w:cstheme="minorHAnsi"/>
          <w:sz w:val="20"/>
          <w:szCs w:val="20"/>
        </w:rPr>
      </w:pPr>
    </w:p>
    <w:p w14:paraId="3701D186" w14:textId="77777777" w:rsidR="00CA277A" w:rsidRDefault="00CA277A" w:rsidP="00D063DF">
      <w:pPr>
        <w:shd w:val="clear" w:color="auto" w:fill="FFFFFF" w:themeFill="background1"/>
        <w:spacing w:line="257" w:lineRule="auto"/>
        <w:ind w:left="-20" w:right="-20"/>
        <w:rPr>
          <w:rFonts w:eastAsia="Calibri" w:cstheme="minorHAnsi"/>
          <w:sz w:val="20"/>
          <w:szCs w:val="20"/>
        </w:rPr>
      </w:pPr>
    </w:p>
    <w:p w14:paraId="4E1FE644" w14:textId="77777777" w:rsidR="00CA277A" w:rsidRDefault="00CA277A" w:rsidP="00D063DF">
      <w:pPr>
        <w:shd w:val="clear" w:color="auto" w:fill="FFFFFF" w:themeFill="background1"/>
        <w:spacing w:line="257" w:lineRule="auto"/>
        <w:ind w:left="-20" w:right="-20"/>
        <w:rPr>
          <w:rFonts w:eastAsia="Calibri" w:cstheme="minorHAnsi"/>
          <w:sz w:val="20"/>
          <w:szCs w:val="20"/>
        </w:rPr>
      </w:pPr>
    </w:p>
    <w:p w14:paraId="5DB308B3" w14:textId="77777777" w:rsidR="00CA277A" w:rsidRDefault="00CA277A" w:rsidP="00D063DF">
      <w:pPr>
        <w:shd w:val="clear" w:color="auto" w:fill="FFFFFF" w:themeFill="background1"/>
        <w:spacing w:line="257" w:lineRule="auto"/>
        <w:ind w:left="-20" w:right="-20"/>
        <w:rPr>
          <w:rFonts w:eastAsia="Calibri" w:cstheme="minorHAnsi"/>
          <w:sz w:val="20"/>
          <w:szCs w:val="20"/>
        </w:rPr>
      </w:pPr>
    </w:p>
    <w:p w14:paraId="137ECFFA" w14:textId="77777777" w:rsidR="00CA277A" w:rsidRDefault="00CA277A" w:rsidP="00D063DF">
      <w:pPr>
        <w:shd w:val="clear" w:color="auto" w:fill="FFFFFF" w:themeFill="background1"/>
        <w:spacing w:line="257" w:lineRule="auto"/>
        <w:ind w:left="-20" w:right="-20"/>
        <w:rPr>
          <w:rFonts w:eastAsia="Calibri" w:cstheme="minorHAnsi"/>
          <w:sz w:val="20"/>
          <w:szCs w:val="20"/>
        </w:rPr>
      </w:pPr>
    </w:p>
    <w:p w14:paraId="4F35A428" w14:textId="77777777" w:rsidR="00CA277A" w:rsidRDefault="00CA277A" w:rsidP="00D063DF">
      <w:pPr>
        <w:shd w:val="clear" w:color="auto" w:fill="FFFFFF" w:themeFill="background1"/>
        <w:spacing w:line="257" w:lineRule="auto"/>
        <w:ind w:left="-20" w:right="-20"/>
        <w:rPr>
          <w:rFonts w:eastAsia="Calibri" w:cstheme="minorHAnsi"/>
          <w:sz w:val="20"/>
          <w:szCs w:val="20"/>
        </w:rPr>
      </w:pPr>
    </w:p>
    <w:p w14:paraId="65DECE0B" w14:textId="77777777" w:rsidR="00CA277A" w:rsidRDefault="00CA277A" w:rsidP="00D063DF">
      <w:pPr>
        <w:shd w:val="clear" w:color="auto" w:fill="FFFFFF" w:themeFill="background1"/>
        <w:spacing w:line="257" w:lineRule="auto"/>
        <w:ind w:left="-20" w:right="-20"/>
        <w:rPr>
          <w:rFonts w:eastAsia="Calibri" w:cstheme="minorHAnsi"/>
          <w:sz w:val="20"/>
          <w:szCs w:val="20"/>
        </w:rPr>
      </w:pPr>
    </w:p>
    <w:p w14:paraId="4738EBE6" w14:textId="77777777" w:rsidR="00CA277A" w:rsidRDefault="00CA277A" w:rsidP="00D063DF">
      <w:pPr>
        <w:shd w:val="clear" w:color="auto" w:fill="FFFFFF" w:themeFill="background1"/>
        <w:spacing w:line="257" w:lineRule="auto"/>
        <w:ind w:left="-20" w:right="-20"/>
        <w:rPr>
          <w:rFonts w:eastAsia="Calibri" w:cstheme="minorHAnsi"/>
          <w:sz w:val="20"/>
          <w:szCs w:val="20"/>
        </w:rPr>
      </w:pPr>
    </w:p>
    <w:p w14:paraId="47C40163" w14:textId="77777777" w:rsidR="00CA277A" w:rsidRDefault="00CA277A" w:rsidP="00D063DF">
      <w:pPr>
        <w:shd w:val="clear" w:color="auto" w:fill="FFFFFF" w:themeFill="background1"/>
        <w:spacing w:line="257" w:lineRule="auto"/>
        <w:ind w:left="-20" w:right="-20"/>
        <w:rPr>
          <w:rFonts w:eastAsia="Calibri" w:cstheme="minorHAnsi"/>
          <w:sz w:val="20"/>
          <w:szCs w:val="20"/>
        </w:rPr>
      </w:pPr>
    </w:p>
    <w:p w14:paraId="5FD2AA1B" w14:textId="77777777" w:rsidR="00CA277A" w:rsidRDefault="00CA277A" w:rsidP="00D063DF">
      <w:pPr>
        <w:shd w:val="clear" w:color="auto" w:fill="FFFFFF" w:themeFill="background1"/>
        <w:spacing w:line="257" w:lineRule="auto"/>
        <w:ind w:left="-20" w:right="-20"/>
        <w:rPr>
          <w:rFonts w:eastAsia="Calibri" w:cstheme="minorHAnsi"/>
          <w:sz w:val="20"/>
          <w:szCs w:val="20"/>
        </w:rPr>
      </w:pPr>
    </w:p>
    <w:p w14:paraId="0E91C190" w14:textId="77777777" w:rsidR="00CA277A" w:rsidRDefault="00CA277A" w:rsidP="00D063DF">
      <w:pPr>
        <w:shd w:val="clear" w:color="auto" w:fill="FFFFFF" w:themeFill="background1"/>
        <w:spacing w:line="257" w:lineRule="auto"/>
        <w:ind w:left="-20" w:right="-20"/>
        <w:rPr>
          <w:rFonts w:eastAsia="Calibri" w:cstheme="minorHAnsi"/>
          <w:sz w:val="20"/>
          <w:szCs w:val="20"/>
        </w:rPr>
      </w:pPr>
    </w:p>
    <w:p w14:paraId="19529CD5" w14:textId="77777777" w:rsidR="00CA277A" w:rsidRDefault="00CA277A" w:rsidP="00D063DF">
      <w:pPr>
        <w:shd w:val="clear" w:color="auto" w:fill="FFFFFF" w:themeFill="background1"/>
        <w:spacing w:line="257" w:lineRule="auto"/>
        <w:ind w:left="-20" w:right="-20"/>
        <w:rPr>
          <w:rFonts w:eastAsia="Calibri" w:cstheme="minorHAnsi"/>
          <w:sz w:val="20"/>
          <w:szCs w:val="20"/>
        </w:rPr>
      </w:pPr>
    </w:p>
    <w:p w14:paraId="5DDC79D9" w14:textId="77777777" w:rsidR="00CA277A" w:rsidRDefault="00CA277A" w:rsidP="00D063DF">
      <w:pPr>
        <w:shd w:val="clear" w:color="auto" w:fill="FFFFFF" w:themeFill="background1"/>
        <w:spacing w:line="257" w:lineRule="auto"/>
        <w:ind w:left="-20" w:right="-20"/>
        <w:rPr>
          <w:rFonts w:eastAsia="Calibri" w:cstheme="minorHAnsi"/>
          <w:sz w:val="20"/>
          <w:szCs w:val="20"/>
        </w:rPr>
      </w:pPr>
    </w:p>
    <w:p w14:paraId="78195BB8" w14:textId="77777777" w:rsidR="00CA277A" w:rsidRDefault="00CA277A" w:rsidP="00D063DF">
      <w:pPr>
        <w:shd w:val="clear" w:color="auto" w:fill="FFFFFF" w:themeFill="background1"/>
        <w:spacing w:line="257" w:lineRule="auto"/>
        <w:ind w:left="-20" w:right="-20"/>
        <w:rPr>
          <w:rFonts w:eastAsia="Calibri" w:cstheme="minorHAnsi"/>
          <w:sz w:val="20"/>
          <w:szCs w:val="20"/>
        </w:rPr>
      </w:pPr>
    </w:p>
    <w:p w14:paraId="65261597" w14:textId="77777777" w:rsidR="00CA277A" w:rsidRPr="0043215C" w:rsidRDefault="00CA277A" w:rsidP="00D063DF">
      <w:pPr>
        <w:shd w:val="clear" w:color="auto" w:fill="FFFFFF" w:themeFill="background1"/>
        <w:spacing w:line="257" w:lineRule="auto"/>
        <w:ind w:left="-20" w:right="-20"/>
        <w:rPr>
          <w:rFonts w:cstheme="minorHAnsi"/>
          <w:sz w:val="20"/>
          <w:szCs w:val="20"/>
        </w:rPr>
      </w:pPr>
    </w:p>
    <w:p w14:paraId="3E58CDDD" w14:textId="17F8BC4D" w:rsidR="008E28F3" w:rsidRPr="00CA277A" w:rsidRDefault="00D063DF" w:rsidP="00CA277A">
      <w:pPr>
        <w:pStyle w:val="Caption"/>
        <w:keepNext/>
        <w:rPr>
          <w:rFonts w:eastAsia="Calibri" w:cstheme="minorHAnsi"/>
          <w:sz w:val="20"/>
          <w:szCs w:val="20"/>
        </w:rPr>
      </w:pPr>
      <w:r w:rsidRPr="0043215C">
        <w:rPr>
          <w:rFonts w:cstheme="minorHAnsi"/>
          <w:sz w:val="20"/>
          <w:szCs w:val="20"/>
        </w:rPr>
        <w:lastRenderedPageBreak/>
        <w:t xml:space="preserve">Table </w:t>
      </w:r>
      <w:r w:rsidR="00520ABD" w:rsidRPr="0043215C">
        <w:rPr>
          <w:rFonts w:cstheme="minorHAnsi"/>
          <w:sz w:val="20"/>
          <w:szCs w:val="20"/>
        </w:rPr>
        <w:t>8</w:t>
      </w:r>
      <w:r w:rsidRPr="0043215C">
        <w:rPr>
          <w:rFonts w:cstheme="minorHAnsi"/>
          <w:sz w:val="20"/>
          <w:szCs w:val="20"/>
        </w:rPr>
        <w:t>:</w:t>
      </w:r>
      <w:r w:rsidRPr="0043215C">
        <w:rPr>
          <w:rFonts w:eastAsia="Calibri" w:cstheme="minorHAnsi"/>
          <w:sz w:val="20"/>
          <w:szCs w:val="20"/>
        </w:rPr>
        <w:t xml:space="preserve"> CTF-</w:t>
      </w:r>
      <w:r w:rsidR="007252B7" w:rsidRPr="0043215C">
        <w:rPr>
          <w:rFonts w:eastAsia="Calibri" w:cstheme="minorHAnsi"/>
          <w:sz w:val="20"/>
          <w:szCs w:val="20"/>
        </w:rPr>
        <w:t>MDB</w:t>
      </w:r>
      <w:r w:rsidRPr="0043215C">
        <w:rPr>
          <w:rFonts w:eastAsia="Calibri" w:cstheme="minorHAnsi"/>
          <w:sz w:val="20"/>
          <w:szCs w:val="20"/>
        </w:rPr>
        <w:t xml:space="preserve"> Co-Financing in </w:t>
      </w:r>
      <w:r w:rsidR="00B56874" w:rsidRPr="0043215C">
        <w:rPr>
          <w:rFonts w:eastAsia="Calibri" w:cstheme="minorHAnsi"/>
          <w:sz w:val="20"/>
          <w:szCs w:val="20"/>
        </w:rPr>
        <w:t>Türkiye</w:t>
      </w:r>
      <w:r w:rsidR="00903389" w:rsidRPr="0043215C">
        <w:rPr>
          <w:rFonts w:eastAsia="Calibri" w:cstheme="minorHAnsi"/>
          <w:sz w:val="20"/>
          <w:szCs w:val="20"/>
        </w:rPr>
        <w:t xml:space="preserve"> (in </w:t>
      </w:r>
      <w:r w:rsidR="00636124" w:rsidRPr="0043215C">
        <w:rPr>
          <w:rFonts w:eastAsia="Calibri" w:cstheme="minorHAnsi"/>
          <w:sz w:val="20"/>
          <w:szCs w:val="20"/>
        </w:rPr>
        <w:t>US$</w:t>
      </w:r>
      <w:r w:rsidR="00903389" w:rsidRPr="0043215C">
        <w:rPr>
          <w:rFonts w:eastAsia="Calibri" w:cstheme="minorHAnsi"/>
          <w:sz w:val="20"/>
          <w:szCs w:val="20"/>
        </w:rPr>
        <w:t xml:space="preserve"> millions)</w:t>
      </w:r>
    </w:p>
    <w:tbl>
      <w:tblPr>
        <w:tblW w:w="95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585"/>
        <w:gridCol w:w="1620"/>
        <w:gridCol w:w="1620"/>
        <w:gridCol w:w="1710"/>
      </w:tblGrid>
      <w:tr w:rsidR="009E0E2E" w:rsidRPr="0043215C" w14:paraId="346F0399" w14:textId="77777777" w:rsidTr="00CA277A">
        <w:trPr>
          <w:trHeight w:val="414"/>
          <w:tblHeader/>
        </w:trPr>
        <w:tc>
          <w:tcPr>
            <w:tcW w:w="4585" w:type="dxa"/>
            <w:shd w:val="clear" w:color="auto" w:fill="D9E1F2"/>
            <w:noWrap/>
            <w:vAlign w:val="center"/>
            <w:hideMark/>
          </w:tcPr>
          <w:p w14:paraId="0B89E10D" w14:textId="77777777" w:rsidR="009E0E2E" w:rsidRPr="0043215C" w:rsidRDefault="009E0E2E" w:rsidP="009E0E2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 </w:t>
            </w:r>
          </w:p>
        </w:tc>
        <w:tc>
          <w:tcPr>
            <w:tcW w:w="1620" w:type="dxa"/>
            <w:shd w:val="clear" w:color="auto" w:fill="D9E1F2"/>
            <w:noWrap/>
            <w:vAlign w:val="center"/>
            <w:hideMark/>
          </w:tcPr>
          <w:p w14:paraId="438B6333" w14:textId="574EC340" w:rsidR="009E0E2E" w:rsidRPr="0043215C" w:rsidRDefault="00581511" w:rsidP="009E0E2E">
            <w:pPr>
              <w:spacing w:after="0" w:line="240" w:lineRule="auto"/>
              <w:jc w:val="center"/>
              <w:rPr>
                <w:rFonts w:eastAsia="Times New Roman" w:cstheme="minorHAnsi"/>
                <w:b/>
                <w:bCs/>
                <w:color w:val="000000"/>
                <w:sz w:val="20"/>
                <w:szCs w:val="20"/>
              </w:rPr>
            </w:pPr>
            <w:r w:rsidRPr="0043215C">
              <w:rPr>
                <w:rFonts w:eastAsia="Times New Roman" w:cstheme="minorHAnsi"/>
                <w:b/>
                <w:bCs/>
                <w:color w:val="000000"/>
                <w:sz w:val="20"/>
                <w:szCs w:val="20"/>
              </w:rPr>
              <w:t>MDB</w:t>
            </w:r>
          </w:p>
        </w:tc>
        <w:tc>
          <w:tcPr>
            <w:tcW w:w="1620" w:type="dxa"/>
            <w:shd w:val="clear" w:color="auto" w:fill="D9E1F2"/>
            <w:noWrap/>
            <w:vAlign w:val="center"/>
            <w:hideMark/>
          </w:tcPr>
          <w:p w14:paraId="55696D33" w14:textId="220380B6" w:rsidR="009E0E2E" w:rsidRPr="0043215C" w:rsidRDefault="009E0E2E" w:rsidP="009E0E2E">
            <w:pPr>
              <w:spacing w:after="0" w:line="240" w:lineRule="auto"/>
              <w:jc w:val="center"/>
              <w:rPr>
                <w:rFonts w:eastAsia="Times New Roman" w:cstheme="minorHAnsi"/>
                <w:b/>
                <w:bCs/>
                <w:color w:val="000000"/>
                <w:sz w:val="20"/>
                <w:szCs w:val="20"/>
              </w:rPr>
            </w:pPr>
            <w:r w:rsidRPr="0043215C">
              <w:rPr>
                <w:rFonts w:eastAsia="Times New Roman" w:cstheme="minorHAnsi"/>
                <w:b/>
                <w:bCs/>
                <w:color w:val="000000"/>
                <w:sz w:val="20"/>
                <w:szCs w:val="20"/>
              </w:rPr>
              <w:t>CTF</w:t>
            </w:r>
          </w:p>
        </w:tc>
        <w:tc>
          <w:tcPr>
            <w:tcW w:w="1710" w:type="dxa"/>
            <w:shd w:val="clear" w:color="auto" w:fill="D9E1F2"/>
            <w:noWrap/>
            <w:vAlign w:val="center"/>
            <w:hideMark/>
          </w:tcPr>
          <w:p w14:paraId="488F16EB" w14:textId="77777777" w:rsidR="009E0E2E" w:rsidRPr="0043215C" w:rsidRDefault="009E0E2E" w:rsidP="009E0E2E">
            <w:pPr>
              <w:spacing w:after="0" w:line="240" w:lineRule="auto"/>
              <w:jc w:val="center"/>
              <w:rPr>
                <w:rFonts w:eastAsia="Times New Roman" w:cstheme="minorHAnsi"/>
                <w:b/>
                <w:bCs/>
                <w:color w:val="000000"/>
                <w:sz w:val="20"/>
                <w:szCs w:val="20"/>
              </w:rPr>
            </w:pPr>
            <w:r w:rsidRPr="0043215C">
              <w:rPr>
                <w:rFonts w:eastAsia="Times New Roman" w:cstheme="minorHAnsi"/>
                <w:b/>
                <w:bCs/>
                <w:color w:val="000000"/>
                <w:sz w:val="20"/>
                <w:szCs w:val="20"/>
              </w:rPr>
              <w:t>Total</w:t>
            </w:r>
          </w:p>
        </w:tc>
      </w:tr>
      <w:tr w:rsidR="008E28F3" w:rsidRPr="0043215C" w14:paraId="69C61553" w14:textId="77777777" w:rsidTr="00CA277A">
        <w:trPr>
          <w:trHeight w:val="282"/>
        </w:trPr>
        <w:tc>
          <w:tcPr>
            <w:tcW w:w="9535" w:type="dxa"/>
            <w:gridSpan w:val="4"/>
            <w:shd w:val="clear" w:color="auto" w:fill="auto"/>
            <w:vAlign w:val="center"/>
          </w:tcPr>
          <w:p w14:paraId="66A1D71B" w14:textId="420D0942" w:rsidR="008E28F3" w:rsidRPr="0043215C" w:rsidRDefault="008E28F3" w:rsidP="00DC568D">
            <w:pPr>
              <w:spacing w:after="0" w:line="240" w:lineRule="auto"/>
              <w:jc w:val="center"/>
              <w:rPr>
                <w:rFonts w:eastAsia="Times New Roman" w:cstheme="minorHAnsi"/>
                <w:color w:val="000000"/>
                <w:sz w:val="20"/>
                <w:szCs w:val="20"/>
              </w:rPr>
            </w:pPr>
            <w:r w:rsidRPr="0043215C">
              <w:rPr>
                <w:rFonts w:eastAsia="Times New Roman" w:cstheme="minorHAnsi"/>
                <w:b/>
                <w:bCs/>
                <w:color w:val="000000"/>
                <w:sz w:val="20"/>
                <w:szCs w:val="20"/>
              </w:rPr>
              <w:t>World Bank</w:t>
            </w:r>
          </w:p>
        </w:tc>
      </w:tr>
      <w:tr w:rsidR="005F1452" w:rsidRPr="0043215C" w14:paraId="2E222F80" w14:textId="77777777" w:rsidTr="008E28F3">
        <w:trPr>
          <w:trHeight w:val="540"/>
        </w:trPr>
        <w:tc>
          <w:tcPr>
            <w:tcW w:w="4585" w:type="dxa"/>
            <w:shd w:val="clear" w:color="auto" w:fill="auto"/>
            <w:vAlign w:val="center"/>
            <w:hideMark/>
          </w:tcPr>
          <w:p w14:paraId="21E9D056" w14:textId="77777777" w:rsidR="009E0E2E" w:rsidRPr="0043215C" w:rsidRDefault="009E0E2E" w:rsidP="00C20B9E">
            <w:pPr>
              <w:spacing w:after="0" w:line="240" w:lineRule="auto"/>
              <w:ind w:left="288"/>
              <w:jc w:val="left"/>
              <w:rPr>
                <w:rFonts w:eastAsia="Times New Roman" w:cstheme="minorHAnsi"/>
                <w:color w:val="000000"/>
                <w:sz w:val="20"/>
                <w:szCs w:val="20"/>
              </w:rPr>
            </w:pPr>
            <w:r w:rsidRPr="0043215C">
              <w:rPr>
                <w:rFonts w:eastAsia="Times New Roman" w:cstheme="minorHAnsi"/>
                <w:color w:val="000000"/>
                <w:sz w:val="20"/>
                <w:szCs w:val="20"/>
              </w:rPr>
              <w:t xml:space="preserve">Renewable Energy Integration Project (P144534)- on-going </w:t>
            </w:r>
          </w:p>
        </w:tc>
        <w:tc>
          <w:tcPr>
            <w:tcW w:w="1620" w:type="dxa"/>
            <w:shd w:val="clear" w:color="auto" w:fill="auto"/>
            <w:noWrap/>
            <w:vAlign w:val="center"/>
            <w:hideMark/>
          </w:tcPr>
          <w:p w14:paraId="21EA3F39" w14:textId="4EE1F53B" w:rsidR="009E0E2E" w:rsidRPr="0043215C" w:rsidRDefault="009E0E2E" w:rsidP="00DC568D">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625</w:t>
            </w:r>
          </w:p>
        </w:tc>
        <w:tc>
          <w:tcPr>
            <w:tcW w:w="1620" w:type="dxa"/>
            <w:shd w:val="clear" w:color="auto" w:fill="auto"/>
            <w:noWrap/>
            <w:vAlign w:val="center"/>
            <w:hideMark/>
          </w:tcPr>
          <w:p w14:paraId="3288283A" w14:textId="40BB8139" w:rsidR="009E0E2E" w:rsidRPr="0043215C" w:rsidRDefault="009E0E2E" w:rsidP="00DC568D">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50</w:t>
            </w:r>
          </w:p>
        </w:tc>
        <w:tc>
          <w:tcPr>
            <w:tcW w:w="1710" w:type="dxa"/>
            <w:shd w:val="clear" w:color="auto" w:fill="auto"/>
            <w:noWrap/>
            <w:vAlign w:val="center"/>
            <w:hideMark/>
          </w:tcPr>
          <w:p w14:paraId="2C7C0D97" w14:textId="74594849" w:rsidR="009E0E2E" w:rsidRPr="0043215C" w:rsidRDefault="009E0E2E" w:rsidP="00DC568D">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675</w:t>
            </w:r>
          </w:p>
        </w:tc>
      </w:tr>
      <w:tr w:rsidR="005F1452" w:rsidRPr="0043215C" w14:paraId="1DE04FED" w14:textId="77777777" w:rsidTr="008E28F3">
        <w:trPr>
          <w:trHeight w:val="563"/>
        </w:trPr>
        <w:tc>
          <w:tcPr>
            <w:tcW w:w="4585" w:type="dxa"/>
            <w:shd w:val="clear" w:color="auto" w:fill="auto"/>
            <w:vAlign w:val="center"/>
            <w:hideMark/>
          </w:tcPr>
          <w:p w14:paraId="7AD63F2C" w14:textId="77777777" w:rsidR="00796E45" w:rsidRPr="0043215C" w:rsidRDefault="009E0E2E" w:rsidP="00C20B9E">
            <w:pPr>
              <w:spacing w:after="0" w:line="240" w:lineRule="auto"/>
              <w:ind w:left="288"/>
              <w:jc w:val="left"/>
              <w:rPr>
                <w:rFonts w:eastAsia="Times New Roman" w:cstheme="minorHAnsi"/>
                <w:color w:val="000000"/>
                <w:sz w:val="20"/>
                <w:szCs w:val="20"/>
              </w:rPr>
            </w:pPr>
            <w:r w:rsidRPr="0043215C">
              <w:rPr>
                <w:rFonts w:eastAsia="Times New Roman" w:cstheme="minorHAnsi"/>
                <w:color w:val="000000"/>
                <w:sz w:val="20"/>
                <w:szCs w:val="20"/>
              </w:rPr>
              <w:t>Renewable Energy Integration Technical Assistance Project</w:t>
            </w:r>
          </w:p>
          <w:p w14:paraId="70850C93" w14:textId="6B1F28FB" w:rsidR="009E0E2E" w:rsidRPr="0043215C" w:rsidRDefault="009E0E2E" w:rsidP="00C20B9E">
            <w:pPr>
              <w:spacing w:after="0" w:line="240" w:lineRule="auto"/>
              <w:ind w:left="288"/>
              <w:jc w:val="left"/>
              <w:rPr>
                <w:rFonts w:eastAsia="Times New Roman" w:cstheme="minorHAnsi"/>
                <w:color w:val="000000"/>
                <w:sz w:val="20"/>
                <w:szCs w:val="20"/>
              </w:rPr>
            </w:pPr>
            <w:r w:rsidRPr="0043215C">
              <w:rPr>
                <w:rFonts w:eastAsia="Times New Roman" w:cstheme="minorHAnsi"/>
                <w:color w:val="000000"/>
                <w:sz w:val="20"/>
                <w:szCs w:val="20"/>
              </w:rPr>
              <w:t xml:space="preserve"> (P155510)</w:t>
            </w:r>
            <w:r w:rsidR="005F1452" w:rsidRPr="0043215C">
              <w:rPr>
                <w:rFonts w:eastAsia="Times New Roman" w:cstheme="minorHAnsi"/>
                <w:color w:val="000000"/>
                <w:sz w:val="20"/>
                <w:szCs w:val="20"/>
              </w:rPr>
              <w:t>-</w:t>
            </w:r>
            <w:r w:rsidRPr="0043215C">
              <w:rPr>
                <w:rFonts w:eastAsia="Times New Roman" w:cstheme="minorHAnsi"/>
                <w:color w:val="000000"/>
                <w:sz w:val="20"/>
                <w:szCs w:val="20"/>
              </w:rPr>
              <w:t xml:space="preserve"> closed </w:t>
            </w:r>
          </w:p>
        </w:tc>
        <w:tc>
          <w:tcPr>
            <w:tcW w:w="1620" w:type="dxa"/>
            <w:shd w:val="clear" w:color="auto" w:fill="auto"/>
            <w:noWrap/>
            <w:vAlign w:val="center"/>
            <w:hideMark/>
          </w:tcPr>
          <w:p w14:paraId="3B4063C1" w14:textId="20371DE5" w:rsidR="009E0E2E" w:rsidRPr="0043215C" w:rsidRDefault="009E0E2E" w:rsidP="00DC568D">
            <w:pPr>
              <w:spacing w:after="0" w:line="240" w:lineRule="auto"/>
              <w:jc w:val="center"/>
              <w:rPr>
                <w:rFonts w:eastAsia="Times New Roman" w:cstheme="minorHAnsi"/>
                <w:color w:val="000000"/>
                <w:sz w:val="20"/>
                <w:szCs w:val="20"/>
              </w:rPr>
            </w:pPr>
          </w:p>
        </w:tc>
        <w:tc>
          <w:tcPr>
            <w:tcW w:w="1620" w:type="dxa"/>
            <w:shd w:val="clear" w:color="auto" w:fill="auto"/>
            <w:noWrap/>
            <w:vAlign w:val="center"/>
            <w:hideMark/>
          </w:tcPr>
          <w:p w14:paraId="303FC2CC" w14:textId="0D3A76AA" w:rsidR="009E0E2E" w:rsidRPr="0043215C" w:rsidRDefault="009E0E2E" w:rsidP="00DC568D">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 xml:space="preserve">1 </w:t>
            </w:r>
          </w:p>
        </w:tc>
        <w:tc>
          <w:tcPr>
            <w:tcW w:w="1710" w:type="dxa"/>
            <w:shd w:val="clear" w:color="auto" w:fill="auto"/>
            <w:noWrap/>
            <w:vAlign w:val="center"/>
            <w:hideMark/>
          </w:tcPr>
          <w:p w14:paraId="1920E43A" w14:textId="7D8299F4" w:rsidR="009E0E2E" w:rsidRPr="0043215C" w:rsidRDefault="009E0E2E" w:rsidP="00DC568D">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1</w:t>
            </w:r>
          </w:p>
        </w:tc>
      </w:tr>
      <w:tr w:rsidR="005F1452" w:rsidRPr="0043215C" w14:paraId="6740A96C" w14:textId="77777777" w:rsidTr="008E28F3">
        <w:trPr>
          <w:trHeight w:val="685"/>
        </w:trPr>
        <w:tc>
          <w:tcPr>
            <w:tcW w:w="4585" w:type="dxa"/>
            <w:shd w:val="clear" w:color="auto" w:fill="auto"/>
            <w:vAlign w:val="center"/>
            <w:hideMark/>
          </w:tcPr>
          <w:p w14:paraId="781B2203" w14:textId="77777777" w:rsidR="00796E45" w:rsidRPr="0043215C" w:rsidRDefault="009E0E2E" w:rsidP="00C20B9E">
            <w:pPr>
              <w:spacing w:after="0" w:line="240" w:lineRule="auto"/>
              <w:ind w:left="288"/>
              <w:jc w:val="left"/>
              <w:rPr>
                <w:rFonts w:eastAsia="Times New Roman" w:cstheme="minorHAnsi"/>
                <w:color w:val="000000"/>
                <w:sz w:val="20"/>
                <w:szCs w:val="20"/>
              </w:rPr>
            </w:pPr>
            <w:r w:rsidRPr="0043215C">
              <w:rPr>
                <w:rFonts w:eastAsia="Times New Roman" w:cstheme="minorHAnsi"/>
                <w:color w:val="000000"/>
                <w:sz w:val="20"/>
                <w:szCs w:val="20"/>
              </w:rPr>
              <w:t xml:space="preserve">Private Sector EE and RE </w:t>
            </w:r>
          </w:p>
          <w:p w14:paraId="4166FC2F" w14:textId="25740671" w:rsidR="009E0E2E" w:rsidRPr="0043215C" w:rsidRDefault="009E0E2E" w:rsidP="00C20B9E">
            <w:pPr>
              <w:spacing w:after="0" w:line="240" w:lineRule="auto"/>
              <w:ind w:left="288"/>
              <w:jc w:val="left"/>
              <w:rPr>
                <w:rFonts w:eastAsia="Times New Roman" w:cstheme="minorHAnsi"/>
                <w:color w:val="000000"/>
                <w:sz w:val="20"/>
                <w:szCs w:val="20"/>
              </w:rPr>
            </w:pPr>
            <w:r w:rsidRPr="0043215C">
              <w:rPr>
                <w:rFonts w:eastAsia="Times New Roman" w:cstheme="minorHAnsi"/>
                <w:color w:val="000000"/>
                <w:sz w:val="20"/>
                <w:szCs w:val="20"/>
              </w:rPr>
              <w:t>(P124898)</w:t>
            </w:r>
            <w:r w:rsidR="005F1452" w:rsidRPr="0043215C">
              <w:rPr>
                <w:rFonts w:eastAsia="Times New Roman" w:cstheme="minorHAnsi"/>
                <w:color w:val="000000"/>
                <w:sz w:val="20"/>
                <w:szCs w:val="20"/>
              </w:rPr>
              <w:t>-</w:t>
            </w:r>
            <w:r w:rsidRPr="0043215C">
              <w:rPr>
                <w:rFonts w:eastAsia="Times New Roman" w:cstheme="minorHAnsi"/>
                <w:color w:val="000000"/>
                <w:sz w:val="20"/>
                <w:szCs w:val="20"/>
              </w:rPr>
              <w:t xml:space="preserve"> closed </w:t>
            </w:r>
          </w:p>
        </w:tc>
        <w:tc>
          <w:tcPr>
            <w:tcW w:w="1620" w:type="dxa"/>
            <w:shd w:val="clear" w:color="auto" w:fill="auto"/>
            <w:noWrap/>
            <w:vAlign w:val="center"/>
            <w:hideMark/>
          </w:tcPr>
          <w:p w14:paraId="26E55CAF" w14:textId="1B6BC143" w:rsidR="009E0E2E" w:rsidRPr="0043215C" w:rsidRDefault="009E0E2E"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1</w:t>
            </w:r>
            <w:r w:rsidR="00C20B9E" w:rsidRPr="0043215C">
              <w:rPr>
                <w:rFonts w:eastAsia="Times New Roman" w:cstheme="minorHAnsi"/>
                <w:color w:val="000000"/>
                <w:sz w:val="20"/>
                <w:szCs w:val="20"/>
              </w:rPr>
              <w:t>,00</w:t>
            </w:r>
            <w:r w:rsidR="00894EBB" w:rsidRPr="0043215C">
              <w:rPr>
                <w:rFonts w:eastAsia="Times New Roman" w:cstheme="minorHAnsi"/>
                <w:color w:val="000000"/>
                <w:sz w:val="20"/>
                <w:szCs w:val="20"/>
              </w:rPr>
              <w:t>0</w:t>
            </w:r>
          </w:p>
        </w:tc>
        <w:tc>
          <w:tcPr>
            <w:tcW w:w="1620" w:type="dxa"/>
            <w:shd w:val="clear" w:color="auto" w:fill="auto"/>
            <w:noWrap/>
            <w:vAlign w:val="center"/>
            <w:hideMark/>
          </w:tcPr>
          <w:p w14:paraId="48217599" w14:textId="16591596" w:rsidR="009E0E2E" w:rsidRPr="0043215C" w:rsidRDefault="009E0E2E"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100</w:t>
            </w:r>
          </w:p>
        </w:tc>
        <w:tc>
          <w:tcPr>
            <w:tcW w:w="1710" w:type="dxa"/>
            <w:shd w:val="clear" w:color="auto" w:fill="auto"/>
            <w:noWrap/>
            <w:vAlign w:val="center"/>
            <w:hideMark/>
          </w:tcPr>
          <w:p w14:paraId="46A9481F" w14:textId="729DDD5A" w:rsidR="009E0E2E" w:rsidRPr="0043215C" w:rsidRDefault="009E0E2E"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1</w:t>
            </w:r>
            <w:r w:rsidR="00C20B9E" w:rsidRPr="0043215C">
              <w:rPr>
                <w:rFonts w:eastAsia="Times New Roman" w:cstheme="minorHAnsi"/>
                <w:color w:val="000000"/>
                <w:sz w:val="20"/>
                <w:szCs w:val="20"/>
              </w:rPr>
              <w:t>,100</w:t>
            </w:r>
          </w:p>
        </w:tc>
      </w:tr>
      <w:tr w:rsidR="005F1452" w:rsidRPr="0043215C" w14:paraId="60FBDA2C" w14:textId="77777777" w:rsidTr="008E28F3">
        <w:trPr>
          <w:trHeight w:val="518"/>
        </w:trPr>
        <w:tc>
          <w:tcPr>
            <w:tcW w:w="4585" w:type="dxa"/>
            <w:shd w:val="clear" w:color="auto" w:fill="auto"/>
            <w:vAlign w:val="center"/>
            <w:hideMark/>
          </w:tcPr>
          <w:p w14:paraId="36B07E1C" w14:textId="415C2A27" w:rsidR="009E0E2E" w:rsidRPr="0043215C" w:rsidRDefault="009E0E2E" w:rsidP="00C20B9E">
            <w:pPr>
              <w:spacing w:after="0" w:line="240" w:lineRule="auto"/>
              <w:ind w:left="288"/>
              <w:jc w:val="left"/>
              <w:rPr>
                <w:rFonts w:eastAsia="Times New Roman" w:cstheme="minorHAnsi"/>
                <w:color w:val="000000"/>
                <w:sz w:val="20"/>
                <w:szCs w:val="20"/>
              </w:rPr>
            </w:pPr>
            <w:r w:rsidRPr="0043215C">
              <w:rPr>
                <w:rFonts w:eastAsia="Times New Roman" w:cstheme="minorHAnsi"/>
                <w:color w:val="000000"/>
                <w:sz w:val="20"/>
                <w:szCs w:val="20"/>
              </w:rPr>
              <w:t>Energy Efficiency in Public Buildings Project</w:t>
            </w:r>
            <w:r w:rsidR="008673D2">
              <w:rPr>
                <w:rFonts w:eastAsia="Times New Roman" w:cstheme="minorHAnsi"/>
                <w:color w:val="000000"/>
                <w:sz w:val="20"/>
                <w:szCs w:val="20"/>
              </w:rPr>
              <w:t>s- 1 and 2</w:t>
            </w:r>
            <w:r w:rsidRPr="0043215C">
              <w:rPr>
                <w:rFonts w:eastAsia="Times New Roman" w:cstheme="minorHAnsi"/>
                <w:color w:val="000000"/>
                <w:sz w:val="20"/>
                <w:szCs w:val="20"/>
              </w:rPr>
              <w:t xml:space="preserve"> (P162762)</w:t>
            </w:r>
            <w:r w:rsidR="005F1452" w:rsidRPr="0043215C">
              <w:rPr>
                <w:rFonts w:eastAsia="Times New Roman" w:cstheme="minorHAnsi"/>
                <w:color w:val="000000"/>
                <w:sz w:val="20"/>
                <w:szCs w:val="20"/>
              </w:rPr>
              <w:t>-</w:t>
            </w:r>
            <w:r w:rsidRPr="0043215C">
              <w:rPr>
                <w:rFonts w:eastAsia="Times New Roman" w:cstheme="minorHAnsi"/>
                <w:color w:val="000000"/>
                <w:sz w:val="20"/>
                <w:szCs w:val="20"/>
              </w:rPr>
              <w:t xml:space="preserve"> on-going</w:t>
            </w:r>
          </w:p>
        </w:tc>
        <w:tc>
          <w:tcPr>
            <w:tcW w:w="1620" w:type="dxa"/>
            <w:shd w:val="clear" w:color="auto" w:fill="auto"/>
            <w:noWrap/>
            <w:vAlign w:val="center"/>
            <w:hideMark/>
          </w:tcPr>
          <w:p w14:paraId="2BE2C4E6" w14:textId="2DB693A4" w:rsidR="009E0E2E" w:rsidRPr="0043215C" w:rsidRDefault="008673D2" w:rsidP="004D213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450</w:t>
            </w:r>
          </w:p>
        </w:tc>
        <w:tc>
          <w:tcPr>
            <w:tcW w:w="1620" w:type="dxa"/>
            <w:shd w:val="clear" w:color="auto" w:fill="auto"/>
            <w:noWrap/>
            <w:vAlign w:val="center"/>
            <w:hideMark/>
          </w:tcPr>
          <w:p w14:paraId="35A88565" w14:textId="4D6090C0" w:rsidR="009E0E2E" w:rsidRPr="0043215C" w:rsidRDefault="009E0E2E"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50</w:t>
            </w:r>
          </w:p>
        </w:tc>
        <w:tc>
          <w:tcPr>
            <w:tcW w:w="1710" w:type="dxa"/>
            <w:shd w:val="clear" w:color="auto" w:fill="auto"/>
            <w:noWrap/>
            <w:vAlign w:val="center"/>
            <w:hideMark/>
          </w:tcPr>
          <w:p w14:paraId="1D12455E" w14:textId="0C9DED1F" w:rsidR="009E0E2E" w:rsidRPr="0043215C" w:rsidRDefault="009E0E2E"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200</w:t>
            </w:r>
          </w:p>
        </w:tc>
      </w:tr>
      <w:tr w:rsidR="005F1452" w:rsidRPr="0043215C" w14:paraId="216D49B1" w14:textId="77777777" w:rsidTr="008E28F3">
        <w:trPr>
          <w:trHeight w:val="600"/>
        </w:trPr>
        <w:tc>
          <w:tcPr>
            <w:tcW w:w="4585" w:type="dxa"/>
            <w:shd w:val="clear" w:color="auto" w:fill="auto"/>
            <w:vAlign w:val="center"/>
            <w:hideMark/>
          </w:tcPr>
          <w:p w14:paraId="4DAFBEB9" w14:textId="77777777" w:rsidR="005F1452" w:rsidRPr="0043215C" w:rsidRDefault="009E0E2E" w:rsidP="00C20B9E">
            <w:pPr>
              <w:spacing w:after="0" w:line="240" w:lineRule="auto"/>
              <w:ind w:left="288"/>
              <w:jc w:val="left"/>
              <w:rPr>
                <w:rFonts w:eastAsia="Times New Roman" w:cstheme="minorHAnsi"/>
                <w:color w:val="000000"/>
                <w:sz w:val="20"/>
                <w:szCs w:val="20"/>
              </w:rPr>
            </w:pPr>
            <w:r w:rsidRPr="0043215C">
              <w:rPr>
                <w:rFonts w:eastAsia="Times New Roman" w:cstheme="minorHAnsi"/>
                <w:color w:val="000000"/>
                <w:sz w:val="20"/>
                <w:szCs w:val="20"/>
              </w:rPr>
              <w:t>Geothermal Development Project</w:t>
            </w:r>
          </w:p>
          <w:p w14:paraId="38EDBE93" w14:textId="69E9E980" w:rsidR="009E0E2E" w:rsidRPr="0043215C" w:rsidRDefault="009E0E2E" w:rsidP="00C20B9E">
            <w:pPr>
              <w:spacing w:after="0" w:line="240" w:lineRule="auto"/>
              <w:ind w:left="288"/>
              <w:jc w:val="left"/>
              <w:rPr>
                <w:rFonts w:eastAsia="Times New Roman" w:cstheme="minorHAnsi"/>
                <w:color w:val="000000"/>
                <w:sz w:val="20"/>
                <w:szCs w:val="20"/>
              </w:rPr>
            </w:pPr>
            <w:r w:rsidRPr="0043215C">
              <w:rPr>
                <w:rFonts w:eastAsia="Times New Roman" w:cstheme="minorHAnsi"/>
                <w:color w:val="000000"/>
                <w:sz w:val="20"/>
                <w:szCs w:val="20"/>
              </w:rPr>
              <w:t xml:space="preserve"> (P151739)- on-going </w:t>
            </w:r>
          </w:p>
        </w:tc>
        <w:tc>
          <w:tcPr>
            <w:tcW w:w="1620" w:type="dxa"/>
            <w:shd w:val="clear" w:color="auto" w:fill="auto"/>
            <w:noWrap/>
            <w:vAlign w:val="center"/>
            <w:hideMark/>
          </w:tcPr>
          <w:p w14:paraId="13B4D928" w14:textId="219E69CC" w:rsidR="009E0E2E" w:rsidRPr="0043215C" w:rsidRDefault="009E0E2E"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550</w:t>
            </w:r>
          </w:p>
        </w:tc>
        <w:tc>
          <w:tcPr>
            <w:tcW w:w="1620" w:type="dxa"/>
            <w:shd w:val="clear" w:color="auto" w:fill="auto"/>
            <w:noWrap/>
            <w:vAlign w:val="center"/>
            <w:hideMark/>
          </w:tcPr>
          <w:p w14:paraId="1BFB9F83" w14:textId="554D7F0A" w:rsidR="009E0E2E" w:rsidRPr="0043215C" w:rsidRDefault="009E0E2E"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39.8</w:t>
            </w:r>
          </w:p>
        </w:tc>
        <w:tc>
          <w:tcPr>
            <w:tcW w:w="1710" w:type="dxa"/>
            <w:shd w:val="clear" w:color="auto" w:fill="auto"/>
            <w:noWrap/>
            <w:vAlign w:val="center"/>
            <w:hideMark/>
          </w:tcPr>
          <w:p w14:paraId="1F231F1C" w14:textId="52890E21" w:rsidR="009E0E2E" w:rsidRPr="0043215C" w:rsidRDefault="009E0E2E"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589.8</w:t>
            </w:r>
          </w:p>
        </w:tc>
      </w:tr>
      <w:tr w:rsidR="005F1452" w:rsidRPr="0043215C" w14:paraId="54CE9434" w14:textId="77777777" w:rsidTr="008E28F3">
        <w:trPr>
          <w:trHeight w:val="600"/>
        </w:trPr>
        <w:tc>
          <w:tcPr>
            <w:tcW w:w="4585" w:type="dxa"/>
            <w:shd w:val="clear" w:color="auto" w:fill="auto"/>
            <w:vAlign w:val="center"/>
            <w:hideMark/>
          </w:tcPr>
          <w:p w14:paraId="78B0E0F1" w14:textId="77777777" w:rsidR="009E0E2E" w:rsidRPr="0043215C" w:rsidRDefault="009E0E2E" w:rsidP="00C20B9E">
            <w:pPr>
              <w:spacing w:after="0" w:line="240" w:lineRule="auto"/>
              <w:ind w:left="288"/>
              <w:jc w:val="left"/>
              <w:rPr>
                <w:rFonts w:eastAsia="Times New Roman" w:cstheme="minorHAnsi"/>
                <w:color w:val="000000"/>
                <w:sz w:val="20"/>
                <w:szCs w:val="20"/>
              </w:rPr>
            </w:pPr>
            <w:r w:rsidRPr="0043215C">
              <w:rPr>
                <w:rFonts w:eastAsia="Times New Roman" w:cstheme="minorHAnsi"/>
                <w:color w:val="000000"/>
                <w:sz w:val="20"/>
                <w:szCs w:val="20"/>
              </w:rPr>
              <w:t xml:space="preserve">Accelerating the Market Transition for Distributed Energy </w:t>
            </w:r>
            <w:proofErr w:type="spellStart"/>
            <w:r w:rsidRPr="0043215C">
              <w:rPr>
                <w:rFonts w:eastAsia="Times New Roman" w:cstheme="minorHAnsi"/>
                <w:color w:val="000000"/>
                <w:sz w:val="20"/>
                <w:szCs w:val="20"/>
              </w:rPr>
              <w:t>PfR</w:t>
            </w:r>
            <w:proofErr w:type="spellEnd"/>
            <w:r w:rsidRPr="0043215C">
              <w:rPr>
                <w:rFonts w:eastAsia="Times New Roman" w:cstheme="minorHAnsi"/>
                <w:color w:val="000000"/>
                <w:sz w:val="20"/>
                <w:szCs w:val="20"/>
              </w:rPr>
              <w:t xml:space="preserve">  </w:t>
            </w:r>
          </w:p>
        </w:tc>
        <w:tc>
          <w:tcPr>
            <w:tcW w:w="1620" w:type="dxa"/>
            <w:shd w:val="clear" w:color="auto" w:fill="auto"/>
            <w:noWrap/>
            <w:vAlign w:val="center"/>
            <w:hideMark/>
          </w:tcPr>
          <w:p w14:paraId="34B26EFE" w14:textId="1013D4A8" w:rsidR="009E0E2E" w:rsidRPr="0043215C" w:rsidRDefault="009E0E2E"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664.4</w:t>
            </w:r>
          </w:p>
        </w:tc>
        <w:tc>
          <w:tcPr>
            <w:tcW w:w="1620" w:type="dxa"/>
            <w:shd w:val="clear" w:color="auto" w:fill="auto"/>
            <w:noWrap/>
            <w:vAlign w:val="center"/>
            <w:hideMark/>
          </w:tcPr>
          <w:p w14:paraId="3C58E06A" w14:textId="742907E0" w:rsidR="009E0E2E" w:rsidRPr="0043215C" w:rsidRDefault="009E0E2E"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30</w:t>
            </w:r>
          </w:p>
        </w:tc>
        <w:tc>
          <w:tcPr>
            <w:tcW w:w="1710" w:type="dxa"/>
            <w:shd w:val="clear" w:color="auto" w:fill="auto"/>
            <w:noWrap/>
            <w:vAlign w:val="center"/>
            <w:hideMark/>
          </w:tcPr>
          <w:p w14:paraId="38A609B1" w14:textId="190F8ADC" w:rsidR="009E0E2E" w:rsidRPr="0043215C" w:rsidRDefault="009E0E2E"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694.4</w:t>
            </w:r>
          </w:p>
        </w:tc>
      </w:tr>
      <w:tr w:rsidR="005F1452" w:rsidRPr="0043215C" w14:paraId="1A22367B" w14:textId="77777777" w:rsidTr="008E28F3">
        <w:trPr>
          <w:trHeight w:val="285"/>
        </w:trPr>
        <w:tc>
          <w:tcPr>
            <w:tcW w:w="4585" w:type="dxa"/>
            <w:shd w:val="clear" w:color="auto" w:fill="FFF2CC" w:themeFill="accent4" w:themeFillTint="33"/>
            <w:noWrap/>
            <w:vAlign w:val="center"/>
            <w:hideMark/>
          </w:tcPr>
          <w:p w14:paraId="141884FB" w14:textId="03A547A5" w:rsidR="009E0E2E" w:rsidRPr="0043215C" w:rsidRDefault="0091623C" w:rsidP="009E0E2E">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Sub-Total</w:t>
            </w:r>
            <w:r w:rsidR="00152F6D" w:rsidRPr="0043215C">
              <w:rPr>
                <w:rFonts w:eastAsia="Times New Roman" w:cstheme="minorHAnsi"/>
                <w:color w:val="000000"/>
                <w:sz w:val="20"/>
                <w:szCs w:val="20"/>
              </w:rPr>
              <w:t>: World Bank</w:t>
            </w:r>
          </w:p>
        </w:tc>
        <w:tc>
          <w:tcPr>
            <w:tcW w:w="1620" w:type="dxa"/>
            <w:shd w:val="clear" w:color="auto" w:fill="FFF2CC" w:themeFill="accent4" w:themeFillTint="33"/>
            <w:noWrap/>
            <w:vAlign w:val="center"/>
            <w:hideMark/>
          </w:tcPr>
          <w:p w14:paraId="0BB24EDA" w14:textId="67F46167" w:rsidR="009E0E2E" w:rsidRPr="0043215C" w:rsidRDefault="008673D2" w:rsidP="004D213E">
            <w:pPr>
              <w:spacing w:after="0" w:line="240" w:lineRule="auto"/>
              <w:jc w:val="center"/>
              <w:rPr>
                <w:rFonts w:eastAsia="Times New Roman" w:cstheme="minorHAnsi"/>
                <w:color w:val="000000"/>
                <w:sz w:val="20"/>
                <w:szCs w:val="20"/>
              </w:rPr>
            </w:pPr>
            <w:r>
              <w:rPr>
                <w:rFonts w:eastAsia="Times New Roman" w:cstheme="minorHAnsi"/>
                <w:color w:val="000000"/>
                <w:sz w:val="20"/>
                <w:szCs w:val="20"/>
              </w:rPr>
              <w:t>3289</w:t>
            </w:r>
            <w:r w:rsidR="005D6FB0" w:rsidRPr="0043215C">
              <w:rPr>
                <w:rFonts w:eastAsia="Times New Roman" w:cstheme="minorHAnsi"/>
                <w:color w:val="000000"/>
                <w:sz w:val="20"/>
                <w:szCs w:val="20"/>
              </w:rPr>
              <w:t>.4</w:t>
            </w:r>
          </w:p>
        </w:tc>
        <w:tc>
          <w:tcPr>
            <w:tcW w:w="1620" w:type="dxa"/>
            <w:shd w:val="clear" w:color="auto" w:fill="FFF2CC" w:themeFill="accent4" w:themeFillTint="33"/>
            <w:noWrap/>
            <w:vAlign w:val="center"/>
            <w:hideMark/>
          </w:tcPr>
          <w:p w14:paraId="5287C77A" w14:textId="61F907E2" w:rsidR="009E0E2E" w:rsidRPr="0043215C" w:rsidRDefault="009E0E2E"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270.8</w:t>
            </w:r>
          </w:p>
        </w:tc>
        <w:tc>
          <w:tcPr>
            <w:tcW w:w="1710" w:type="dxa"/>
            <w:shd w:val="clear" w:color="auto" w:fill="FFF2CC" w:themeFill="accent4" w:themeFillTint="33"/>
            <w:noWrap/>
            <w:vAlign w:val="center"/>
            <w:hideMark/>
          </w:tcPr>
          <w:p w14:paraId="3DFC7BB2" w14:textId="29B058E5" w:rsidR="009E0E2E" w:rsidRPr="0043215C" w:rsidRDefault="009E0E2E"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3,260.2</w:t>
            </w:r>
          </w:p>
        </w:tc>
      </w:tr>
      <w:tr w:rsidR="008E28F3" w:rsidRPr="0043215C" w14:paraId="1760C88F" w14:textId="77777777" w:rsidTr="00CA277A">
        <w:trPr>
          <w:trHeight w:val="336"/>
        </w:trPr>
        <w:tc>
          <w:tcPr>
            <w:tcW w:w="9535" w:type="dxa"/>
            <w:gridSpan w:val="4"/>
            <w:shd w:val="clear" w:color="auto" w:fill="auto"/>
            <w:vAlign w:val="center"/>
          </w:tcPr>
          <w:p w14:paraId="0E48BBFE" w14:textId="50201C57" w:rsidR="008E28F3" w:rsidRPr="0043215C" w:rsidRDefault="008E28F3" w:rsidP="004D213E">
            <w:pPr>
              <w:spacing w:after="0" w:line="240" w:lineRule="auto"/>
              <w:jc w:val="center"/>
              <w:rPr>
                <w:rFonts w:eastAsia="Times New Roman" w:cstheme="minorHAnsi"/>
                <w:color w:val="000000"/>
                <w:sz w:val="20"/>
                <w:szCs w:val="20"/>
              </w:rPr>
            </w:pPr>
            <w:r w:rsidRPr="0043215C">
              <w:rPr>
                <w:rFonts w:eastAsia="Times New Roman" w:cstheme="minorHAnsi"/>
                <w:b/>
                <w:bCs/>
                <w:color w:val="000000"/>
                <w:sz w:val="20"/>
                <w:szCs w:val="20"/>
              </w:rPr>
              <w:t>IFC</w:t>
            </w:r>
          </w:p>
        </w:tc>
      </w:tr>
      <w:tr w:rsidR="002A0A9E" w:rsidRPr="0043215C" w14:paraId="48A5A400" w14:textId="77777777" w:rsidTr="008E28F3">
        <w:trPr>
          <w:trHeight w:val="518"/>
        </w:trPr>
        <w:tc>
          <w:tcPr>
            <w:tcW w:w="4585" w:type="dxa"/>
            <w:shd w:val="clear" w:color="auto" w:fill="auto"/>
            <w:vAlign w:val="center"/>
          </w:tcPr>
          <w:p w14:paraId="3A4C4C5B" w14:textId="24C8DD4D" w:rsidR="002A0A9E" w:rsidRPr="0043215C" w:rsidRDefault="002A0A9E" w:rsidP="002A0A9E">
            <w:pPr>
              <w:spacing w:after="0" w:line="240" w:lineRule="auto"/>
              <w:ind w:left="288"/>
              <w:jc w:val="left"/>
              <w:rPr>
                <w:rFonts w:eastAsia="Times New Roman" w:cstheme="minorHAnsi"/>
                <w:color w:val="000000"/>
                <w:sz w:val="20"/>
                <w:szCs w:val="20"/>
              </w:rPr>
            </w:pPr>
            <w:r w:rsidRPr="0043215C">
              <w:rPr>
                <w:rFonts w:eastAsia="Times New Roman" w:cstheme="minorHAnsi"/>
                <w:color w:val="000000"/>
                <w:sz w:val="20"/>
                <w:szCs w:val="20"/>
              </w:rPr>
              <w:t xml:space="preserve">Commercializing Sustainable Energy Finance </w:t>
            </w:r>
          </w:p>
        </w:tc>
        <w:tc>
          <w:tcPr>
            <w:tcW w:w="1620" w:type="dxa"/>
            <w:shd w:val="clear" w:color="auto" w:fill="auto"/>
            <w:noWrap/>
            <w:vAlign w:val="center"/>
          </w:tcPr>
          <w:p w14:paraId="1C1A0B90" w14:textId="651E5B27" w:rsidR="002A0A9E" w:rsidRPr="0043215C" w:rsidRDefault="002A0A9E"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101.8</w:t>
            </w:r>
          </w:p>
        </w:tc>
        <w:tc>
          <w:tcPr>
            <w:tcW w:w="1620" w:type="dxa"/>
            <w:shd w:val="clear" w:color="auto" w:fill="auto"/>
            <w:noWrap/>
            <w:vAlign w:val="center"/>
          </w:tcPr>
          <w:p w14:paraId="2E3A583F" w14:textId="71113360" w:rsidR="002A0A9E" w:rsidRPr="0043215C" w:rsidRDefault="002A0A9E"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20.5</w:t>
            </w:r>
          </w:p>
        </w:tc>
        <w:tc>
          <w:tcPr>
            <w:tcW w:w="1710" w:type="dxa"/>
            <w:shd w:val="clear" w:color="auto" w:fill="auto"/>
            <w:noWrap/>
            <w:vAlign w:val="center"/>
          </w:tcPr>
          <w:p w14:paraId="0F5846ED" w14:textId="26E2B9B5" w:rsidR="002A0A9E" w:rsidRPr="0043215C" w:rsidRDefault="002A0A9E"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122.3</w:t>
            </w:r>
          </w:p>
        </w:tc>
      </w:tr>
      <w:tr w:rsidR="00D2548F" w:rsidRPr="0043215C" w14:paraId="00998A82" w14:textId="77777777" w:rsidTr="008E28F3">
        <w:trPr>
          <w:trHeight w:val="600"/>
        </w:trPr>
        <w:tc>
          <w:tcPr>
            <w:tcW w:w="4585" w:type="dxa"/>
            <w:shd w:val="clear" w:color="auto" w:fill="auto"/>
            <w:vAlign w:val="center"/>
          </w:tcPr>
          <w:p w14:paraId="26E7A9CE" w14:textId="1F3354D3" w:rsidR="00D2548F" w:rsidRPr="0043215C" w:rsidRDefault="00D2548F" w:rsidP="002A0A9E">
            <w:pPr>
              <w:spacing w:after="0" w:line="240" w:lineRule="auto"/>
              <w:ind w:left="288"/>
              <w:jc w:val="left"/>
              <w:rPr>
                <w:rFonts w:eastAsia="Times New Roman" w:cstheme="minorHAnsi"/>
                <w:color w:val="000000"/>
                <w:sz w:val="20"/>
                <w:szCs w:val="20"/>
              </w:rPr>
            </w:pPr>
            <w:r w:rsidRPr="0043215C">
              <w:rPr>
                <w:rFonts w:eastAsia="Times New Roman" w:cstheme="minorHAnsi"/>
                <w:color w:val="000000"/>
                <w:sz w:val="20"/>
                <w:szCs w:val="20"/>
              </w:rPr>
              <w:t xml:space="preserve">Commercializing Sustainable Energy Finance Program </w:t>
            </w:r>
            <w:r w:rsidR="00322F47" w:rsidRPr="0043215C">
              <w:rPr>
                <w:rFonts w:eastAsia="Times New Roman" w:cstheme="minorHAnsi"/>
                <w:color w:val="000000"/>
                <w:sz w:val="20"/>
                <w:szCs w:val="20"/>
              </w:rPr>
              <w:t xml:space="preserve">Phase </w:t>
            </w:r>
            <w:r w:rsidRPr="0043215C">
              <w:rPr>
                <w:rFonts w:eastAsia="Times New Roman" w:cstheme="minorHAnsi"/>
                <w:color w:val="000000"/>
                <w:sz w:val="20"/>
                <w:szCs w:val="20"/>
              </w:rPr>
              <w:t>II</w:t>
            </w:r>
            <w:r w:rsidRPr="0043215C">
              <w:rPr>
                <w:rFonts w:eastAsia="Times New Roman" w:cstheme="minorHAnsi"/>
                <w:color w:val="000000"/>
                <w:sz w:val="20"/>
                <w:szCs w:val="20"/>
              </w:rPr>
              <w:tab/>
            </w:r>
          </w:p>
        </w:tc>
        <w:tc>
          <w:tcPr>
            <w:tcW w:w="1620" w:type="dxa"/>
            <w:shd w:val="clear" w:color="auto" w:fill="auto"/>
            <w:noWrap/>
            <w:vAlign w:val="center"/>
          </w:tcPr>
          <w:p w14:paraId="2069FB23" w14:textId="77777777" w:rsidR="00D2548F" w:rsidRPr="0043215C" w:rsidRDefault="00D2548F"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66.8</w:t>
            </w:r>
          </w:p>
        </w:tc>
        <w:tc>
          <w:tcPr>
            <w:tcW w:w="1620" w:type="dxa"/>
            <w:shd w:val="clear" w:color="auto" w:fill="auto"/>
            <w:noWrap/>
            <w:vAlign w:val="center"/>
          </w:tcPr>
          <w:p w14:paraId="1CD42324" w14:textId="77777777" w:rsidR="00D2548F" w:rsidRPr="0043215C" w:rsidRDefault="00D2548F"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34.7</w:t>
            </w:r>
          </w:p>
        </w:tc>
        <w:tc>
          <w:tcPr>
            <w:tcW w:w="1710" w:type="dxa"/>
            <w:shd w:val="clear" w:color="auto" w:fill="auto"/>
            <w:noWrap/>
            <w:vAlign w:val="center"/>
          </w:tcPr>
          <w:p w14:paraId="1154E31D" w14:textId="77777777" w:rsidR="00D2548F" w:rsidRPr="0043215C" w:rsidRDefault="00D2548F"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101.5</w:t>
            </w:r>
          </w:p>
        </w:tc>
      </w:tr>
      <w:tr w:rsidR="002A0A9E" w:rsidRPr="0043215C" w14:paraId="3C0582AE" w14:textId="77777777" w:rsidTr="008E28F3">
        <w:trPr>
          <w:trHeight w:val="285"/>
        </w:trPr>
        <w:tc>
          <w:tcPr>
            <w:tcW w:w="4585" w:type="dxa"/>
            <w:shd w:val="clear" w:color="auto" w:fill="FFF2CC" w:themeFill="accent4" w:themeFillTint="33"/>
            <w:noWrap/>
            <w:vAlign w:val="center"/>
          </w:tcPr>
          <w:p w14:paraId="4318D1DA" w14:textId="02019146" w:rsidR="002A0A9E" w:rsidRPr="0043215C" w:rsidRDefault="002A0A9E" w:rsidP="002A0A9E">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Sub-Total: IFC</w:t>
            </w:r>
          </w:p>
        </w:tc>
        <w:tc>
          <w:tcPr>
            <w:tcW w:w="1620" w:type="dxa"/>
            <w:shd w:val="clear" w:color="auto" w:fill="FFF2CC" w:themeFill="accent4" w:themeFillTint="33"/>
            <w:noWrap/>
            <w:vAlign w:val="center"/>
          </w:tcPr>
          <w:p w14:paraId="2A377FAC" w14:textId="6FCBA75C" w:rsidR="002A0A9E" w:rsidRPr="0043215C" w:rsidRDefault="002A0A9E"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168.6</w:t>
            </w:r>
          </w:p>
        </w:tc>
        <w:tc>
          <w:tcPr>
            <w:tcW w:w="1620" w:type="dxa"/>
            <w:shd w:val="clear" w:color="auto" w:fill="FFF2CC" w:themeFill="accent4" w:themeFillTint="33"/>
            <w:noWrap/>
            <w:vAlign w:val="center"/>
          </w:tcPr>
          <w:p w14:paraId="2E29BD68" w14:textId="09C03FBF" w:rsidR="002A0A9E" w:rsidRPr="0043215C" w:rsidRDefault="002A0A9E"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55.2</w:t>
            </w:r>
          </w:p>
        </w:tc>
        <w:tc>
          <w:tcPr>
            <w:tcW w:w="1710" w:type="dxa"/>
            <w:shd w:val="clear" w:color="auto" w:fill="FFF2CC" w:themeFill="accent4" w:themeFillTint="33"/>
            <w:noWrap/>
            <w:vAlign w:val="center"/>
          </w:tcPr>
          <w:p w14:paraId="1254030B" w14:textId="625B5865" w:rsidR="002A0A9E" w:rsidRPr="0043215C" w:rsidRDefault="00EE70B1"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223</w:t>
            </w:r>
            <w:r w:rsidR="002A0A9E" w:rsidRPr="0043215C">
              <w:rPr>
                <w:rFonts w:eastAsia="Times New Roman" w:cstheme="minorHAnsi"/>
                <w:color w:val="000000"/>
                <w:sz w:val="20"/>
                <w:szCs w:val="20"/>
              </w:rPr>
              <w:t>.8</w:t>
            </w:r>
          </w:p>
        </w:tc>
      </w:tr>
      <w:tr w:rsidR="008E28F3" w:rsidRPr="0043215C" w14:paraId="40AFF0B0" w14:textId="77777777" w:rsidTr="00CA277A">
        <w:trPr>
          <w:trHeight w:val="327"/>
        </w:trPr>
        <w:tc>
          <w:tcPr>
            <w:tcW w:w="9535" w:type="dxa"/>
            <w:gridSpan w:val="4"/>
            <w:shd w:val="clear" w:color="auto" w:fill="auto"/>
            <w:vAlign w:val="center"/>
          </w:tcPr>
          <w:p w14:paraId="016CA984" w14:textId="65A749C7" w:rsidR="008E28F3" w:rsidRPr="0043215C" w:rsidRDefault="008E28F3" w:rsidP="004D213E">
            <w:pPr>
              <w:spacing w:after="0" w:line="240" w:lineRule="auto"/>
              <w:jc w:val="center"/>
              <w:rPr>
                <w:rFonts w:eastAsia="Times New Roman" w:cstheme="minorHAnsi"/>
                <w:color w:val="000000"/>
                <w:sz w:val="20"/>
                <w:szCs w:val="20"/>
              </w:rPr>
            </w:pPr>
            <w:r w:rsidRPr="0043215C">
              <w:rPr>
                <w:rFonts w:eastAsia="Times New Roman" w:cstheme="minorHAnsi"/>
                <w:b/>
                <w:bCs/>
                <w:color w:val="000000"/>
                <w:sz w:val="20"/>
                <w:szCs w:val="20"/>
              </w:rPr>
              <w:t>EBRD</w:t>
            </w:r>
          </w:p>
        </w:tc>
      </w:tr>
      <w:tr w:rsidR="00815CD6" w:rsidRPr="0043215C" w14:paraId="390E28A3" w14:textId="77777777" w:rsidTr="008E28F3">
        <w:trPr>
          <w:trHeight w:val="563"/>
        </w:trPr>
        <w:tc>
          <w:tcPr>
            <w:tcW w:w="4585" w:type="dxa"/>
            <w:shd w:val="clear" w:color="auto" w:fill="auto"/>
            <w:vAlign w:val="center"/>
          </w:tcPr>
          <w:p w14:paraId="38B17192" w14:textId="10AF5DFA" w:rsidR="00815CD6" w:rsidRPr="0043215C" w:rsidRDefault="00815CD6" w:rsidP="00815CD6">
            <w:pPr>
              <w:spacing w:after="0" w:line="240" w:lineRule="auto"/>
              <w:ind w:left="288"/>
              <w:jc w:val="left"/>
              <w:rPr>
                <w:rFonts w:eastAsia="Times New Roman" w:cstheme="minorHAnsi"/>
                <w:color w:val="000000"/>
                <w:sz w:val="20"/>
                <w:szCs w:val="20"/>
              </w:rPr>
            </w:pPr>
            <w:r w:rsidRPr="0043215C">
              <w:rPr>
                <w:rFonts w:cstheme="minorHAnsi"/>
                <w:color w:val="262626" w:themeColor="text1" w:themeTint="D9"/>
                <w:sz w:val="20"/>
                <w:szCs w:val="20"/>
                <w:lang w:val="en-GB"/>
              </w:rPr>
              <w:t>Türkiye Sustainable Energy Financing Facility (</w:t>
            </w:r>
            <w:proofErr w:type="spellStart"/>
            <w:r w:rsidRPr="0043215C">
              <w:rPr>
                <w:rFonts w:cstheme="minorHAnsi"/>
                <w:color w:val="262626" w:themeColor="text1" w:themeTint="D9"/>
                <w:sz w:val="20"/>
                <w:szCs w:val="20"/>
                <w:lang w:val="en-GB"/>
              </w:rPr>
              <w:t>TurSEFF</w:t>
            </w:r>
            <w:proofErr w:type="spellEnd"/>
            <w:r w:rsidRPr="0043215C">
              <w:rPr>
                <w:rFonts w:cstheme="minorHAnsi"/>
                <w:color w:val="262626" w:themeColor="text1" w:themeTint="D9"/>
                <w:sz w:val="20"/>
                <w:szCs w:val="20"/>
                <w:lang w:val="en-GB"/>
              </w:rPr>
              <w:t>) (fully disbursed; implementation ongoing)</w:t>
            </w:r>
          </w:p>
        </w:tc>
        <w:tc>
          <w:tcPr>
            <w:tcW w:w="1620" w:type="dxa"/>
            <w:shd w:val="clear" w:color="auto" w:fill="auto"/>
            <w:noWrap/>
            <w:vAlign w:val="center"/>
          </w:tcPr>
          <w:p w14:paraId="0A5EC6FC" w14:textId="32B4ECB4"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193.0</w:t>
            </w:r>
          </w:p>
        </w:tc>
        <w:tc>
          <w:tcPr>
            <w:tcW w:w="1620" w:type="dxa"/>
            <w:shd w:val="clear" w:color="auto" w:fill="auto"/>
            <w:noWrap/>
            <w:vAlign w:val="center"/>
          </w:tcPr>
          <w:p w14:paraId="710455F6" w14:textId="61E987A9"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46.7</w:t>
            </w:r>
          </w:p>
        </w:tc>
        <w:tc>
          <w:tcPr>
            <w:tcW w:w="1710" w:type="dxa"/>
            <w:shd w:val="clear" w:color="auto" w:fill="auto"/>
            <w:noWrap/>
            <w:vAlign w:val="center"/>
          </w:tcPr>
          <w:p w14:paraId="4E62A2D8" w14:textId="5706492B"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239.7</w:t>
            </w:r>
          </w:p>
        </w:tc>
      </w:tr>
      <w:tr w:rsidR="00815CD6" w:rsidRPr="0043215C" w14:paraId="3AD73827" w14:textId="77777777" w:rsidTr="008E28F3">
        <w:trPr>
          <w:trHeight w:val="563"/>
        </w:trPr>
        <w:tc>
          <w:tcPr>
            <w:tcW w:w="4585" w:type="dxa"/>
            <w:shd w:val="clear" w:color="auto" w:fill="auto"/>
            <w:vAlign w:val="center"/>
          </w:tcPr>
          <w:p w14:paraId="6F39CBD4" w14:textId="2731CA3E" w:rsidR="00815CD6" w:rsidRPr="0043215C" w:rsidRDefault="00815CD6" w:rsidP="00815CD6">
            <w:pPr>
              <w:spacing w:after="0" w:line="240" w:lineRule="auto"/>
              <w:ind w:left="288"/>
              <w:jc w:val="left"/>
              <w:rPr>
                <w:rFonts w:eastAsia="Times New Roman" w:cstheme="minorHAnsi"/>
                <w:color w:val="000000"/>
                <w:sz w:val="20"/>
                <w:szCs w:val="20"/>
              </w:rPr>
            </w:pPr>
            <w:r w:rsidRPr="0043215C">
              <w:rPr>
                <w:rFonts w:cstheme="minorHAnsi"/>
                <w:color w:val="262626" w:themeColor="text1" w:themeTint="D9"/>
                <w:sz w:val="20"/>
                <w:szCs w:val="20"/>
                <w:lang w:val="en-GB"/>
              </w:rPr>
              <w:t>Türkiye Residential Energy Efficiency Finance Facility (</w:t>
            </w:r>
            <w:proofErr w:type="spellStart"/>
            <w:r w:rsidRPr="0043215C">
              <w:rPr>
                <w:rFonts w:cstheme="minorHAnsi"/>
                <w:color w:val="262626" w:themeColor="text1" w:themeTint="D9"/>
                <w:sz w:val="20"/>
                <w:szCs w:val="20"/>
                <w:lang w:val="en-GB"/>
              </w:rPr>
              <w:t>TuREEFF</w:t>
            </w:r>
            <w:proofErr w:type="spellEnd"/>
            <w:r w:rsidRPr="0043215C">
              <w:rPr>
                <w:rFonts w:cstheme="minorHAnsi"/>
                <w:color w:val="262626" w:themeColor="text1" w:themeTint="D9"/>
                <w:sz w:val="20"/>
                <w:szCs w:val="20"/>
                <w:lang w:val="en-GB"/>
              </w:rPr>
              <w:t>) (fully disbursed; implementation ongoing)</w:t>
            </w:r>
          </w:p>
        </w:tc>
        <w:tc>
          <w:tcPr>
            <w:tcW w:w="1620" w:type="dxa"/>
            <w:shd w:val="clear" w:color="auto" w:fill="auto"/>
            <w:noWrap/>
            <w:vAlign w:val="center"/>
          </w:tcPr>
          <w:p w14:paraId="174D8352" w14:textId="3C287B46"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115.0</w:t>
            </w:r>
          </w:p>
        </w:tc>
        <w:tc>
          <w:tcPr>
            <w:tcW w:w="1620" w:type="dxa"/>
            <w:shd w:val="clear" w:color="auto" w:fill="auto"/>
            <w:noWrap/>
            <w:vAlign w:val="center"/>
          </w:tcPr>
          <w:p w14:paraId="13B3ABA5" w14:textId="780E0298"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42.0</w:t>
            </w:r>
          </w:p>
        </w:tc>
        <w:tc>
          <w:tcPr>
            <w:tcW w:w="1710" w:type="dxa"/>
            <w:shd w:val="clear" w:color="auto" w:fill="auto"/>
            <w:noWrap/>
            <w:vAlign w:val="center"/>
          </w:tcPr>
          <w:p w14:paraId="6ECC9E06" w14:textId="4C867D13"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157.0</w:t>
            </w:r>
          </w:p>
        </w:tc>
      </w:tr>
      <w:tr w:rsidR="00815CD6" w:rsidRPr="0043215C" w14:paraId="6A27EA5C" w14:textId="77777777" w:rsidTr="008E28F3">
        <w:trPr>
          <w:trHeight w:val="563"/>
        </w:trPr>
        <w:tc>
          <w:tcPr>
            <w:tcW w:w="4585" w:type="dxa"/>
            <w:shd w:val="clear" w:color="auto" w:fill="auto"/>
            <w:vAlign w:val="center"/>
          </w:tcPr>
          <w:p w14:paraId="6D920044" w14:textId="5E79257B" w:rsidR="00815CD6" w:rsidRPr="0043215C" w:rsidRDefault="00815CD6" w:rsidP="00815CD6">
            <w:pPr>
              <w:spacing w:after="0" w:line="240" w:lineRule="auto"/>
              <w:ind w:left="288"/>
              <w:jc w:val="left"/>
              <w:rPr>
                <w:rFonts w:eastAsia="Times New Roman" w:cstheme="minorHAnsi"/>
                <w:color w:val="000000"/>
                <w:sz w:val="20"/>
                <w:szCs w:val="20"/>
              </w:rPr>
            </w:pPr>
            <w:r w:rsidRPr="0043215C">
              <w:rPr>
                <w:rFonts w:cstheme="minorHAnsi"/>
                <w:color w:val="262626" w:themeColor="text1" w:themeTint="D9"/>
                <w:sz w:val="20"/>
                <w:szCs w:val="20"/>
                <w:lang w:val="en-GB"/>
              </w:rPr>
              <w:t>Near Zero Waste (NØW) Programme (fully disbursed; implementation ongoing)</w:t>
            </w:r>
          </w:p>
        </w:tc>
        <w:tc>
          <w:tcPr>
            <w:tcW w:w="1620" w:type="dxa"/>
            <w:shd w:val="clear" w:color="auto" w:fill="auto"/>
            <w:noWrap/>
            <w:vAlign w:val="center"/>
          </w:tcPr>
          <w:p w14:paraId="15211137" w14:textId="689FC8E1"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156.1</w:t>
            </w:r>
          </w:p>
        </w:tc>
        <w:tc>
          <w:tcPr>
            <w:tcW w:w="1620" w:type="dxa"/>
            <w:shd w:val="clear" w:color="auto" w:fill="auto"/>
            <w:noWrap/>
            <w:vAlign w:val="center"/>
          </w:tcPr>
          <w:p w14:paraId="309E1CA9" w14:textId="54EA60D7"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12.1</w:t>
            </w:r>
          </w:p>
        </w:tc>
        <w:tc>
          <w:tcPr>
            <w:tcW w:w="1710" w:type="dxa"/>
            <w:shd w:val="clear" w:color="auto" w:fill="auto"/>
            <w:noWrap/>
            <w:vAlign w:val="center"/>
          </w:tcPr>
          <w:p w14:paraId="3CBE4348" w14:textId="3E91F0AC"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168.3</w:t>
            </w:r>
          </w:p>
        </w:tc>
      </w:tr>
      <w:tr w:rsidR="00815CD6" w:rsidRPr="0043215C" w14:paraId="105691DA" w14:textId="77777777" w:rsidTr="008E28F3">
        <w:trPr>
          <w:trHeight w:val="563"/>
        </w:trPr>
        <w:tc>
          <w:tcPr>
            <w:tcW w:w="4585" w:type="dxa"/>
            <w:shd w:val="clear" w:color="auto" w:fill="auto"/>
            <w:vAlign w:val="center"/>
          </w:tcPr>
          <w:p w14:paraId="1856B706" w14:textId="7FCAC4C8" w:rsidR="00815CD6" w:rsidRPr="0043215C" w:rsidRDefault="00815CD6" w:rsidP="00815CD6">
            <w:pPr>
              <w:spacing w:after="0" w:line="240" w:lineRule="auto"/>
              <w:ind w:left="288"/>
              <w:jc w:val="left"/>
              <w:rPr>
                <w:rFonts w:eastAsia="Times New Roman" w:cstheme="minorHAnsi"/>
                <w:color w:val="000000"/>
                <w:sz w:val="20"/>
                <w:szCs w:val="20"/>
              </w:rPr>
            </w:pPr>
            <w:r w:rsidRPr="0043215C">
              <w:rPr>
                <w:rFonts w:cstheme="minorHAnsi"/>
                <w:color w:val="262626" w:themeColor="text1" w:themeTint="D9"/>
                <w:sz w:val="20"/>
                <w:szCs w:val="20"/>
                <w:lang w:val="en-GB"/>
              </w:rPr>
              <w:t>Türkiye Climate Stars (fully disbursed; implementation ongoing)</w:t>
            </w:r>
          </w:p>
        </w:tc>
        <w:tc>
          <w:tcPr>
            <w:tcW w:w="1620" w:type="dxa"/>
            <w:shd w:val="clear" w:color="auto" w:fill="auto"/>
            <w:noWrap/>
            <w:vAlign w:val="center"/>
          </w:tcPr>
          <w:p w14:paraId="51B80E5C" w14:textId="20EC25BE"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396.6</w:t>
            </w:r>
          </w:p>
        </w:tc>
        <w:tc>
          <w:tcPr>
            <w:tcW w:w="1620" w:type="dxa"/>
            <w:shd w:val="clear" w:color="auto" w:fill="auto"/>
            <w:noWrap/>
            <w:vAlign w:val="center"/>
          </w:tcPr>
          <w:p w14:paraId="1D0BCD92" w14:textId="1E70B1E2"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24.3</w:t>
            </w:r>
          </w:p>
        </w:tc>
        <w:tc>
          <w:tcPr>
            <w:tcW w:w="1710" w:type="dxa"/>
            <w:shd w:val="clear" w:color="auto" w:fill="auto"/>
            <w:noWrap/>
            <w:vAlign w:val="center"/>
          </w:tcPr>
          <w:p w14:paraId="68DA0DF6" w14:textId="6464E5FE"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420.9</w:t>
            </w:r>
          </w:p>
        </w:tc>
      </w:tr>
      <w:tr w:rsidR="00815CD6" w:rsidRPr="0043215C" w14:paraId="2C2A1B11" w14:textId="77777777" w:rsidTr="008E28F3">
        <w:trPr>
          <w:trHeight w:val="563"/>
        </w:trPr>
        <w:tc>
          <w:tcPr>
            <w:tcW w:w="4585" w:type="dxa"/>
            <w:shd w:val="clear" w:color="auto" w:fill="auto"/>
            <w:vAlign w:val="center"/>
          </w:tcPr>
          <w:p w14:paraId="642618DB" w14:textId="0DD838A3" w:rsidR="00815CD6" w:rsidRPr="0043215C" w:rsidRDefault="00815CD6" w:rsidP="00815CD6">
            <w:pPr>
              <w:spacing w:after="0" w:line="240" w:lineRule="auto"/>
              <w:ind w:left="288"/>
              <w:jc w:val="left"/>
              <w:rPr>
                <w:rFonts w:eastAsia="Times New Roman" w:cstheme="minorHAnsi"/>
                <w:color w:val="000000"/>
                <w:sz w:val="20"/>
                <w:szCs w:val="20"/>
              </w:rPr>
            </w:pPr>
            <w:r w:rsidRPr="0043215C">
              <w:rPr>
                <w:rFonts w:cstheme="minorHAnsi"/>
                <w:color w:val="262626" w:themeColor="text1" w:themeTint="D9"/>
                <w:sz w:val="20"/>
                <w:szCs w:val="20"/>
                <w:lang w:val="en-GB"/>
              </w:rPr>
              <w:t>High Climate Impact for the Corporate Sector Programme (1 sub-project in Türkiye approved under this regional programme; implementation ongoing)</w:t>
            </w:r>
          </w:p>
        </w:tc>
        <w:tc>
          <w:tcPr>
            <w:tcW w:w="1620" w:type="dxa"/>
            <w:shd w:val="clear" w:color="auto" w:fill="auto"/>
            <w:noWrap/>
            <w:vAlign w:val="center"/>
          </w:tcPr>
          <w:p w14:paraId="24948066" w14:textId="3B018641"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44.4</w:t>
            </w:r>
          </w:p>
        </w:tc>
        <w:tc>
          <w:tcPr>
            <w:tcW w:w="1620" w:type="dxa"/>
            <w:shd w:val="clear" w:color="auto" w:fill="auto"/>
            <w:noWrap/>
            <w:vAlign w:val="center"/>
          </w:tcPr>
          <w:p w14:paraId="700E7FAD" w14:textId="44883891"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8.1</w:t>
            </w:r>
          </w:p>
        </w:tc>
        <w:tc>
          <w:tcPr>
            <w:tcW w:w="1710" w:type="dxa"/>
            <w:shd w:val="clear" w:color="auto" w:fill="auto"/>
            <w:noWrap/>
            <w:vAlign w:val="center"/>
          </w:tcPr>
          <w:p w14:paraId="7744F9A5" w14:textId="38EEDB0F"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52.5</w:t>
            </w:r>
          </w:p>
        </w:tc>
      </w:tr>
      <w:tr w:rsidR="00815CD6" w:rsidRPr="0043215C" w14:paraId="66C192B3" w14:textId="77777777" w:rsidTr="008E28F3">
        <w:trPr>
          <w:trHeight w:val="563"/>
        </w:trPr>
        <w:tc>
          <w:tcPr>
            <w:tcW w:w="4585" w:type="dxa"/>
            <w:shd w:val="clear" w:color="auto" w:fill="auto"/>
            <w:vAlign w:val="center"/>
          </w:tcPr>
          <w:p w14:paraId="665D12D8" w14:textId="3E5693C2" w:rsidR="00815CD6" w:rsidRPr="0043215C" w:rsidRDefault="00815CD6" w:rsidP="00815CD6">
            <w:pPr>
              <w:spacing w:after="0" w:line="240" w:lineRule="auto"/>
              <w:ind w:left="288"/>
              <w:jc w:val="left"/>
              <w:rPr>
                <w:rFonts w:eastAsia="Times New Roman" w:cstheme="minorHAnsi"/>
                <w:color w:val="000000"/>
                <w:sz w:val="20"/>
                <w:szCs w:val="20"/>
              </w:rPr>
            </w:pPr>
            <w:r w:rsidRPr="0043215C">
              <w:rPr>
                <w:rFonts w:cstheme="minorHAnsi"/>
                <w:color w:val="262626" w:themeColor="text1" w:themeTint="D9"/>
                <w:sz w:val="20"/>
                <w:szCs w:val="20"/>
                <w:lang w:val="en-GB"/>
              </w:rPr>
              <w:t>Türkiye Green Cities Programme (1 sub-project in Türkiye approved under this regional programme; implementation ongoing)</w:t>
            </w:r>
          </w:p>
        </w:tc>
        <w:tc>
          <w:tcPr>
            <w:tcW w:w="1620" w:type="dxa"/>
            <w:shd w:val="clear" w:color="auto" w:fill="auto"/>
            <w:noWrap/>
            <w:vAlign w:val="center"/>
          </w:tcPr>
          <w:p w14:paraId="1BA8E71A" w14:textId="1A6F53FE"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74.9</w:t>
            </w:r>
          </w:p>
        </w:tc>
        <w:tc>
          <w:tcPr>
            <w:tcW w:w="1620" w:type="dxa"/>
            <w:shd w:val="clear" w:color="auto" w:fill="auto"/>
            <w:noWrap/>
            <w:vAlign w:val="center"/>
          </w:tcPr>
          <w:p w14:paraId="39B682DF" w14:textId="3BF5FAEF"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5.4</w:t>
            </w:r>
          </w:p>
        </w:tc>
        <w:tc>
          <w:tcPr>
            <w:tcW w:w="1710" w:type="dxa"/>
            <w:shd w:val="clear" w:color="auto" w:fill="auto"/>
            <w:noWrap/>
            <w:vAlign w:val="center"/>
          </w:tcPr>
          <w:p w14:paraId="29C78838" w14:textId="66A87D7C"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80.3</w:t>
            </w:r>
          </w:p>
        </w:tc>
      </w:tr>
      <w:tr w:rsidR="00815CD6" w:rsidRPr="0043215C" w14:paraId="5665758E" w14:textId="77777777" w:rsidTr="008E28F3">
        <w:trPr>
          <w:trHeight w:val="285"/>
        </w:trPr>
        <w:tc>
          <w:tcPr>
            <w:tcW w:w="4585" w:type="dxa"/>
            <w:shd w:val="clear" w:color="auto" w:fill="FFF2CC" w:themeFill="accent4" w:themeFillTint="33"/>
            <w:noWrap/>
            <w:vAlign w:val="center"/>
          </w:tcPr>
          <w:p w14:paraId="24300307" w14:textId="325C7F97" w:rsidR="00815CD6" w:rsidRPr="0043215C" w:rsidRDefault="00815CD6" w:rsidP="00815CD6">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Sub-Total: EBRD</w:t>
            </w:r>
          </w:p>
        </w:tc>
        <w:tc>
          <w:tcPr>
            <w:tcW w:w="1620" w:type="dxa"/>
            <w:shd w:val="clear" w:color="auto" w:fill="FFF2CC" w:themeFill="accent4" w:themeFillTint="33"/>
            <w:noWrap/>
            <w:vAlign w:val="center"/>
          </w:tcPr>
          <w:p w14:paraId="60F0EE3F" w14:textId="0644CFE5"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980.1</w:t>
            </w:r>
          </w:p>
        </w:tc>
        <w:tc>
          <w:tcPr>
            <w:tcW w:w="1620" w:type="dxa"/>
            <w:shd w:val="clear" w:color="auto" w:fill="FFF2CC" w:themeFill="accent4" w:themeFillTint="33"/>
            <w:noWrap/>
            <w:vAlign w:val="center"/>
          </w:tcPr>
          <w:p w14:paraId="15F0C466" w14:textId="18E825D6"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138.5</w:t>
            </w:r>
          </w:p>
        </w:tc>
        <w:tc>
          <w:tcPr>
            <w:tcW w:w="1710" w:type="dxa"/>
            <w:shd w:val="clear" w:color="auto" w:fill="FFF2CC" w:themeFill="accent4" w:themeFillTint="33"/>
            <w:noWrap/>
            <w:vAlign w:val="center"/>
          </w:tcPr>
          <w:p w14:paraId="50AB4AE8" w14:textId="1D004B93" w:rsidR="00815CD6" w:rsidRPr="0043215C" w:rsidRDefault="00815CD6" w:rsidP="004D213E">
            <w:pPr>
              <w:spacing w:after="0" w:line="240" w:lineRule="auto"/>
              <w:jc w:val="center"/>
              <w:rPr>
                <w:rFonts w:eastAsia="Times New Roman" w:cstheme="minorHAnsi"/>
                <w:color w:val="000000"/>
                <w:sz w:val="20"/>
                <w:szCs w:val="20"/>
              </w:rPr>
            </w:pPr>
            <w:r w:rsidRPr="0043215C">
              <w:rPr>
                <w:rFonts w:eastAsia="Times New Roman" w:cstheme="minorHAnsi"/>
                <w:color w:val="000000"/>
                <w:sz w:val="20"/>
                <w:szCs w:val="20"/>
              </w:rPr>
              <w:t>1,118.6</w:t>
            </w:r>
          </w:p>
        </w:tc>
      </w:tr>
      <w:tr w:rsidR="00815CD6" w:rsidRPr="0043215C" w14:paraId="01C184A2" w14:textId="77777777" w:rsidTr="00CA277A">
        <w:trPr>
          <w:trHeight w:val="345"/>
        </w:trPr>
        <w:tc>
          <w:tcPr>
            <w:tcW w:w="4585" w:type="dxa"/>
            <w:shd w:val="clear" w:color="auto" w:fill="auto"/>
            <w:vAlign w:val="center"/>
          </w:tcPr>
          <w:p w14:paraId="5117BA83" w14:textId="4E09E429" w:rsidR="00815CD6" w:rsidRPr="0043215C" w:rsidRDefault="00815CD6" w:rsidP="00C20B9E">
            <w:pPr>
              <w:spacing w:after="0" w:line="240" w:lineRule="auto"/>
              <w:jc w:val="left"/>
              <w:rPr>
                <w:rFonts w:cstheme="minorHAnsi"/>
                <w:b/>
                <w:bCs/>
                <w:color w:val="262626" w:themeColor="text1" w:themeTint="D9"/>
                <w:sz w:val="20"/>
                <w:szCs w:val="20"/>
                <w:lang w:val="en-GB"/>
              </w:rPr>
            </w:pPr>
            <w:r w:rsidRPr="0043215C">
              <w:rPr>
                <w:rFonts w:cstheme="minorHAnsi"/>
                <w:b/>
                <w:bCs/>
                <w:color w:val="262626" w:themeColor="text1" w:themeTint="D9"/>
                <w:sz w:val="20"/>
                <w:szCs w:val="20"/>
                <w:lang w:val="en-GB"/>
              </w:rPr>
              <w:t>TOTAL</w:t>
            </w:r>
          </w:p>
        </w:tc>
        <w:tc>
          <w:tcPr>
            <w:tcW w:w="1620" w:type="dxa"/>
            <w:shd w:val="clear" w:color="auto" w:fill="auto"/>
            <w:noWrap/>
            <w:vAlign w:val="center"/>
          </w:tcPr>
          <w:p w14:paraId="165B0F9B" w14:textId="77777777" w:rsidR="00815CD6" w:rsidRPr="0043215C" w:rsidRDefault="00815CD6" w:rsidP="004D213E">
            <w:pPr>
              <w:spacing w:after="0" w:line="240" w:lineRule="auto"/>
              <w:jc w:val="center"/>
              <w:rPr>
                <w:rFonts w:eastAsia="Times New Roman" w:cstheme="minorHAnsi"/>
                <w:b/>
                <w:bCs/>
                <w:color w:val="000000"/>
                <w:sz w:val="20"/>
                <w:szCs w:val="20"/>
              </w:rPr>
            </w:pPr>
          </w:p>
        </w:tc>
        <w:tc>
          <w:tcPr>
            <w:tcW w:w="1620" w:type="dxa"/>
            <w:shd w:val="clear" w:color="auto" w:fill="auto"/>
            <w:noWrap/>
            <w:vAlign w:val="center"/>
          </w:tcPr>
          <w:p w14:paraId="3E7262E2" w14:textId="77777777" w:rsidR="00815CD6" w:rsidRPr="0043215C" w:rsidRDefault="00815CD6" w:rsidP="004D213E">
            <w:pPr>
              <w:spacing w:after="0" w:line="240" w:lineRule="auto"/>
              <w:jc w:val="center"/>
              <w:rPr>
                <w:rFonts w:eastAsia="Times New Roman" w:cstheme="minorHAnsi"/>
                <w:b/>
                <w:bCs/>
                <w:color w:val="000000"/>
                <w:sz w:val="20"/>
                <w:szCs w:val="20"/>
              </w:rPr>
            </w:pPr>
          </w:p>
        </w:tc>
        <w:tc>
          <w:tcPr>
            <w:tcW w:w="1710" w:type="dxa"/>
            <w:shd w:val="clear" w:color="auto" w:fill="auto"/>
            <w:noWrap/>
            <w:vAlign w:val="center"/>
          </w:tcPr>
          <w:p w14:paraId="45484D12" w14:textId="77777777" w:rsidR="00815CD6" w:rsidRPr="0043215C" w:rsidRDefault="00815CD6" w:rsidP="004D213E">
            <w:pPr>
              <w:spacing w:after="0" w:line="240" w:lineRule="auto"/>
              <w:jc w:val="center"/>
              <w:rPr>
                <w:rFonts w:eastAsia="Times New Roman" w:cstheme="minorHAnsi"/>
                <w:b/>
                <w:bCs/>
                <w:color w:val="000000"/>
                <w:sz w:val="20"/>
                <w:szCs w:val="20"/>
              </w:rPr>
            </w:pPr>
          </w:p>
        </w:tc>
      </w:tr>
    </w:tbl>
    <w:p w14:paraId="4725E669" w14:textId="77777777" w:rsidR="00DF0E3D" w:rsidRPr="0043215C" w:rsidRDefault="00DF0E3D">
      <w:pPr>
        <w:jc w:val="left"/>
        <w:rPr>
          <w:rFonts w:eastAsiaTheme="minorEastAsia" w:cstheme="minorHAnsi"/>
          <w:b/>
          <w:bCs/>
          <w:sz w:val="20"/>
          <w:szCs w:val="20"/>
        </w:rPr>
      </w:pPr>
      <w:bookmarkStart w:id="172" w:name="_Toc162962978"/>
      <w:bookmarkStart w:id="173" w:name="_Toc162964160"/>
      <w:r w:rsidRPr="0043215C">
        <w:rPr>
          <w:rFonts w:cstheme="minorHAnsi"/>
          <w:sz w:val="20"/>
          <w:szCs w:val="20"/>
        </w:rPr>
        <w:br w:type="page"/>
      </w:r>
    </w:p>
    <w:p w14:paraId="20757331" w14:textId="2212D298" w:rsidR="0002627D" w:rsidRPr="0043215C" w:rsidRDefault="0002627D" w:rsidP="006414CC">
      <w:pPr>
        <w:pStyle w:val="Heading3"/>
        <w:rPr>
          <w:rFonts w:cstheme="minorHAnsi"/>
          <w:sz w:val="20"/>
          <w:szCs w:val="20"/>
        </w:rPr>
      </w:pPr>
      <w:bookmarkStart w:id="174" w:name="_Toc170319853"/>
      <w:r w:rsidRPr="0043215C">
        <w:rPr>
          <w:rFonts w:cstheme="minorHAnsi"/>
          <w:sz w:val="20"/>
          <w:szCs w:val="20"/>
        </w:rPr>
        <w:lastRenderedPageBreak/>
        <w:t>ANNE</w:t>
      </w:r>
      <w:r w:rsidR="002D02ED" w:rsidRPr="0043215C">
        <w:rPr>
          <w:rFonts w:cstheme="minorHAnsi"/>
          <w:sz w:val="20"/>
          <w:szCs w:val="20"/>
        </w:rPr>
        <w:t xml:space="preserve">X </w:t>
      </w:r>
      <w:r w:rsidR="0018665F" w:rsidRPr="0043215C">
        <w:rPr>
          <w:rFonts w:cstheme="minorHAnsi"/>
          <w:sz w:val="20"/>
          <w:szCs w:val="20"/>
        </w:rPr>
        <w:t>5</w:t>
      </w:r>
      <w:r w:rsidR="00B452F1" w:rsidRPr="0043215C">
        <w:rPr>
          <w:rFonts w:cstheme="minorHAnsi"/>
          <w:sz w:val="20"/>
          <w:szCs w:val="20"/>
        </w:rPr>
        <w:t xml:space="preserve">: </w:t>
      </w:r>
      <w:r w:rsidRPr="0043215C">
        <w:rPr>
          <w:rFonts w:cstheme="minorHAnsi"/>
          <w:sz w:val="20"/>
          <w:szCs w:val="20"/>
        </w:rPr>
        <w:t>Development Co-Benefits</w:t>
      </w:r>
      <w:bookmarkEnd w:id="170"/>
      <w:bookmarkEnd w:id="172"/>
      <w:bookmarkEnd w:id="173"/>
      <w:bookmarkEnd w:id="174"/>
    </w:p>
    <w:p w14:paraId="6DE59402" w14:textId="62EFAC50" w:rsidR="0002627D" w:rsidRPr="0043215C" w:rsidRDefault="005F36FF" w:rsidP="0002627D">
      <w:pPr>
        <w:spacing w:after="0"/>
        <w:rPr>
          <w:rFonts w:eastAsia="Times New Roman" w:cstheme="minorHAnsi"/>
          <w:b/>
          <w:bCs/>
          <w:color w:val="000000" w:themeColor="text1"/>
          <w:sz w:val="20"/>
          <w:szCs w:val="20"/>
          <w:lang w:val="tr"/>
        </w:rPr>
      </w:pPr>
      <w:r w:rsidRPr="0043215C">
        <w:rPr>
          <w:rFonts w:eastAsia="Times New Roman" w:cstheme="minorHAnsi"/>
          <w:b/>
          <w:color w:val="000000" w:themeColor="text1"/>
          <w:sz w:val="20"/>
          <w:szCs w:val="20"/>
        </w:rPr>
        <w:t xml:space="preserve">Human Capital and </w:t>
      </w:r>
      <w:r w:rsidR="0002627D" w:rsidRPr="0043215C">
        <w:rPr>
          <w:rFonts w:eastAsia="Times New Roman" w:cstheme="minorHAnsi"/>
          <w:b/>
          <w:color w:val="000000" w:themeColor="text1"/>
          <w:sz w:val="20"/>
          <w:szCs w:val="20"/>
        </w:rPr>
        <w:t>Gender</w:t>
      </w:r>
    </w:p>
    <w:p w14:paraId="1B371332" w14:textId="1F6204C9" w:rsidR="0002627D" w:rsidRPr="0043215C" w:rsidRDefault="002D02ED" w:rsidP="0002627D">
      <w:pPr>
        <w:spacing w:before="240" w:after="120" w:line="257" w:lineRule="auto"/>
        <w:rPr>
          <w:rFonts w:cstheme="minorHAnsi"/>
          <w:sz w:val="20"/>
          <w:szCs w:val="20"/>
        </w:rPr>
      </w:pPr>
      <w:r w:rsidRPr="0043215C">
        <w:rPr>
          <w:rFonts w:eastAsia="Calibri" w:cstheme="minorHAnsi"/>
          <w:b/>
          <w:sz w:val="20"/>
          <w:szCs w:val="20"/>
        </w:rPr>
        <w:t>R</w:t>
      </w:r>
      <w:r w:rsidR="0002627D" w:rsidRPr="0043215C">
        <w:rPr>
          <w:rFonts w:eastAsia="Calibri" w:cstheme="minorHAnsi"/>
          <w:b/>
          <w:sz w:val="20"/>
          <w:szCs w:val="20"/>
        </w:rPr>
        <w:t xml:space="preserve">enewable energy employment worldwide has steadily expanded, with an estimated 13.7 </w:t>
      </w:r>
      <w:r w:rsidR="00DE7EA1" w:rsidRPr="0043215C">
        <w:rPr>
          <w:rFonts w:eastAsia="Calibri" w:cstheme="minorHAnsi"/>
          <w:b/>
          <w:sz w:val="20"/>
          <w:szCs w:val="20"/>
        </w:rPr>
        <w:t>m.</w:t>
      </w:r>
      <w:r w:rsidR="0002627D" w:rsidRPr="0043215C">
        <w:rPr>
          <w:rFonts w:eastAsia="Calibri" w:cstheme="minorHAnsi"/>
          <w:b/>
          <w:sz w:val="20"/>
          <w:szCs w:val="20"/>
        </w:rPr>
        <w:t xml:space="preserve"> direct and indirect jobs in 2022.</w:t>
      </w:r>
      <w:r w:rsidR="0002627D" w:rsidRPr="0043215C">
        <w:rPr>
          <w:rFonts w:eastAsia="Calibri" w:cstheme="minorHAnsi"/>
          <w:sz w:val="20"/>
          <w:szCs w:val="20"/>
        </w:rPr>
        <w:t xml:space="preserve"> Energy technology innovation, private and public-sector investments, and state, local, and federal energy and climate policies have driven economic development and supported the creation of millions of jobs globally. Many </w:t>
      </w:r>
      <w:r w:rsidR="00B04034" w:rsidRPr="0043215C">
        <w:rPr>
          <w:rFonts w:eastAsia="Calibri" w:cstheme="minorHAnsi"/>
          <w:sz w:val="20"/>
          <w:szCs w:val="20"/>
        </w:rPr>
        <w:t>government</w:t>
      </w:r>
      <w:r w:rsidR="0002627D" w:rsidRPr="0043215C">
        <w:rPr>
          <w:rFonts w:eastAsia="Calibri" w:cstheme="minorHAnsi"/>
          <w:sz w:val="20"/>
          <w:szCs w:val="20"/>
        </w:rPr>
        <w:t>s prioritize renewable energy development not only to reduce emissions and achieve international climate goals but also to pursue broader socio-economic benefits, including</w:t>
      </w:r>
      <w:r w:rsidR="005F36FF" w:rsidRPr="0043215C">
        <w:rPr>
          <w:rFonts w:eastAsia="Calibri" w:cstheme="minorHAnsi"/>
          <w:sz w:val="20"/>
          <w:szCs w:val="20"/>
        </w:rPr>
        <w:t xml:space="preserve"> human capital and</w:t>
      </w:r>
      <w:r w:rsidR="0002627D" w:rsidRPr="0043215C">
        <w:rPr>
          <w:rFonts w:eastAsia="Calibri" w:cstheme="minorHAnsi"/>
          <w:sz w:val="20"/>
          <w:szCs w:val="20"/>
        </w:rPr>
        <w:t xml:space="preserve"> gender equality. Jobs serve as a tangible benefit, providing individuals, regardless of gender, with a stake in this transformative process. However, various analyses indicate that these advantages have not been equitably distributed across the energy sector workforce, highlighting a notable gender gap. This gap is particularly evident in skilled trades, technology innovation and commercialization, and upper-level management roles in rapidly growing industries such as renewable energy development. In the energy sector, women constitute 25% of the workforce, despite being 47% of the total national workforce. The International Energy Agency (IEA) reports that women in energy earn nearly 20% less than men, even with similar skills, education, and experience. Additionally, in renewable energy, women represent 32% of the workforce</w:t>
      </w:r>
      <w:hyperlink r:id="rId19" w:anchor="_ftn1">
        <w:r w:rsidR="0002627D" w:rsidRPr="0043215C">
          <w:rPr>
            <w:rStyle w:val="Hyperlink"/>
            <w:rFonts w:eastAsia="Calibri" w:cstheme="minorHAnsi"/>
            <w:color w:val="0563C1"/>
            <w:sz w:val="20"/>
            <w:szCs w:val="20"/>
            <w:vertAlign w:val="superscript"/>
          </w:rPr>
          <w:t>[1]</w:t>
        </w:r>
      </w:hyperlink>
      <w:r w:rsidR="0002627D" w:rsidRPr="0043215C">
        <w:rPr>
          <w:rFonts w:eastAsia="Calibri" w:cstheme="minorHAnsi"/>
          <w:sz w:val="20"/>
          <w:szCs w:val="20"/>
        </w:rPr>
        <w:t>.</w:t>
      </w:r>
    </w:p>
    <w:p w14:paraId="2AE81784" w14:textId="596A37C3" w:rsidR="0002627D" w:rsidRPr="0043215C" w:rsidRDefault="0002627D" w:rsidP="0002627D">
      <w:pPr>
        <w:spacing w:before="240" w:after="120" w:line="257" w:lineRule="auto"/>
        <w:rPr>
          <w:rFonts w:cstheme="minorHAnsi"/>
          <w:sz w:val="20"/>
          <w:szCs w:val="20"/>
        </w:rPr>
      </w:pPr>
      <w:r w:rsidRPr="0043215C">
        <w:rPr>
          <w:rFonts w:eastAsia="Calibri" w:cstheme="minorHAnsi"/>
          <w:b/>
          <w:sz w:val="20"/>
          <w:szCs w:val="20"/>
        </w:rPr>
        <w:t xml:space="preserve">Türkiye is well-poised to push the frontiers on gender equity thanks to robust human and economic foundations. </w:t>
      </w:r>
      <w:r w:rsidRPr="0043215C">
        <w:rPr>
          <w:rFonts w:eastAsia="Calibri" w:cstheme="minorHAnsi"/>
          <w:sz w:val="20"/>
          <w:szCs w:val="20"/>
        </w:rPr>
        <w:t xml:space="preserve"> Its long-standing institutions and human capital progress have helped drive growth for decades, paving the way for the green and digital transition.  These assets are key to continuing its economic recovery following the global financial crisis (2008-9), spillover effects from regional conflicts regarding migration and trade, the Coronavirus pandemic effects, and the 2023 earthquakes in southeastern Türkiye.   </w:t>
      </w:r>
    </w:p>
    <w:p w14:paraId="68275230" w14:textId="77777777" w:rsidR="00E8075C" w:rsidRPr="0043215C" w:rsidRDefault="0002627D" w:rsidP="0002627D">
      <w:pPr>
        <w:spacing w:line="257" w:lineRule="auto"/>
        <w:rPr>
          <w:rFonts w:eastAsia="Calibri" w:cstheme="minorHAnsi"/>
          <w:sz w:val="20"/>
          <w:szCs w:val="20"/>
        </w:rPr>
      </w:pPr>
      <w:r w:rsidRPr="0043215C">
        <w:rPr>
          <w:rFonts w:eastAsia="Calibri" w:cstheme="minorHAnsi"/>
          <w:b/>
          <w:sz w:val="20"/>
          <w:szCs w:val="20"/>
        </w:rPr>
        <w:t xml:space="preserve">Maximizing human capital utilization and minimizing labor underutilization remains a key frontier for broadening growth in Türkiye.  </w:t>
      </w:r>
      <w:r w:rsidRPr="0043215C">
        <w:rPr>
          <w:rFonts w:eastAsia="Calibri" w:cstheme="minorHAnsi"/>
          <w:sz w:val="20"/>
          <w:szCs w:val="20"/>
        </w:rPr>
        <w:t>Over the last generation (1990-2022), Türkiye’s female human capital utilization in terms of labor force participation rate was initially at 37 percent in 1990, decreased to 23.3 by 2005, and rose to nearly 35 percent by 2020-2022.  This compares modestly to countries discussed later like Chile and Mexico that started at lower levels in 1990 but reached over 45 and 41 percent, respectively, by 2020-2022 nearly in line with OECD levels</w:t>
      </w:r>
      <w:hyperlink r:id="rId20" w:anchor="_ftn2">
        <w:r w:rsidRPr="0043215C">
          <w:rPr>
            <w:rStyle w:val="Hyperlink"/>
            <w:rFonts w:eastAsia="Calibri" w:cstheme="minorHAnsi"/>
            <w:color w:val="0563C1"/>
            <w:sz w:val="20"/>
            <w:szCs w:val="20"/>
            <w:vertAlign w:val="superscript"/>
          </w:rPr>
          <w:t>[2]</w:t>
        </w:r>
      </w:hyperlink>
      <w:r w:rsidRPr="0043215C">
        <w:rPr>
          <w:rFonts w:eastAsia="Calibri" w:cstheme="minorHAnsi"/>
          <w:sz w:val="20"/>
          <w:szCs w:val="20"/>
        </w:rPr>
        <w:t>.  Over 2014-2022, Türkiye saw an expansion of the labor underutilization rate overall from 14 to 17 percent</w:t>
      </w:r>
      <w:hyperlink r:id="rId21" w:anchor="_ftn3">
        <w:r w:rsidRPr="0043215C">
          <w:rPr>
            <w:rStyle w:val="Hyperlink"/>
            <w:rFonts w:eastAsia="Calibri" w:cstheme="minorHAnsi"/>
            <w:color w:val="0563C1"/>
            <w:sz w:val="20"/>
            <w:szCs w:val="20"/>
            <w:vertAlign w:val="superscript"/>
          </w:rPr>
          <w:t>[3]</w:t>
        </w:r>
      </w:hyperlink>
      <w:r w:rsidRPr="0043215C">
        <w:rPr>
          <w:rFonts w:eastAsia="Calibri" w:cstheme="minorHAnsi"/>
          <w:sz w:val="20"/>
          <w:szCs w:val="20"/>
        </w:rPr>
        <w:t xml:space="preserve"> but nearly double among women, particularly reflecting the COVID pandemic and labor market contraction.   Women’s labor force participation in Türkiye lags that of men by a factor of at least 2:1, aggravated due to COVID and global uncertainty facing growth.</w:t>
      </w:r>
    </w:p>
    <w:p w14:paraId="1AE4C3A4" w14:textId="163012CB" w:rsidR="00E8075C" w:rsidRPr="0043215C" w:rsidRDefault="00E8075C" w:rsidP="00E8075C">
      <w:pPr>
        <w:spacing w:before="240" w:after="120" w:line="257" w:lineRule="auto"/>
        <w:rPr>
          <w:rFonts w:eastAsia="Calibri" w:cstheme="minorHAnsi"/>
          <w:sz w:val="20"/>
          <w:szCs w:val="20"/>
        </w:rPr>
      </w:pPr>
      <w:r w:rsidRPr="1E9D41E1">
        <w:rPr>
          <w:rFonts w:eastAsia="Calibri"/>
          <w:b/>
          <w:sz w:val="20"/>
          <w:szCs w:val="20"/>
        </w:rPr>
        <w:t>Renewable energy investments will provide a new window of opportunity to boost human capital and gender equality.</w:t>
      </w:r>
      <w:r w:rsidRPr="1E9D41E1">
        <w:rPr>
          <w:rFonts w:eastAsia="Calibri"/>
          <w:sz w:val="20"/>
          <w:szCs w:val="20"/>
        </w:rPr>
        <w:t xml:space="preserve"> A recent study by</w:t>
      </w:r>
      <w:r w:rsidR="001509E2" w:rsidRPr="1E9D41E1">
        <w:rPr>
          <w:rFonts w:eastAsia="Calibri"/>
          <w:sz w:val="20"/>
          <w:szCs w:val="20"/>
        </w:rPr>
        <w:t xml:space="preserve"> United Nations Development Program (</w:t>
      </w:r>
      <w:r w:rsidRPr="1E9D41E1">
        <w:rPr>
          <w:rFonts w:eastAsia="Calibri"/>
          <w:sz w:val="20"/>
          <w:szCs w:val="20"/>
        </w:rPr>
        <w:t>UNDP</w:t>
      </w:r>
      <w:r w:rsidR="001509E2" w:rsidRPr="1E9D41E1">
        <w:rPr>
          <w:rFonts w:eastAsia="Calibri"/>
          <w:sz w:val="20"/>
          <w:szCs w:val="20"/>
        </w:rPr>
        <w:t>)</w:t>
      </w:r>
      <w:r w:rsidRPr="1E9D41E1">
        <w:rPr>
          <w:rFonts w:eastAsia="Calibri"/>
          <w:sz w:val="20"/>
          <w:szCs w:val="20"/>
        </w:rPr>
        <w:t xml:space="preserve"> and </w:t>
      </w:r>
      <w:r w:rsidR="00873B3D" w:rsidRPr="1E9D41E1">
        <w:rPr>
          <w:rFonts w:eastAsia="Calibri"/>
          <w:sz w:val="20"/>
          <w:szCs w:val="20"/>
        </w:rPr>
        <w:t xml:space="preserve">International Labor </w:t>
      </w:r>
      <w:r w:rsidR="00181C7B" w:rsidRPr="1E9D41E1">
        <w:rPr>
          <w:rFonts w:eastAsia="Calibri"/>
          <w:sz w:val="20"/>
          <w:szCs w:val="20"/>
        </w:rPr>
        <w:t>Organization</w:t>
      </w:r>
      <w:r w:rsidR="00873B3D" w:rsidRPr="1E9D41E1">
        <w:rPr>
          <w:rFonts w:eastAsia="Calibri"/>
          <w:sz w:val="20"/>
          <w:szCs w:val="20"/>
        </w:rPr>
        <w:t xml:space="preserve"> (</w:t>
      </w:r>
      <w:r w:rsidR="00C26A15" w:rsidRPr="1E9D41E1">
        <w:rPr>
          <w:rFonts w:eastAsia="Calibri"/>
          <w:sz w:val="20"/>
          <w:szCs w:val="20"/>
        </w:rPr>
        <w:t>ILO) indicates</w:t>
      </w:r>
      <w:r w:rsidRPr="1E9D41E1">
        <w:rPr>
          <w:rFonts w:eastAsia="Calibri"/>
          <w:sz w:val="20"/>
          <w:szCs w:val="20"/>
        </w:rPr>
        <w:t xml:space="preserve"> that investments in renewable energy will generate 300.000 new jobs in </w:t>
      </w:r>
      <w:r w:rsidR="00E61A26" w:rsidRPr="1E9D41E1">
        <w:rPr>
          <w:rFonts w:eastAsia="Calibri"/>
          <w:sz w:val="20"/>
          <w:szCs w:val="20"/>
        </w:rPr>
        <w:t>Türkiye</w:t>
      </w:r>
      <w:r w:rsidRPr="1E9D41E1">
        <w:rPr>
          <w:rFonts w:eastAsia="Calibri"/>
          <w:sz w:val="20"/>
          <w:szCs w:val="20"/>
          <w:vertAlign w:val="superscript"/>
        </w:rPr>
        <w:footnoteReference w:id="48"/>
      </w:r>
      <w:r w:rsidRPr="1E9D41E1">
        <w:rPr>
          <w:rFonts w:eastAsia="Calibri"/>
          <w:sz w:val="20"/>
          <w:szCs w:val="20"/>
        </w:rPr>
        <w:t>. This would be a unique opportunity to equip women with market-relevant skills and promote their enhanced access to employment in renewable energy industry while contributing greater gender equality across the country.</w:t>
      </w:r>
    </w:p>
    <w:p w14:paraId="4DA923C3" w14:textId="4D4DA22E" w:rsidR="0002627D" w:rsidRPr="0043215C" w:rsidRDefault="0002627D" w:rsidP="00DF0E3D">
      <w:pPr>
        <w:spacing w:line="257" w:lineRule="auto"/>
        <w:rPr>
          <w:rFonts w:cstheme="minorHAnsi"/>
          <w:sz w:val="20"/>
          <w:szCs w:val="20"/>
        </w:rPr>
      </w:pPr>
      <w:r w:rsidRPr="0043215C">
        <w:rPr>
          <w:rFonts w:eastAsia="Calibri" w:cstheme="minorHAnsi"/>
          <w:b/>
          <w:color w:val="000000" w:themeColor="text1"/>
          <w:sz w:val="20"/>
          <w:szCs w:val="20"/>
        </w:rPr>
        <w:t>Throughout the FY2018-FY2023, the share of active gender-tagged projects of the World Bank have averaged 87 percent while reaching 100 percent levels in FY19, FY20, and FY23.</w:t>
      </w:r>
      <w:r w:rsidRPr="0043215C">
        <w:rPr>
          <w:rFonts w:eastAsia="Calibri" w:cstheme="minorHAnsi"/>
          <w:color w:val="000000" w:themeColor="text1"/>
          <w:sz w:val="20"/>
          <w:szCs w:val="20"/>
        </w:rPr>
        <w:t xml:space="preserve"> The World Bank program continued to bring significant benefits to women and vulnerable groups through its lending, trust funded activities and </w:t>
      </w:r>
      <w:r w:rsidR="00C26A15" w:rsidRPr="0043215C">
        <w:rPr>
          <w:rFonts w:eastAsia="Calibri" w:cstheme="minorHAnsi"/>
          <w:color w:val="000000" w:themeColor="text1"/>
          <w:sz w:val="20"/>
          <w:szCs w:val="20"/>
        </w:rPr>
        <w:t>(</w:t>
      </w:r>
      <w:r w:rsidR="00574424" w:rsidRPr="0043215C">
        <w:rPr>
          <w:rFonts w:eastAsia="Calibri" w:cstheme="minorHAnsi"/>
          <w:color w:val="000000" w:themeColor="text1"/>
          <w:sz w:val="20"/>
          <w:szCs w:val="20"/>
        </w:rPr>
        <w:t>Analytical and Advisory</w:t>
      </w:r>
      <w:r w:rsidR="00C26A15" w:rsidRPr="0043215C">
        <w:rPr>
          <w:rFonts w:eastAsia="Calibri" w:cstheme="minorHAnsi"/>
          <w:color w:val="000000" w:themeColor="text1"/>
          <w:sz w:val="20"/>
          <w:szCs w:val="20"/>
        </w:rPr>
        <w:t>)</w:t>
      </w:r>
      <w:r w:rsidR="00574424" w:rsidRPr="0043215C">
        <w:rPr>
          <w:rFonts w:eastAsia="Calibri" w:cstheme="minorHAnsi"/>
          <w:color w:val="000000" w:themeColor="text1"/>
          <w:sz w:val="20"/>
          <w:szCs w:val="20"/>
        </w:rPr>
        <w:t xml:space="preserve"> </w:t>
      </w:r>
      <w:r w:rsidRPr="0043215C">
        <w:rPr>
          <w:rFonts w:eastAsia="Calibri" w:cstheme="minorHAnsi"/>
          <w:color w:val="000000" w:themeColor="text1"/>
          <w:sz w:val="20"/>
          <w:szCs w:val="20"/>
        </w:rPr>
        <w:t xml:space="preserve">ASA interventions., including the energy and climate related </w:t>
      </w:r>
      <w:r w:rsidR="00E61A26" w:rsidRPr="0043215C">
        <w:rPr>
          <w:rFonts w:eastAsia="Calibri" w:cstheme="minorHAnsi"/>
          <w:color w:val="000000" w:themeColor="text1"/>
          <w:sz w:val="20"/>
          <w:szCs w:val="20"/>
        </w:rPr>
        <w:t>interventions</w:t>
      </w:r>
      <w:r w:rsidRPr="0043215C">
        <w:rPr>
          <w:rFonts w:eastAsia="Calibri" w:cstheme="minorHAnsi"/>
          <w:color w:val="000000" w:themeColor="text1"/>
          <w:sz w:val="20"/>
          <w:szCs w:val="20"/>
        </w:rPr>
        <w:t>.</w:t>
      </w:r>
    </w:p>
    <w:p w14:paraId="2DCD54B4" w14:textId="77777777" w:rsidR="0002627D" w:rsidRPr="0043215C" w:rsidRDefault="0002627D" w:rsidP="0002627D">
      <w:pPr>
        <w:spacing w:after="0"/>
        <w:rPr>
          <w:rFonts w:cstheme="minorHAnsi"/>
          <w:sz w:val="20"/>
          <w:szCs w:val="20"/>
        </w:rPr>
      </w:pPr>
    </w:p>
    <w:p w14:paraId="55E61837" w14:textId="54446CFF" w:rsidR="00EC59DB" w:rsidRPr="0043215C" w:rsidRDefault="00EC59DB" w:rsidP="001B085C">
      <w:pPr>
        <w:pStyle w:val="Heading3"/>
        <w:rPr>
          <w:rFonts w:cstheme="minorHAnsi"/>
          <w:sz w:val="20"/>
          <w:szCs w:val="20"/>
        </w:rPr>
      </w:pPr>
      <w:bookmarkStart w:id="175" w:name="_Toc162899063"/>
      <w:bookmarkStart w:id="176" w:name="_Toc162962979"/>
      <w:bookmarkStart w:id="177" w:name="_Toc162964161"/>
      <w:bookmarkStart w:id="178" w:name="_Toc170319854"/>
      <w:r w:rsidRPr="0043215C">
        <w:rPr>
          <w:rFonts w:cstheme="minorHAnsi"/>
          <w:sz w:val="20"/>
          <w:szCs w:val="20"/>
        </w:rPr>
        <w:lastRenderedPageBreak/>
        <w:t xml:space="preserve">ANNEX </w:t>
      </w:r>
      <w:r w:rsidR="0018665F" w:rsidRPr="0043215C">
        <w:rPr>
          <w:rFonts w:cstheme="minorHAnsi"/>
          <w:sz w:val="20"/>
          <w:szCs w:val="20"/>
        </w:rPr>
        <w:t>6</w:t>
      </w:r>
      <w:r w:rsidR="002458F0" w:rsidRPr="0043215C">
        <w:rPr>
          <w:rFonts w:cstheme="minorHAnsi"/>
          <w:sz w:val="20"/>
          <w:szCs w:val="20"/>
        </w:rPr>
        <w:t>:</w:t>
      </w:r>
      <w:r w:rsidRPr="0043215C">
        <w:rPr>
          <w:rFonts w:cstheme="minorHAnsi"/>
          <w:sz w:val="20"/>
          <w:szCs w:val="20"/>
        </w:rPr>
        <w:t xml:space="preserve"> Stakeholder Consultations</w:t>
      </w:r>
      <w:bookmarkEnd w:id="175"/>
      <w:bookmarkEnd w:id="176"/>
      <w:bookmarkEnd w:id="177"/>
      <w:bookmarkEnd w:id="178"/>
      <w:r w:rsidRPr="0043215C">
        <w:rPr>
          <w:rFonts w:cstheme="minorHAnsi"/>
          <w:sz w:val="20"/>
          <w:szCs w:val="20"/>
        </w:rPr>
        <w:t xml:space="preserve">  </w:t>
      </w:r>
    </w:p>
    <w:p w14:paraId="773BD13D" w14:textId="17F78D5C" w:rsidR="00EC59DB" w:rsidRPr="0043215C" w:rsidRDefault="00B56874" w:rsidP="00EC59DB">
      <w:pPr>
        <w:spacing w:after="0"/>
        <w:rPr>
          <w:rFonts w:cstheme="minorHAnsi"/>
          <w:sz w:val="20"/>
          <w:szCs w:val="20"/>
        </w:rPr>
      </w:pPr>
      <w:r w:rsidRPr="0043215C">
        <w:rPr>
          <w:rFonts w:eastAsia="Times New Roman" w:cstheme="minorHAnsi"/>
          <w:color w:val="000000" w:themeColor="text1"/>
          <w:sz w:val="20"/>
          <w:szCs w:val="20"/>
        </w:rPr>
        <w:t>Türkiye</w:t>
      </w:r>
      <w:r w:rsidR="00EC59DB" w:rsidRPr="0043215C">
        <w:rPr>
          <w:rFonts w:eastAsia="Times New Roman" w:cstheme="minorHAnsi"/>
          <w:color w:val="000000" w:themeColor="text1"/>
          <w:sz w:val="20"/>
          <w:szCs w:val="20"/>
        </w:rPr>
        <w:t xml:space="preserve">´s </w:t>
      </w:r>
      <w:r w:rsidR="0023236C" w:rsidRPr="0043215C">
        <w:rPr>
          <w:rFonts w:eastAsia="Times New Roman" w:cstheme="minorHAnsi"/>
          <w:color w:val="000000" w:themeColor="text1"/>
          <w:sz w:val="20"/>
          <w:szCs w:val="20"/>
        </w:rPr>
        <w:t>CTF-REI</w:t>
      </w:r>
      <w:r w:rsidR="00EC59DB" w:rsidRPr="0043215C">
        <w:rPr>
          <w:rFonts w:eastAsia="Times New Roman" w:cstheme="minorHAnsi"/>
          <w:color w:val="000000" w:themeColor="text1"/>
          <w:sz w:val="20"/>
          <w:szCs w:val="20"/>
        </w:rPr>
        <w:t xml:space="preserve"> Investment Plan is the result of a consultative process, led by the </w:t>
      </w:r>
      <w:proofErr w:type="spellStart"/>
      <w:r w:rsidR="00EC59DB" w:rsidRPr="0043215C">
        <w:rPr>
          <w:rFonts w:eastAsia="Times New Roman" w:cstheme="minorHAnsi"/>
          <w:color w:val="000000" w:themeColor="text1"/>
          <w:sz w:val="20"/>
          <w:szCs w:val="20"/>
        </w:rPr>
        <w:t>MoTF</w:t>
      </w:r>
      <w:proofErr w:type="spellEnd"/>
      <w:r w:rsidR="00EC59DB" w:rsidRPr="0043215C">
        <w:rPr>
          <w:rFonts w:eastAsia="Times New Roman" w:cstheme="minorHAnsi"/>
          <w:color w:val="000000" w:themeColor="text1"/>
          <w:sz w:val="20"/>
          <w:szCs w:val="20"/>
        </w:rPr>
        <w:t xml:space="preserve"> to identify and prioritize lines of action in which financing support mechanisms are required to accelerate the integration of RE. This plan has been conceived as an important instrument to advance in the energy transition and climate action paths the country has set, policy wise, towards 2035 and 2053.   </w:t>
      </w:r>
    </w:p>
    <w:p w14:paraId="4CD71A81" w14:textId="77777777" w:rsidR="00EC59DB" w:rsidRPr="0043215C" w:rsidRDefault="00EC59DB" w:rsidP="00EC59DB">
      <w:pPr>
        <w:spacing w:after="0"/>
        <w:rPr>
          <w:rFonts w:cstheme="minorHAnsi"/>
          <w:sz w:val="20"/>
          <w:szCs w:val="20"/>
        </w:rPr>
      </w:pPr>
      <w:r w:rsidRPr="0043215C">
        <w:rPr>
          <w:rFonts w:eastAsia="Times New Roman" w:cstheme="minorHAnsi"/>
          <w:color w:val="000000" w:themeColor="text1"/>
          <w:sz w:val="20"/>
          <w:szCs w:val="20"/>
        </w:rPr>
        <w:t xml:space="preserve"> </w:t>
      </w:r>
    </w:p>
    <w:p w14:paraId="73209EC0" w14:textId="7D99FAFA" w:rsidR="00EC59DB" w:rsidRPr="0043215C" w:rsidRDefault="00EC59DB" w:rsidP="00EC59DB">
      <w:pPr>
        <w:spacing w:after="0"/>
        <w:rPr>
          <w:rFonts w:cstheme="minorHAnsi"/>
          <w:sz w:val="20"/>
          <w:szCs w:val="20"/>
        </w:rPr>
      </w:pPr>
      <w:r w:rsidRPr="0043215C">
        <w:rPr>
          <w:rFonts w:eastAsia="Times New Roman" w:cstheme="minorHAnsi"/>
          <w:color w:val="000000" w:themeColor="text1"/>
          <w:sz w:val="20"/>
          <w:szCs w:val="20"/>
        </w:rPr>
        <w:t xml:space="preserve">Performed consultation process included ministries, </w:t>
      </w:r>
      <w:r w:rsidR="00B04034" w:rsidRPr="0043215C">
        <w:rPr>
          <w:rFonts w:eastAsia="Times New Roman" w:cstheme="minorHAnsi"/>
          <w:color w:val="000000" w:themeColor="text1"/>
          <w:sz w:val="20"/>
          <w:szCs w:val="20"/>
        </w:rPr>
        <w:t>government</w:t>
      </w:r>
      <w:r w:rsidRPr="0043215C">
        <w:rPr>
          <w:rFonts w:eastAsia="Times New Roman" w:cstheme="minorHAnsi"/>
          <w:color w:val="000000" w:themeColor="text1"/>
          <w:sz w:val="20"/>
          <w:szCs w:val="20"/>
        </w:rPr>
        <w:t xml:space="preserve"> institutions, MDBs, Non-Profit Organizations (NGO), Thinktanks and representatives from the private sector and academia. </w:t>
      </w:r>
    </w:p>
    <w:p w14:paraId="45772E6D" w14:textId="77777777" w:rsidR="00EC59DB" w:rsidRPr="0043215C" w:rsidRDefault="00EC59DB" w:rsidP="00EC59DB">
      <w:pPr>
        <w:spacing w:after="0"/>
        <w:rPr>
          <w:rFonts w:cstheme="minorHAnsi"/>
          <w:sz w:val="20"/>
          <w:szCs w:val="20"/>
        </w:rPr>
      </w:pPr>
      <w:r w:rsidRPr="0043215C">
        <w:rPr>
          <w:rFonts w:eastAsia="Times New Roman" w:cstheme="minorHAnsi"/>
          <w:color w:val="000000" w:themeColor="text1"/>
          <w:sz w:val="20"/>
          <w:szCs w:val="20"/>
        </w:rPr>
        <w:t xml:space="preserve"> </w:t>
      </w:r>
    </w:p>
    <w:p w14:paraId="083CDD0C" w14:textId="1A5F36CF" w:rsidR="00EC59DB" w:rsidRPr="0043215C" w:rsidRDefault="00EC59DB" w:rsidP="00EC59DB">
      <w:pPr>
        <w:spacing w:after="0"/>
        <w:rPr>
          <w:rFonts w:eastAsia="Times New Roman"/>
          <w:color w:val="000000" w:themeColor="text1"/>
          <w:sz w:val="20"/>
          <w:szCs w:val="20"/>
        </w:rPr>
      </w:pPr>
      <w:r w:rsidRPr="5144C869">
        <w:rPr>
          <w:rFonts w:eastAsia="Times New Roman"/>
          <w:color w:val="000000" w:themeColor="text1"/>
          <w:sz w:val="20"/>
          <w:szCs w:val="20"/>
        </w:rPr>
        <w:t xml:space="preserve">Throughout the preparation of the IP, two major consultations were held, the first of which took place during the Scoping Mission performed in November 2022, which was used to start conversations with different levels of </w:t>
      </w:r>
      <w:r w:rsidR="00B04034" w:rsidRPr="5144C869">
        <w:rPr>
          <w:rFonts w:eastAsia="Times New Roman"/>
          <w:color w:val="000000" w:themeColor="text1"/>
          <w:sz w:val="20"/>
          <w:szCs w:val="20"/>
        </w:rPr>
        <w:t>government</w:t>
      </w:r>
      <w:r w:rsidRPr="5144C869">
        <w:rPr>
          <w:rFonts w:eastAsia="Times New Roman"/>
          <w:color w:val="000000" w:themeColor="text1"/>
          <w:sz w:val="20"/>
          <w:szCs w:val="20"/>
        </w:rPr>
        <w:t xml:space="preserve"> and relevant stakeholders. The participants of the Scoping </w:t>
      </w:r>
      <w:proofErr w:type="spellStart"/>
      <w:r w:rsidRPr="5144C869">
        <w:rPr>
          <w:rFonts w:eastAsia="Times New Roman"/>
          <w:color w:val="000000" w:themeColor="text1"/>
          <w:sz w:val="20"/>
          <w:szCs w:val="20"/>
        </w:rPr>
        <w:t>MIssion</w:t>
      </w:r>
      <w:proofErr w:type="spellEnd"/>
      <w:r w:rsidRPr="5144C869">
        <w:rPr>
          <w:rFonts w:eastAsia="Times New Roman"/>
          <w:color w:val="000000" w:themeColor="text1"/>
          <w:sz w:val="20"/>
          <w:szCs w:val="20"/>
        </w:rPr>
        <w:t xml:space="preserve"> included </w:t>
      </w:r>
      <w:r w:rsidR="00347F37" w:rsidRPr="5144C869">
        <w:rPr>
          <w:rFonts w:eastAsia="Times New Roman"/>
          <w:color w:val="000000" w:themeColor="text1"/>
          <w:sz w:val="20"/>
          <w:szCs w:val="20"/>
        </w:rPr>
        <w:t>I</w:t>
      </w:r>
      <w:r w:rsidRPr="5144C869">
        <w:rPr>
          <w:rFonts w:eastAsia="Times New Roman"/>
          <w:color w:val="000000" w:themeColor="text1"/>
          <w:sz w:val="20"/>
          <w:szCs w:val="20"/>
        </w:rPr>
        <w:t>FC, EBRD, W</w:t>
      </w:r>
      <w:r w:rsidR="00D34E57" w:rsidRPr="5144C869">
        <w:rPr>
          <w:rFonts w:eastAsia="Times New Roman"/>
          <w:color w:val="000000" w:themeColor="text1"/>
          <w:sz w:val="20"/>
          <w:szCs w:val="20"/>
        </w:rPr>
        <w:t xml:space="preserve">orld </w:t>
      </w:r>
      <w:r w:rsidRPr="5144C869">
        <w:rPr>
          <w:rFonts w:eastAsia="Times New Roman"/>
          <w:color w:val="000000" w:themeColor="text1"/>
          <w:sz w:val="20"/>
          <w:szCs w:val="20"/>
        </w:rPr>
        <w:t>B</w:t>
      </w:r>
      <w:r w:rsidR="00D34E57" w:rsidRPr="5144C869">
        <w:rPr>
          <w:rFonts w:eastAsia="Times New Roman"/>
          <w:color w:val="000000" w:themeColor="text1"/>
          <w:sz w:val="20"/>
          <w:szCs w:val="20"/>
        </w:rPr>
        <w:t>ank</w:t>
      </w:r>
      <w:r w:rsidRPr="5144C869">
        <w:rPr>
          <w:rFonts w:eastAsia="Times New Roman"/>
          <w:color w:val="000000" w:themeColor="text1"/>
          <w:sz w:val="20"/>
          <w:szCs w:val="20"/>
        </w:rPr>
        <w:t xml:space="preserve"> and representatives from several ministries and institutions including </w:t>
      </w:r>
      <w:proofErr w:type="spellStart"/>
      <w:r w:rsidRPr="5144C869">
        <w:rPr>
          <w:rFonts w:eastAsia="Times New Roman"/>
          <w:color w:val="000000" w:themeColor="text1"/>
          <w:sz w:val="20"/>
          <w:szCs w:val="20"/>
        </w:rPr>
        <w:t>MoTF</w:t>
      </w:r>
      <w:proofErr w:type="spellEnd"/>
      <w:r w:rsidRPr="5144C869">
        <w:rPr>
          <w:rFonts w:eastAsia="Times New Roman"/>
          <w:color w:val="000000" w:themeColor="text1"/>
          <w:sz w:val="20"/>
          <w:szCs w:val="20"/>
        </w:rPr>
        <w:t>, MENR, Ministry of Environment, Urbanization and Climate Change (</w:t>
      </w:r>
      <w:proofErr w:type="spellStart"/>
      <w:r w:rsidRPr="5144C869">
        <w:rPr>
          <w:rFonts w:eastAsia="Times New Roman"/>
          <w:color w:val="000000" w:themeColor="text1"/>
          <w:sz w:val="20"/>
          <w:szCs w:val="20"/>
        </w:rPr>
        <w:t>MoEUCC</w:t>
      </w:r>
      <w:proofErr w:type="spellEnd"/>
      <w:r w:rsidRPr="5144C869">
        <w:rPr>
          <w:rFonts w:eastAsia="Times New Roman"/>
          <w:color w:val="000000" w:themeColor="text1"/>
          <w:sz w:val="20"/>
          <w:szCs w:val="20"/>
        </w:rPr>
        <w:t>), the Strategy  and Budget Office, Ministry of Trade (</w:t>
      </w:r>
      <w:proofErr w:type="spellStart"/>
      <w:r w:rsidRPr="5144C869">
        <w:rPr>
          <w:rFonts w:eastAsia="Times New Roman"/>
          <w:color w:val="000000" w:themeColor="text1"/>
          <w:sz w:val="20"/>
          <w:szCs w:val="20"/>
        </w:rPr>
        <w:t>MoT</w:t>
      </w:r>
      <w:proofErr w:type="spellEnd"/>
      <w:r w:rsidRPr="5144C869">
        <w:rPr>
          <w:rFonts w:eastAsia="Times New Roman"/>
          <w:color w:val="000000" w:themeColor="text1"/>
          <w:sz w:val="20"/>
          <w:szCs w:val="20"/>
        </w:rPr>
        <w:t>), Ministry of Industry and Technology (</w:t>
      </w:r>
      <w:proofErr w:type="spellStart"/>
      <w:r w:rsidRPr="5144C869">
        <w:rPr>
          <w:rFonts w:eastAsia="Times New Roman"/>
          <w:color w:val="000000" w:themeColor="text1"/>
          <w:sz w:val="20"/>
          <w:szCs w:val="20"/>
        </w:rPr>
        <w:t>MoIT</w:t>
      </w:r>
      <w:proofErr w:type="spellEnd"/>
      <w:r w:rsidRPr="5144C869">
        <w:rPr>
          <w:rFonts w:eastAsia="Times New Roman"/>
          <w:color w:val="000000" w:themeColor="text1"/>
          <w:sz w:val="20"/>
          <w:szCs w:val="20"/>
        </w:rPr>
        <w:t>), Ministry of Transportation and Infrastructure (</w:t>
      </w:r>
      <w:proofErr w:type="spellStart"/>
      <w:r w:rsidRPr="5144C869">
        <w:rPr>
          <w:rFonts w:eastAsia="Times New Roman"/>
          <w:color w:val="000000" w:themeColor="text1"/>
          <w:sz w:val="20"/>
          <w:szCs w:val="20"/>
        </w:rPr>
        <w:t>MoTI</w:t>
      </w:r>
      <w:proofErr w:type="spellEnd"/>
      <w:r w:rsidRPr="5144C869">
        <w:rPr>
          <w:rFonts w:eastAsia="Times New Roman"/>
          <w:color w:val="000000" w:themeColor="text1"/>
          <w:sz w:val="20"/>
          <w:szCs w:val="20"/>
        </w:rPr>
        <w:t xml:space="preserve">),   Türkiye Energy, Mine and Nuclear Research Institute (TENMARK), Energy Market Regulatory Agency (EMRA), the Scientific and Technological Research Council of Türkiye (TUBİTAK), Turkish Electricity Transmission Company (TEİAŞ), Türkiye Industrial Development Bank (TSKB), Türkiye Development and Investment Bank (TKYB), Türkiye Industry and Business Association (TUSİAD), Independent Industrialists and Businessmen's Association (MÜSİAD). Participants are listed in Table </w:t>
      </w:r>
      <w:r w:rsidR="00737ADE" w:rsidRPr="5144C869">
        <w:rPr>
          <w:rFonts w:eastAsia="Times New Roman"/>
          <w:color w:val="000000" w:themeColor="text1"/>
          <w:sz w:val="20"/>
          <w:szCs w:val="20"/>
        </w:rPr>
        <w:t>9</w:t>
      </w:r>
      <w:r w:rsidRPr="5144C869">
        <w:rPr>
          <w:rFonts w:eastAsia="Times New Roman"/>
          <w:color w:val="000000" w:themeColor="text1"/>
          <w:sz w:val="20"/>
          <w:szCs w:val="20"/>
        </w:rPr>
        <w:t xml:space="preserve">. Based on these discussions, the main strategic themes that should be included in this IP were identified. </w:t>
      </w:r>
    </w:p>
    <w:p w14:paraId="2BD10E3C" w14:textId="77777777" w:rsidR="00591AF5" w:rsidRPr="0043215C" w:rsidRDefault="00591AF5" w:rsidP="00EC59DB">
      <w:pPr>
        <w:spacing w:after="0"/>
        <w:rPr>
          <w:rFonts w:eastAsia="Times New Roman" w:cstheme="minorHAnsi"/>
          <w:color w:val="000000" w:themeColor="text1"/>
          <w:sz w:val="20"/>
          <w:szCs w:val="20"/>
        </w:rPr>
      </w:pPr>
    </w:p>
    <w:p w14:paraId="5DA19B5A" w14:textId="77777777" w:rsidR="00591AF5" w:rsidRPr="0043215C" w:rsidRDefault="00591AF5" w:rsidP="00591AF5">
      <w:pPr>
        <w:ind w:right="432"/>
        <w:contextualSpacing/>
        <w:rPr>
          <w:rFonts w:cstheme="minorHAnsi"/>
          <w:color w:val="000000"/>
          <w:sz w:val="20"/>
          <w:szCs w:val="20"/>
        </w:rPr>
      </w:pPr>
      <w:r w:rsidRPr="0043215C">
        <w:rPr>
          <w:rFonts w:cstheme="minorHAnsi"/>
          <w:color w:val="000000"/>
          <w:sz w:val="20"/>
          <w:szCs w:val="20"/>
        </w:rPr>
        <w:t xml:space="preserve">Following the extensive discussions during the scoping mission to identify the priority areas for the investment plan based on the energy strategies and priorities in Türkiye, the following areas were selected for further discussion and elaboration in the scoping mission: </w:t>
      </w:r>
    </w:p>
    <w:p w14:paraId="1BD1B32C" w14:textId="68AF2864" w:rsidR="00591AF5" w:rsidRPr="0043215C" w:rsidRDefault="00591AF5" w:rsidP="00996556">
      <w:pPr>
        <w:pStyle w:val="ListParagraph"/>
        <w:numPr>
          <w:ilvl w:val="0"/>
          <w:numId w:val="23"/>
        </w:numPr>
        <w:autoSpaceDE w:val="0"/>
        <w:autoSpaceDN w:val="0"/>
        <w:adjustRightInd w:val="0"/>
        <w:spacing w:after="0" w:line="240" w:lineRule="auto"/>
        <w:ind w:left="1080" w:right="432"/>
        <w:rPr>
          <w:rFonts w:cstheme="minorHAnsi"/>
          <w:color w:val="000000"/>
          <w:sz w:val="20"/>
          <w:szCs w:val="20"/>
        </w:rPr>
      </w:pPr>
      <w:r w:rsidRPr="0043215C">
        <w:rPr>
          <w:rFonts w:cstheme="minorHAnsi"/>
          <w:color w:val="000000"/>
          <w:sz w:val="20"/>
          <w:szCs w:val="20"/>
        </w:rPr>
        <w:t xml:space="preserve">Strengthening and further digitizing the power transmission </w:t>
      </w:r>
      <w:r w:rsidR="00347F37" w:rsidRPr="0043215C">
        <w:rPr>
          <w:rFonts w:cstheme="minorHAnsi"/>
          <w:color w:val="000000"/>
          <w:sz w:val="20"/>
          <w:szCs w:val="20"/>
        </w:rPr>
        <w:t>system and</w:t>
      </w:r>
      <w:r w:rsidRPr="0043215C">
        <w:rPr>
          <w:rFonts w:cstheme="minorHAnsi"/>
          <w:color w:val="000000"/>
          <w:sz w:val="20"/>
          <w:szCs w:val="20"/>
        </w:rPr>
        <w:t xml:space="preserve"> facilitating large-scale renewable energy </w:t>
      </w:r>
      <w:r w:rsidR="00347F37" w:rsidRPr="0043215C">
        <w:rPr>
          <w:rFonts w:cstheme="minorHAnsi"/>
          <w:color w:val="000000"/>
          <w:sz w:val="20"/>
          <w:szCs w:val="20"/>
        </w:rPr>
        <w:t>integration.</w:t>
      </w:r>
    </w:p>
    <w:p w14:paraId="56D372E7" w14:textId="742159D4" w:rsidR="00591AF5" w:rsidRPr="0043215C" w:rsidRDefault="00591AF5" w:rsidP="00996556">
      <w:pPr>
        <w:pStyle w:val="ListParagraph"/>
        <w:numPr>
          <w:ilvl w:val="0"/>
          <w:numId w:val="23"/>
        </w:numPr>
        <w:autoSpaceDE w:val="0"/>
        <w:autoSpaceDN w:val="0"/>
        <w:adjustRightInd w:val="0"/>
        <w:spacing w:after="0" w:line="240" w:lineRule="auto"/>
        <w:ind w:left="1080" w:right="432"/>
        <w:rPr>
          <w:rFonts w:cstheme="minorHAnsi"/>
          <w:color w:val="000000"/>
          <w:sz w:val="20"/>
          <w:szCs w:val="20"/>
        </w:rPr>
      </w:pPr>
      <w:r w:rsidRPr="0043215C">
        <w:rPr>
          <w:rFonts w:cstheme="minorHAnsi"/>
          <w:color w:val="000000"/>
          <w:sz w:val="20"/>
          <w:szCs w:val="20"/>
        </w:rPr>
        <w:t xml:space="preserve">Increasing the efficiency of the existing hydropower </w:t>
      </w:r>
      <w:r w:rsidR="00347F37" w:rsidRPr="0043215C">
        <w:rPr>
          <w:rFonts w:cstheme="minorHAnsi"/>
          <w:color w:val="000000"/>
          <w:sz w:val="20"/>
          <w:szCs w:val="20"/>
        </w:rPr>
        <w:t>projects.</w:t>
      </w:r>
    </w:p>
    <w:p w14:paraId="08EBF28B" w14:textId="50F9A4DB" w:rsidR="00591AF5" w:rsidRPr="0043215C" w:rsidRDefault="00591AF5" w:rsidP="00996556">
      <w:pPr>
        <w:pStyle w:val="ListParagraph"/>
        <w:numPr>
          <w:ilvl w:val="0"/>
          <w:numId w:val="23"/>
        </w:numPr>
        <w:autoSpaceDE w:val="0"/>
        <w:autoSpaceDN w:val="0"/>
        <w:adjustRightInd w:val="0"/>
        <w:spacing w:after="0" w:line="240" w:lineRule="auto"/>
        <w:ind w:left="1080" w:right="432"/>
        <w:rPr>
          <w:rFonts w:cstheme="minorHAnsi"/>
          <w:color w:val="000000"/>
          <w:sz w:val="20"/>
          <w:szCs w:val="20"/>
        </w:rPr>
      </w:pPr>
      <w:r w:rsidRPr="0043215C">
        <w:rPr>
          <w:rFonts w:cstheme="minorHAnsi"/>
          <w:color w:val="000000"/>
          <w:sz w:val="20"/>
          <w:szCs w:val="20"/>
        </w:rPr>
        <w:t xml:space="preserve">Storage of electricity both as battery storage and pumped hydro </w:t>
      </w:r>
      <w:r w:rsidR="00347F37" w:rsidRPr="0043215C">
        <w:rPr>
          <w:rFonts w:cstheme="minorHAnsi"/>
          <w:color w:val="000000"/>
          <w:sz w:val="20"/>
          <w:szCs w:val="20"/>
        </w:rPr>
        <w:t>storage.</w:t>
      </w:r>
    </w:p>
    <w:p w14:paraId="5EC4842E" w14:textId="7FD7A179" w:rsidR="00591AF5" w:rsidRPr="0043215C" w:rsidRDefault="00591AF5" w:rsidP="00996556">
      <w:pPr>
        <w:pStyle w:val="ListParagraph"/>
        <w:numPr>
          <w:ilvl w:val="0"/>
          <w:numId w:val="23"/>
        </w:numPr>
        <w:autoSpaceDE w:val="0"/>
        <w:autoSpaceDN w:val="0"/>
        <w:adjustRightInd w:val="0"/>
        <w:spacing w:after="0" w:line="240" w:lineRule="auto"/>
        <w:ind w:left="1080" w:right="432"/>
        <w:rPr>
          <w:rFonts w:cstheme="minorHAnsi"/>
          <w:color w:val="000000"/>
          <w:sz w:val="20"/>
          <w:szCs w:val="20"/>
        </w:rPr>
      </w:pPr>
      <w:r w:rsidRPr="0043215C">
        <w:rPr>
          <w:rFonts w:cstheme="minorHAnsi"/>
          <w:color w:val="000000"/>
          <w:sz w:val="20"/>
          <w:szCs w:val="20"/>
        </w:rPr>
        <w:t>Supporting e-</w:t>
      </w:r>
      <w:r w:rsidR="00347F37" w:rsidRPr="0043215C">
        <w:rPr>
          <w:rFonts w:cstheme="minorHAnsi"/>
          <w:color w:val="000000"/>
          <w:sz w:val="20"/>
          <w:szCs w:val="20"/>
        </w:rPr>
        <w:t>mobility.</w:t>
      </w:r>
    </w:p>
    <w:p w14:paraId="340FAFB4" w14:textId="3A1842BF" w:rsidR="00591AF5" w:rsidRPr="0043215C" w:rsidRDefault="00591AF5" w:rsidP="00996556">
      <w:pPr>
        <w:pStyle w:val="ListParagraph"/>
        <w:numPr>
          <w:ilvl w:val="0"/>
          <w:numId w:val="23"/>
        </w:numPr>
        <w:autoSpaceDE w:val="0"/>
        <w:autoSpaceDN w:val="0"/>
        <w:adjustRightInd w:val="0"/>
        <w:spacing w:after="0" w:line="240" w:lineRule="auto"/>
        <w:ind w:left="1080" w:right="432"/>
        <w:rPr>
          <w:rFonts w:cstheme="minorHAnsi"/>
          <w:color w:val="000000"/>
          <w:sz w:val="20"/>
          <w:szCs w:val="20"/>
        </w:rPr>
      </w:pPr>
      <w:r w:rsidRPr="0043215C">
        <w:rPr>
          <w:rFonts w:cstheme="minorHAnsi"/>
          <w:color w:val="000000"/>
          <w:sz w:val="20"/>
          <w:szCs w:val="20"/>
        </w:rPr>
        <w:t xml:space="preserve">Generation, storage, </w:t>
      </w:r>
      <w:proofErr w:type="gramStart"/>
      <w:r w:rsidRPr="0043215C">
        <w:rPr>
          <w:rFonts w:cstheme="minorHAnsi"/>
          <w:color w:val="000000"/>
          <w:sz w:val="20"/>
          <w:szCs w:val="20"/>
        </w:rPr>
        <w:t>transportation</w:t>
      </w:r>
      <w:proofErr w:type="gramEnd"/>
      <w:r w:rsidRPr="0043215C">
        <w:rPr>
          <w:rFonts w:cstheme="minorHAnsi"/>
          <w:color w:val="000000"/>
          <w:sz w:val="20"/>
          <w:szCs w:val="20"/>
        </w:rPr>
        <w:t xml:space="preserve"> and usage of green hydrogen</w:t>
      </w:r>
      <w:r w:rsidR="005C4E3B" w:rsidRPr="0043215C">
        <w:rPr>
          <w:rFonts w:cstheme="minorHAnsi"/>
          <w:color w:val="000000"/>
          <w:sz w:val="20"/>
          <w:szCs w:val="20"/>
        </w:rPr>
        <w:t>.</w:t>
      </w:r>
    </w:p>
    <w:p w14:paraId="21EF5C52" w14:textId="77777777" w:rsidR="00591AF5" w:rsidRPr="0043215C" w:rsidRDefault="00591AF5" w:rsidP="00EC59DB">
      <w:pPr>
        <w:spacing w:after="0"/>
        <w:rPr>
          <w:rFonts w:eastAsia="Times New Roman" w:cstheme="minorHAnsi"/>
          <w:color w:val="000000" w:themeColor="text1"/>
          <w:sz w:val="20"/>
          <w:szCs w:val="20"/>
        </w:rPr>
      </w:pPr>
    </w:p>
    <w:p w14:paraId="62CA0E0E" w14:textId="1B804752" w:rsidR="00EC59DB" w:rsidRPr="0043215C" w:rsidRDefault="00EC59DB" w:rsidP="00EC59DB">
      <w:pPr>
        <w:spacing w:after="0"/>
        <w:rPr>
          <w:rFonts w:eastAsia="Times New Roman"/>
          <w:color w:val="000000" w:themeColor="text1"/>
          <w:sz w:val="20"/>
          <w:szCs w:val="20"/>
        </w:rPr>
      </w:pPr>
      <w:r w:rsidRPr="5144C869">
        <w:rPr>
          <w:rFonts w:eastAsia="Times New Roman"/>
          <w:color w:val="000000" w:themeColor="text1"/>
          <w:sz w:val="20"/>
          <w:szCs w:val="20"/>
        </w:rPr>
        <w:t xml:space="preserve">The </w:t>
      </w:r>
      <w:r w:rsidR="0037200E" w:rsidRPr="5144C869">
        <w:rPr>
          <w:rFonts w:eastAsia="Times New Roman"/>
          <w:color w:val="000000" w:themeColor="text1"/>
          <w:sz w:val="20"/>
          <w:szCs w:val="20"/>
        </w:rPr>
        <w:t>following</w:t>
      </w:r>
      <w:r w:rsidRPr="5144C869">
        <w:rPr>
          <w:rFonts w:eastAsia="Times New Roman"/>
          <w:color w:val="000000" w:themeColor="text1"/>
          <w:sz w:val="20"/>
          <w:szCs w:val="20"/>
        </w:rPr>
        <w:t xml:space="preserve"> consultation</w:t>
      </w:r>
      <w:r w:rsidR="0037200E" w:rsidRPr="5144C869">
        <w:rPr>
          <w:rFonts w:eastAsia="Times New Roman"/>
          <w:color w:val="000000" w:themeColor="text1"/>
          <w:sz w:val="20"/>
          <w:szCs w:val="20"/>
        </w:rPr>
        <w:t>s</w:t>
      </w:r>
      <w:r w:rsidRPr="5144C869">
        <w:rPr>
          <w:rFonts w:eastAsia="Times New Roman"/>
          <w:color w:val="000000" w:themeColor="text1"/>
          <w:sz w:val="20"/>
          <w:szCs w:val="20"/>
        </w:rPr>
        <w:t xml:space="preserve"> took place during the </w:t>
      </w:r>
      <w:r w:rsidR="0037200E" w:rsidRPr="5144C869">
        <w:rPr>
          <w:rFonts w:eastAsia="Times New Roman"/>
          <w:color w:val="000000" w:themeColor="text1"/>
          <w:sz w:val="20"/>
          <w:szCs w:val="20"/>
        </w:rPr>
        <w:t>three</w:t>
      </w:r>
      <w:r w:rsidRPr="5144C869">
        <w:rPr>
          <w:rFonts w:eastAsia="Times New Roman"/>
          <w:color w:val="000000" w:themeColor="text1"/>
          <w:sz w:val="20"/>
          <w:szCs w:val="20"/>
        </w:rPr>
        <w:t xml:space="preserve"> Joint Mission carried out in January</w:t>
      </w:r>
      <w:r w:rsidR="0037200E" w:rsidRPr="5144C869">
        <w:rPr>
          <w:rFonts w:eastAsia="Times New Roman"/>
          <w:color w:val="000000" w:themeColor="text1"/>
          <w:sz w:val="20"/>
          <w:szCs w:val="20"/>
        </w:rPr>
        <w:t xml:space="preserve">, </w:t>
      </w:r>
      <w:proofErr w:type="gramStart"/>
      <w:r w:rsidR="004109BF" w:rsidRPr="5144C869">
        <w:rPr>
          <w:rFonts w:eastAsia="Times New Roman"/>
          <w:color w:val="000000" w:themeColor="text1"/>
          <w:sz w:val="20"/>
          <w:szCs w:val="20"/>
        </w:rPr>
        <w:t>April</w:t>
      </w:r>
      <w:proofErr w:type="gramEnd"/>
      <w:r w:rsidR="004109BF" w:rsidRPr="5144C869">
        <w:rPr>
          <w:rFonts w:eastAsia="Times New Roman"/>
          <w:color w:val="000000" w:themeColor="text1"/>
          <w:sz w:val="20"/>
          <w:szCs w:val="20"/>
        </w:rPr>
        <w:t xml:space="preserve"> and May</w:t>
      </w:r>
      <w:r w:rsidRPr="5144C869">
        <w:rPr>
          <w:rFonts w:eastAsia="Times New Roman"/>
          <w:color w:val="000000" w:themeColor="text1"/>
          <w:sz w:val="20"/>
          <w:szCs w:val="20"/>
        </w:rPr>
        <w:t xml:space="preserve"> 2024. The Mission was composed of IFC, EBRD, W</w:t>
      </w:r>
      <w:r w:rsidR="006974D5" w:rsidRPr="5144C869">
        <w:rPr>
          <w:rFonts w:eastAsia="Times New Roman"/>
          <w:color w:val="000000" w:themeColor="text1"/>
          <w:sz w:val="20"/>
          <w:szCs w:val="20"/>
        </w:rPr>
        <w:t>orld Bank</w:t>
      </w:r>
      <w:r w:rsidRPr="5144C869">
        <w:rPr>
          <w:rFonts w:eastAsia="Times New Roman"/>
          <w:color w:val="000000" w:themeColor="text1"/>
          <w:sz w:val="20"/>
          <w:szCs w:val="20"/>
        </w:rPr>
        <w:t xml:space="preserve"> and representatives from several ministries and institutions including </w:t>
      </w:r>
      <w:proofErr w:type="spellStart"/>
      <w:r w:rsidRPr="5144C869">
        <w:rPr>
          <w:rFonts w:eastAsia="Times New Roman"/>
          <w:color w:val="000000" w:themeColor="text1"/>
          <w:sz w:val="20"/>
          <w:szCs w:val="20"/>
        </w:rPr>
        <w:t>MoTF</w:t>
      </w:r>
      <w:proofErr w:type="spellEnd"/>
      <w:r w:rsidRPr="5144C869">
        <w:rPr>
          <w:rFonts w:eastAsia="Times New Roman"/>
          <w:color w:val="000000" w:themeColor="text1"/>
          <w:sz w:val="20"/>
          <w:szCs w:val="20"/>
        </w:rPr>
        <w:t>, MENR, Ministry of Transportation and Infrastructure (</w:t>
      </w:r>
      <w:proofErr w:type="spellStart"/>
      <w:r w:rsidRPr="5144C869">
        <w:rPr>
          <w:rFonts w:eastAsia="Times New Roman"/>
          <w:color w:val="000000" w:themeColor="text1"/>
          <w:sz w:val="20"/>
          <w:szCs w:val="20"/>
        </w:rPr>
        <w:t>MoTI</w:t>
      </w:r>
      <w:proofErr w:type="spellEnd"/>
      <w:r w:rsidRPr="5144C869">
        <w:rPr>
          <w:rFonts w:eastAsia="Times New Roman"/>
          <w:color w:val="000000" w:themeColor="text1"/>
          <w:sz w:val="20"/>
          <w:szCs w:val="20"/>
        </w:rPr>
        <w:t>), Türkiye Energy, Mine and Nuclear Research Institute (TENMARK), Energy Market Regulatory Agency (EMRA), Turkish Electricity Transmission Company (TEİAŞ), Türkiye Industry and Business Association (TUSİAD), as well as the private sector companies (</w:t>
      </w:r>
      <w:proofErr w:type="spellStart"/>
      <w:r w:rsidRPr="5144C869">
        <w:rPr>
          <w:rFonts w:eastAsia="Times New Roman"/>
          <w:color w:val="000000" w:themeColor="text1"/>
          <w:sz w:val="20"/>
          <w:szCs w:val="20"/>
        </w:rPr>
        <w:t>Koc</w:t>
      </w:r>
      <w:proofErr w:type="spellEnd"/>
      <w:r w:rsidRPr="5144C869">
        <w:rPr>
          <w:rFonts w:eastAsia="Times New Roman"/>
          <w:color w:val="000000" w:themeColor="text1"/>
          <w:sz w:val="20"/>
          <w:szCs w:val="20"/>
        </w:rPr>
        <w:t xml:space="preserve"> Holding, </w:t>
      </w:r>
      <w:proofErr w:type="spellStart"/>
      <w:r w:rsidRPr="5144C869">
        <w:rPr>
          <w:rFonts w:eastAsia="Times New Roman"/>
          <w:color w:val="000000" w:themeColor="text1"/>
          <w:sz w:val="20"/>
          <w:szCs w:val="20"/>
        </w:rPr>
        <w:t>Borusan</w:t>
      </w:r>
      <w:proofErr w:type="spellEnd"/>
      <w:r w:rsidRPr="5144C869">
        <w:rPr>
          <w:rFonts w:eastAsia="Times New Roman"/>
          <w:color w:val="000000" w:themeColor="text1"/>
          <w:sz w:val="20"/>
          <w:szCs w:val="20"/>
        </w:rPr>
        <w:t xml:space="preserve"> Holding, </w:t>
      </w:r>
      <w:proofErr w:type="spellStart"/>
      <w:r w:rsidRPr="5144C869">
        <w:rPr>
          <w:rFonts w:eastAsia="Times New Roman"/>
          <w:color w:val="000000" w:themeColor="text1"/>
          <w:sz w:val="20"/>
          <w:szCs w:val="20"/>
        </w:rPr>
        <w:t>Guris</w:t>
      </w:r>
      <w:proofErr w:type="spellEnd"/>
      <w:r w:rsidRPr="5144C869">
        <w:rPr>
          <w:rFonts w:eastAsia="Times New Roman"/>
          <w:color w:val="000000" w:themeColor="text1"/>
          <w:sz w:val="20"/>
          <w:szCs w:val="20"/>
        </w:rPr>
        <w:t xml:space="preserve"> Holding) and Think Tanks (Shura). Participants of the 1</w:t>
      </w:r>
      <w:r w:rsidRPr="5144C869">
        <w:rPr>
          <w:rFonts w:eastAsia="Times New Roman"/>
          <w:color w:val="000000" w:themeColor="text1"/>
          <w:sz w:val="20"/>
          <w:szCs w:val="20"/>
          <w:vertAlign w:val="superscript"/>
        </w:rPr>
        <w:t>st</w:t>
      </w:r>
      <w:r w:rsidRPr="5144C869">
        <w:rPr>
          <w:rFonts w:eastAsia="Times New Roman"/>
          <w:color w:val="000000" w:themeColor="text1"/>
          <w:sz w:val="20"/>
          <w:szCs w:val="20"/>
        </w:rPr>
        <w:t xml:space="preserve"> Joint Mission are listed in Table </w:t>
      </w:r>
      <w:r w:rsidR="00737ADE" w:rsidRPr="5144C869">
        <w:rPr>
          <w:rFonts w:eastAsia="Times New Roman"/>
          <w:color w:val="000000" w:themeColor="text1"/>
          <w:sz w:val="20"/>
          <w:szCs w:val="20"/>
        </w:rPr>
        <w:t>10</w:t>
      </w:r>
      <w:r w:rsidRPr="5144C869">
        <w:rPr>
          <w:rFonts w:eastAsia="Times New Roman"/>
          <w:color w:val="000000" w:themeColor="text1"/>
          <w:sz w:val="20"/>
          <w:szCs w:val="20"/>
        </w:rPr>
        <w:t>. Mission discussed in detail and identified the major activities to be included in the IP.</w:t>
      </w:r>
    </w:p>
    <w:p w14:paraId="452F0918" w14:textId="77777777" w:rsidR="00347F37" w:rsidRPr="0043215C" w:rsidRDefault="00347F37" w:rsidP="00EC59DB">
      <w:pPr>
        <w:spacing w:after="0"/>
        <w:rPr>
          <w:rFonts w:eastAsia="Times New Roman" w:cstheme="minorHAnsi"/>
          <w:color w:val="000000" w:themeColor="text1"/>
          <w:sz w:val="20"/>
          <w:szCs w:val="20"/>
        </w:rPr>
      </w:pPr>
    </w:p>
    <w:p w14:paraId="0CA46422" w14:textId="6255537B" w:rsidR="00591AF5" w:rsidRPr="00F22B68" w:rsidRDefault="00591AF5" w:rsidP="00F22B68">
      <w:pPr>
        <w:pStyle w:val="ListParagraph"/>
        <w:numPr>
          <w:ilvl w:val="0"/>
          <w:numId w:val="28"/>
        </w:numPr>
        <w:autoSpaceDE w:val="0"/>
        <w:autoSpaceDN w:val="0"/>
        <w:adjustRightInd w:val="0"/>
        <w:ind w:right="432"/>
        <w:rPr>
          <w:rFonts w:cstheme="minorHAnsi"/>
          <w:color w:val="000000"/>
          <w:sz w:val="20"/>
          <w:szCs w:val="20"/>
        </w:rPr>
      </w:pPr>
      <w:r w:rsidRPr="00F22B68">
        <w:rPr>
          <w:rFonts w:cstheme="minorHAnsi"/>
          <w:color w:val="000000"/>
          <w:sz w:val="20"/>
          <w:szCs w:val="20"/>
        </w:rPr>
        <w:t xml:space="preserve">The </w:t>
      </w:r>
      <w:r w:rsidR="00684C69" w:rsidRPr="00F22B68">
        <w:rPr>
          <w:rFonts w:cstheme="minorHAnsi"/>
          <w:color w:val="000000"/>
          <w:sz w:val="20"/>
          <w:szCs w:val="20"/>
        </w:rPr>
        <w:t>three</w:t>
      </w:r>
      <w:r w:rsidRPr="00F22B68">
        <w:rPr>
          <w:rFonts w:cstheme="minorHAnsi"/>
          <w:color w:val="000000"/>
          <w:sz w:val="20"/>
          <w:szCs w:val="20"/>
        </w:rPr>
        <w:t xml:space="preserve"> </w:t>
      </w:r>
      <w:r w:rsidR="007A3834" w:rsidRPr="00F22B68">
        <w:rPr>
          <w:rFonts w:cstheme="minorHAnsi"/>
          <w:color w:val="000000"/>
          <w:sz w:val="20"/>
          <w:szCs w:val="20"/>
        </w:rPr>
        <w:t>Joint</w:t>
      </w:r>
      <w:r w:rsidRPr="00F22B68">
        <w:rPr>
          <w:rFonts w:cstheme="minorHAnsi"/>
          <w:color w:val="000000"/>
          <w:sz w:val="20"/>
          <w:szCs w:val="20"/>
        </w:rPr>
        <w:t xml:space="preserve"> Mission</w:t>
      </w:r>
      <w:r w:rsidR="00467890" w:rsidRPr="00F22B68">
        <w:rPr>
          <w:rFonts w:cstheme="minorHAnsi"/>
          <w:color w:val="000000"/>
          <w:sz w:val="20"/>
          <w:szCs w:val="20"/>
        </w:rPr>
        <w:t>s</w:t>
      </w:r>
      <w:r w:rsidR="00684C69" w:rsidRPr="00F22B68">
        <w:rPr>
          <w:rFonts w:cstheme="minorHAnsi"/>
          <w:color w:val="000000"/>
          <w:sz w:val="20"/>
          <w:szCs w:val="20"/>
        </w:rPr>
        <w:t>, dated</w:t>
      </w:r>
      <w:r w:rsidR="00F21CEA" w:rsidRPr="00F22B68">
        <w:rPr>
          <w:rFonts w:cstheme="minorHAnsi"/>
          <w:color w:val="000000"/>
          <w:sz w:val="20"/>
          <w:szCs w:val="20"/>
        </w:rPr>
        <w:t xml:space="preserve"> January 17-18-19, April </w:t>
      </w:r>
      <w:proofErr w:type="gramStart"/>
      <w:r w:rsidR="00F21CEA" w:rsidRPr="00F22B68">
        <w:rPr>
          <w:rFonts w:cstheme="minorHAnsi"/>
          <w:color w:val="000000"/>
          <w:sz w:val="20"/>
          <w:szCs w:val="20"/>
        </w:rPr>
        <w:t>3</w:t>
      </w:r>
      <w:proofErr w:type="gramEnd"/>
      <w:r w:rsidR="00F21CEA" w:rsidRPr="00F22B68">
        <w:rPr>
          <w:rFonts w:cstheme="minorHAnsi"/>
          <w:color w:val="000000"/>
          <w:sz w:val="20"/>
          <w:szCs w:val="20"/>
        </w:rPr>
        <w:t xml:space="preserve"> and May 21, 2024,</w:t>
      </w:r>
      <w:r w:rsidRPr="00F22B68">
        <w:rPr>
          <w:rFonts w:cstheme="minorHAnsi"/>
          <w:color w:val="000000"/>
          <w:sz w:val="20"/>
          <w:szCs w:val="20"/>
        </w:rPr>
        <w:t xml:space="preserve"> met all the objectives, and identified potential activities to be included in the IP, as follows: </w:t>
      </w:r>
    </w:p>
    <w:p w14:paraId="19A2127E" w14:textId="77777777" w:rsidR="00591AF5" w:rsidRPr="0043215C" w:rsidRDefault="00591AF5" w:rsidP="00996556">
      <w:pPr>
        <w:pStyle w:val="Default"/>
        <w:numPr>
          <w:ilvl w:val="0"/>
          <w:numId w:val="22"/>
        </w:numPr>
        <w:rPr>
          <w:rFonts w:asciiTheme="minorHAnsi" w:hAnsiTheme="minorHAnsi" w:cstheme="minorHAnsi"/>
          <w:sz w:val="20"/>
          <w:szCs w:val="20"/>
          <w:lang w:val="en-US"/>
        </w:rPr>
      </w:pPr>
      <w:r w:rsidRPr="0043215C">
        <w:rPr>
          <w:rFonts w:asciiTheme="minorHAnsi" w:hAnsiTheme="minorHAnsi" w:cstheme="minorHAnsi"/>
          <w:sz w:val="20"/>
          <w:szCs w:val="20"/>
          <w:lang w:val="en-US"/>
        </w:rPr>
        <w:t xml:space="preserve">Transformation of the Power Transmission System for REI (Investment project) </w:t>
      </w:r>
    </w:p>
    <w:p w14:paraId="79AC30B4" w14:textId="77777777" w:rsidR="00591AF5" w:rsidRPr="0043215C" w:rsidRDefault="00591AF5" w:rsidP="00996556">
      <w:pPr>
        <w:pStyle w:val="Default"/>
        <w:numPr>
          <w:ilvl w:val="0"/>
          <w:numId w:val="22"/>
        </w:numPr>
        <w:rPr>
          <w:rFonts w:asciiTheme="minorHAnsi" w:hAnsiTheme="minorHAnsi" w:cstheme="minorHAnsi"/>
          <w:sz w:val="20"/>
          <w:szCs w:val="20"/>
          <w:lang w:val="en-US"/>
        </w:rPr>
      </w:pPr>
      <w:r w:rsidRPr="0043215C">
        <w:rPr>
          <w:rFonts w:asciiTheme="minorHAnsi" w:hAnsiTheme="minorHAnsi" w:cstheme="minorHAnsi"/>
          <w:sz w:val="20"/>
          <w:szCs w:val="20"/>
          <w:lang w:val="en-US"/>
        </w:rPr>
        <w:t xml:space="preserve">Private sector projects (Investment projects) </w:t>
      </w:r>
    </w:p>
    <w:p w14:paraId="5DD56DCA" w14:textId="77777777" w:rsidR="00591AF5" w:rsidRPr="0043215C" w:rsidRDefault="00591AF5" w:rsidP="00996556">
      <w:pPr>
        <w:pStyle w:val="ListParagraph"/>
        <w:numPr>
          <w:ilvl w:val="1"/>
          <w:numId w:val="22"/>
        </w:numPr>
        <w:spacing w:after="0"/>
        <w:ind w:right="-20"/>
        <w:rPr>
          <w:rFonts w:cstheme="minorHAnsi"/>
          <w:color w:val="000000"/>
          <w:sz w:val="20"/>
          <w:szCs w:val="20"/>
        </w:rPr>
      </w:pPr>
      <w:r w:rsidRPr="0043215C">
        <w:rPr>
          <w:rFonts w:cstheme="minorHAnsi"/>
          <w:color w:val="000000"/>
          <w:sz w:val="20"/>
          <w:szCs w:val="20"/>
        </w:rPr>
        <w:t xml:space="preserve">E-mobility infrastructure  </w:t>
      </w:r>
    </w:p>
    <w:p w14:paraId="5FE1B6B9" w14:textId="77777777" w:rsidR="00591AF5" w:rsidRPr="0043215C" w:rsidRDefault="00591AF5" w:rsidP="00996556">
      <w:pPr>
        <w:pStyle w:val="ListParagraph"/>
        <w:numPr>
          <w:ilvl w:val="1"/>
          <w:numId w:val="22"/>
        </w:numPr>
        <w:spacing w:after="0"/>
        <w:ind w:right="-20"/>
        <w:rPr>
          <w:rFonts w:cstheme="minorHAnsi"/>
          <w:color w:val="000000"/>
          <w:sz w:val="20"/>
          <w:szCs w:val="20"/>
        </w:rPr>
      </w:pPr>
      <w:r w:rsidRPr="0043215C">
        <w:rPr>
          <w:rFonts w:cstheme="minorHAnsi"/>
          <w:color w:val="000000"/>
          <w:sz w:val="20"/>
          <w:szCs w:val="20"/>
        </w:rPr>
        <w:t xml:space="preserve">Battery Storage </w:t>
      </w:r>
    </w:p>
    <w:p w14:paraId="712BB6F6" w14:textId="77777777" w:rsidR="00591AF5" w:rsidRPr="0043215C" w:rsidRDefault="00591AF5" w:rsidP="00996556">
      <w:pPr>
        <w:pStyle w:val="ListParagraph"/>
        <w:numPr>
          <w:ilvl w:val="1"/>
          <w:numId w:val="22"/>
        </w:numPr>
        <w:spacing w:after="0"/>
        <w:ind w:right="-20"/>
        <w:rPr>
          <w:rFonts w:cstheme="minorHAnsi"/>
          <w:color w:val="000000"/>
          <w:sz w:val="20"/>
          <w:szCs w:val="20"/>
        </w:rPr>
      </w:pPr>
      <w:r w:rsidRPr="0043215C">
        <w:rPr>
          <w:rFonts w:cstheme="minorHAnsi"/>
          <w:color w:val="000000"/>
          <w:sz w:val="20"/>
          <w:szCs w:val="20"/>
        </w:rPr>
        <w:t xml:space="preserve">Digitalization and smart grid for distribution </w:t>
      </w:r>
    </w:p>
    <w:p w14:paraId="351700D1" w14:textId="77777777" w:rsidR="00591AF5" w:rsidRPr="0043215C" w:rsidRDefault="00591AF5" w:rsidP="00996556">
      <w:pPr>
        <w:pStyle w:val="ListParagraph"/>
        <w:numPr>
          <w:ilvl w:val="0"/>
          <w:numId w:val="22"/>
        </w:numPr>
        <w:spacing w:after="0"/>
        <w:ind w:right="-20"/>
        <w:rPr>
          <w:rFonts w:cstheme="minorHAnsi"/>
          <w:color w:val="000000"/>
          <w:sz w:val="20"/>
          <w:szCs w:val="20"/>
        </w:rPr>
      </w:pPr>
      <w:r w:rsidRPr="0043215C">
        <w:rPr>
          <w:rFonts w:cstheme="minorHAnsi"/>
          <w:color w:val="000000"/>
          <w:sz w:val="20"/>
          <w:szCs w:val="20"/>
        </w:rPr>
        <w:t xml:space="preserve">Technical Assistance (TA) for </w:t>
      </w:r>
    </w:p>
    <w:p w14:paraId="4E8718BC" w14:textId="77777777" w:rsidR="00591AF5" w:rsidRPr="0043215C" w:rsidRDefault="00591AF5" w:rsidP="00996556">
      <w:pPr>
        <w:pStyle w:val="ListParagraph"/>
        <w:numPr>
          <w:ilvl w:val="1"/>
          <w:numId w:val="22"/>
        </w:numPr>
        <w:spacing w:after="0"/>
        <w:ind w:right="-20"/>
        <w:rPr>
          <w:rFonts w:cstheme="minorHAnsi"/>
          <w:color w:val="000000"/>
          <w:sz w:val="20"/>
          <w:szCs w:val="20"/>
        </w:rPr>
      </w:pPr>
      <w:r w:rsidRPr="0043215C">
        <w:rPr>
          <w:rFonts w:cstheme="minorHAnsi"/>
          <w:color w:val="000000"/>
          <w:sz w:val="20"/>
          <w:szCs w:val="20"/>
        </w:rPr>
        <w:lastRenderedPageBreak/>
        <w:t>Pumped hydro storage,</w:t>
      </w:r>
    </w:p>
    <w:p w14:paraId="2FCCB0BA" w14:textId="77777777" w:rsidR="00591AF5" w:rsidRPr="0043215C" w:rsidRDefault="00591AF5" w:rsidP="00996556">
      <w:pPr>
        <w:pStyle w:val="ListParagraph"/>
        <w:numPr>
          <w:ilvl w:val="1"/>
          <w:numId w:val="22"/>
        </w:numPr>
        <w:spacing w:after="0"/>
        <w:ind w:right="-20"/>
        <w:rPr>
          <w:rFonts w:cstheme="minorHAnsi"/>
          <w:color w:val="000000"/>
          <w:sz w:val="20"/>
          <w:szCs w:val="20"/>
        </w:rPr>
      </w:pPr>
      <w:r w:rsidRPr="0043215C">
        <w:rPr>
          <w:rFonts w:cstheme="minorHAnsi"/>
          <w:color w:val="000000"/>
          <w:sz w:val="20"/>
          <w:szCs w:val="20"/>
        </w:rPr>
        <w:t xml:space="preserve">Hydropower energy efficiency, </w:t>
      </w:r>
    </w:p>
    <w:p w14:paraId="5AA48D89" w14:textId="77777777" w:rsidR="00591AF5" w:rsidRPr="0043215C" w:rsidRDefault="00591AF5" w:rsidP="00996556">
      <w:pPr>
        <w:pStyle w:val="ListParagraph"/>
        <w:numPr>
          <w:ilvl w:val="1"/>
          <w:numId w:val="22"/>
        </w:numPr>
        <w:spacing w:after="0"/>
        <w:ind w:right="-20"/>
        <w:rPr>
          <w:rFonts w:cstheme="minorHAnsi"/>
          <w:color w:val="000000"/>
          <w:sz w:val="20"/>
          <w:szCs w:val="20"/>
        </w:rPr>
      </w:pPr>
      <w:r w:rsidRPr="0043215C">
        <w:rPr>
          <w:rFonts w:cstheme="minorHAnsi"/>
          <w:color w:val="000000"/>
          <w:sz w:val="20"/>
          <w:szCs w:val="20"/>
        </w:rPr>
        <w:t xml:space="preserve">Streamlining policy for renewable energy regulation and </w:t>
      </w:r>
    </w:p>
    <w:p w14:paraId="75D6A2EC" w14:textId="5F68B75A" w:rsidR="00591AF5" w:rsidRPr="0043215C" w:rsidRDefault="00591AF5" w:rsidP="00996556">
      <w:pPr>
        <w:pStyle w:val="ListParagraph"/>
        <w:numPr>
          <w:ilvl w:val="1"/>
          <w:numId w:val="22"/>
        </w:numPr>
        <w:spacing w:after="0"/>
        <w:ind w:right="-20"/>
        <w:rPr>
          <w:rFonts w:cstheme="minorHAnsi"/>
          <w:color w:val="000000"/>
          <w:sz w:val="20"/>
          <w:szCs w:val="20"/>
        </w:rPr>
      </w:pPr>
      <w:r w:rsidRPr="0043215C">
        <w:rPr>
          <w:rFonts w:cstheme="minorHAnsi"/>
          <w:color w:val="000000"/>
          <w:sz w:val="20"/>
          <w:szCs w:val="20"/>
        </w:rPr>
        <w:t>Capacity building for power transmission system operator (</w:t>
      </w:r>
      <w:r w:rsidR="002B50C9" w:rsidRPr="0043215C">
        <w:rPr>
          <w:rFonts w:cstheme="minorHAnsi"/>
          <w:color w:val="000000"/>
          <w:sz w:val="20"/>
          <w:szCs w:val="20"/>
        </w:rPr>
        <w:t>TEİAŞ</w:t>
      </w:r>
      <w:r w:rsidRPr="0043215C">
        <w:rPr>
          <w:rFonts w:cstheme="minorHAnsi"/>
          <w:color w:val="000000"/>
          <w:sz w:val="20"/>
          <w:szCs w:val="20"/>
        </w:rPr>
        <w:t xml:space="preserve">) with activities such as </w:t>
      </w:r>
    </w:p>
    <w:p w14:paraId="463535FD" w14:textId="77777777" w:rsidR="00591AF5" w:rsidRPr="0043215C" w:rsidRDefault="00591AF5" w:rsidP="00996556">
      <w:pPr>
        <w:pStyle w:val="ListParagraph"/>
        <w:numPr>
          <w:ilvl w:val="2"/>
          <w:numId w:val="22"/>
        </w:numPr>
        <w:spacing w:after="0"/>
        <w:ind w:right="-20"/>
        <w:rPr>
          <w:rFonts w:cstheme="minorHAnsi"/>
          <w:color w:val="000000"/>
          <w:sz w:val="20"/>
          <w:szCs w:val="20"/>
        </w:rPr>
      </w:pPr>
      <w:r w:rsidRPr="0043215C">
        <w:rPr>
          <w:rFonts w:cstheme="minorHAnsi"/>
          <w:sz w:val="20"/>
          <w:szCs w:val="20"/>
        </w:rPr>
        <w:t>TA for introduction of HVDC,</w:t>
      </w:r>
    </w:p>
    <w:p w14:paraId="0265074D" w14:textId="0FF52589" w:rsidR="00591AF5" w:rsidRPr="0043215C" w:rsidRDefault="00591AF5" w:rsidP="00996556">
      <w:pPr>
        <w:pStyle w:val="ListParagraph"/>
        <w:numPr>
          <w:ilvl w:val="2"/>
          <w:numId w:val="22"/>
        </w:numPr>
        <w:spacing w:after="0"/>
        <w:ind w:right="-20"/>
        <w:rPr>
          <w:rFonts w:cstheme="minorHAnsi"/>
          <w:color w:val="000000"/>
          <w:sz w:val="20"/>
          <w:szCs w:val="20"/>
        </w:rPr>
      </w:pPr>
      <w:r w:rsidRPr="0043215C">
        <w:rPr>
          <w:rFonts w:cstheme="minorHAnsi"/>
          <w:sz w:val="20"/>
          <w:szCs w:val="20"/>
        </w:rPr>
        <w:t>Capacity Building and Training for SCADA/EMS, and</w:t>
      </w:r>
    </w:p>
    <w:p w14:paraId="78D5C706" w14:textId="3FEA0109" w:rsidR="00591AF5" w:rsidRPr="0043215C" w:rsidRDefault="00591AF5" w:rsidP="00996556">
      <w:pPr>
        <w:pStyle w:val="ListParagraph"/>
        <w:numPr>
          <w:ilvl w:val="2"/>
          <w:numId w:val="22"/>
        </w:numPr>
        <w:spacing w:after="0"/>
        <w:ind w:right="-20"/>
        <w:rPr>
          <w:rFonts w:cstheme="minorHAnsi"/>
          <w:color w:val="000000"/>
          <w:sz w:val="20"/>
          <w:szCs w:val="20"/>
        </w:rPr>
      </w:pPr>
      <w:r w:rsidRPr="0043215C">
        <w:rPr>
          <w:rFonts w:cstheme="minorHAnsi"/>
          <w:sz w:val="20"/>
          <w:szCs w:val="20"/>
        </w:rPr>
        <w:t>System Management for variable REI.</w:t>
      </w:r>
    </w:p>
    <w:p w14:paraId="7C8A2013" w14:textId="3A9B0EB9" w:rsidR="00EC59DB" w:rsidRPr="0043215C" w:rsidRDefault="00EC59DB" w:rsidP="00EC59DB">
      <w:pPr>
        <w:spacing w:after="0"/>
        <w:rPr>
          <w:rFonts w:cstheme="minorHAnsi"/>
          <w:sz w:val="20"/>
          <w:szCs w:val="20"/>
        </w:rPr>
      </w:pPr>
    </w:p>
    <w:p w14:paraId="59FD75CE" w14:textId="7D748AA7" w:rsidR="00EC59DB" w:rsidRPr="0043215C" w:rsidRDefault="00EC59DB" w:rsidP="00EC59DB">
      <w:pPr>
        <w:spacing w:after="0"/>
        <w:rPr>
          <w:rFonts w:cstheme="minorHAnsi"/>
          <w:sz w:val="20"/>
          <w:szCs w:val="20"/>
        </w:rPr>
      </w:pPr>
      <w:r w:rsidRPr="0043215C">
        <w:rPr>
          <w:rFonts w:eastAsia="Times New Roman" w:cstheme="minorHAnsi"/>
          <w:color w:val="000000" w:themeColor="text1"/>
          <w:sz w:val="20"/>
          <w:szCs w:val="20"/>
        </w:rPr>
        <w:t xml:space="preserve">Finally, the draft of the IP was published for comments on the </w:t>
      </w:r>
      <w:proofErr w:type="spellStart"/>
      <w:r w:rsidRPr="0043215C">
        <w:rPr>
          <w:rFonts w:eastAsia="Times New Roman" w:cstheme="minorHAnsi"/>
          <w:color w:val="000000" w:themeColor="text1"/>
          <w:sz w:val="20"/>
          <w:szCs w:val="20"/>
        </w:rPr>
        <w:t>M</w:t>
      </w:r>
      <w:r w:rsidR="00737ADE" w:rsidRPr="0043215C">
        <w:rPr>
          <w:rFonts w:eastAsia="Times New Roman" w:cstheme="minorHAnsi"/>
          <w:color w:val="000000" w:themeColor="text1"/>
          <w:sz w:val="20"/>
          <w:szCs w:val="20"/>
        </w:rPr>
        <w:t>oTF</w:t>
      </w:r>
      <w:r w:rsidRPr="0043215C">
        <w:rPr>
          <w:rFonts w:eastAsia="Times New Roman" w:cstheme="minorHAnsi"/>
          <w:color w:val="000000" w:themeColor="text1"/>
          <w:sz w:val="20"/>
          <w:szCs w:val="20"/>
        </w:rPr>
        <w:t>´s</w:t>
      </w:r>
      <w:proofErr w:type="spellEnd"/>
      <w:r w:rsidRPr="0043215C">
        <w:rPr>
          <w:rFonts w:eastAsia="Times New Roman" w:cstheme="minorHAnsi"/>
          <w:color w:val="000000" w:themeColor="text1"/>
          <w:sz w:val="20"/>
          <w:szCs w:val="20"/>
        </w:rPr>
        <w:t xml:space="preserve"> website on </w:t>
      </w:r>
      <w:r w:rsidR="00E35B19" w:rsidRPr="0043215C">
        <w:rPr>
          <w:rFonts w:eastAsia="Times New Roman" w:cstheme="minorHAnsi"/>
          <w:color w:val="000000" w:themeColor="text1"/>
          <w:sz w:val="20"/>
          <w:szCs w:val="20"/>
        </w:rPr>
        <w:t>June</w:t>
      </w:r>
      <w:r w:rsidRPr="0043215C">
        <w:rPr>
          <w:rFonts w:eastAsia="Times New Roman" w:cstheme="minorHAnsi"/>
          <w:color w:val="000000" w:themeColor="text1"/>
          <w:sz w:val="20"/>
          <w:szCs w:val="20"/>
        </w:rPr>
        <w:t xml:space="preserve"> </w:t>
      </w:r>
      <w:r w:rsidRPr="0043215C">
        <w:rPr>
          <w:rFonts w:eastAsia="Times New Roman" w:cstheme="minorHAnsi"/>
          <w:color w:val="000000" w:themeColor="text1"/>
          <w:sz w:val="20"/>
          <w:szCs w:val="20"/>
          <w:highlight w:val="yellow"/>
        </w:rPr>
        <w:t>X</w:t>
      </w:r>
      <w:r w:rsidRPr="0043215C">
        <w:rPr>
          <w:rFonts w:eastAsia="Times New Roman" w:cstheme="minorHAnsi"/>
          <w:color w:val="000000" w:themeColor="text1"/>
          <w:sz w:val="20"/>
          <w:szCs w:val="20"/>
        </w:rPr>
        <w:t xml:space="preserve">, 2024, receiving comments from relevant stakeholders, </w:t>
      </w:r>
      <w:proofErr w:type="gramStart"/>
      <w:r w:rsidRPr="0043215C">
        <w:rPr>
          <w:rFonts w:eastAsia="Times New Roman" w:cstheme="minorHAnsi"/>
          <w:color w:val="000000" w:themeColor="text1"/>
          <w:sz w:val="20"/>
          <w:szCs w:val="20"/>
        </w:rPr>
        <w:t>associations</w:t>
      </w:r>
      <w:proofErr w:type="gramEnd"/>
      <w:r w:rsidRPr="0043215C">
        <w:rPr>
          <w:rFonts w:eastAsia="Times New Roman" w:cstheme="minorHAnsi"/>
          <w:color w:val="000000" w:themeColor="text1"/>
          <w:sz w:val="20"/>
          <w:szCs w:val="20"/>
        </w:rPr>
        <w:t xml:space="preserve"> and the general public, which were considered for the final round of revision to which the document was subjected leading to this final presented version.  </w:t>
      </w:r>
    </w:p>
    <w:p w14:paraId="107AA632" w14:textId="3970C5AC" w:rsidR="00FE641D" w:rsidRPr="0043215C" w:rsidRDefault="00FE641D" w:rsidP="00FE641D">
      <w:pPr>
        <w:rPr>
          <w:rFonts w:cstheme="minorHAnsi"/>
          <w:sz w:val="20"/>
          <w:szCs w:val="20"/>
        </w:rPr>
      </w:pPr>
    </w:p>
    <w:p w14:paraId="330E6B0B" w14:textId="77777777" w:rsidR="0018184E" w:rsidRPr="0043215C" w:rsidRDefault="0018184E" w:rsidP="00FE641D">
      <w:pPr>
        <w:rPr>
          <w:rFonts w:cstheme="minorHAnsi"/>
          <w:sz w:val="20"/>
          <w:szCs w:val="20"/>
        </w:rPr>
      </w:pPr>
    </w:p>
    <w:p w14:paraId="264E6CE8" w14:textId="77777777" w:rsidR="0018184E" w:rsidRPr="0043215C" w:rsidRDefault="0018184E" w:rsidP="00FE641D">
      <w:pPr>
        <w:rPr>
          <w:rFonts w:cstheme="minorHAnsi"/>
          <w:sz w:val="20"/>
          <w:szCs w:val="20"/>
        </w:rPr>
      </w:pPr>
    </w:p>
    <w:p w14:paraId="197CD04F" w14:textId="77777777" w:rsidR="0018184E" w:rsidRPr="0043215C" w:rsidRDefault="0018184E" w:rsidP="00FE641D">
      <w:pPr>
        <w:rPr>
          <w:rFonts w:cstheme="minorHAnsi"/>
          <w:sz w:val="20"/>
          <w:szCs w:val="20"/>
        </w:rPr>
      </w:pPr>
    </w:p>
    <w:p w14:paraId="70ACDAA5" w14:textId="77777777" w:rsidR="0018184E" w:rsidRPr="0043215C" w:rsidRDefault="0018184E" w:rsidP="00FE641D">
      <w:pPr>
        <w:rPr>
          <w:rFonts w:cstheme="minorHAnsi"/>
          <w:sz w:val="20"/>
          <w:szCs w:val="20"/>
        </w:rPr>
      </w:pPr>
    </w:p>
    <w:p w14:paraId="4B45C230" w14:textId="77777777" w:rsidR="0018184E" w:rsidRPr="0043215C" w:rsidRDefault="0018184E" w:rsidP="00FE641D">
      <w:pPr>
        <w:rPr>
          <w:rFonts w:cstheme="minorHAnsi"/>
          <w:sz w:val="20"/>
          <w:szCs w:val="20"/>
        </w:rPr>
      </w:pPr>
    </w:p>
    <w:p w14:paraId="41A4F61D" w14:textId="77777777" w:rsidR="0018184E" w:rsidRPr="0043215C" w:rsidRDefault="0018184E" w:rsidP="00FE641D">
      <w:pPr>
        <w:rPr>
          <w:rFonts w:cstheme="minorHAnsi"/>
          <w:sz w:val="20"/>
          <w:szCs w:val="20"/>
        </w:rPr>
      </w:pPr>
    </w:p>
    <w:p w14:paraId="5BD56573" w14:textId="77777777" w:rsidR="0018184E" w:rsidRPr="0043215C" w:rsidRDefault="0018184E" w:rsidP="00FE641D">
      <w:pPr>
        <w:rPr>
          <w:rFonts w:cstheme="minorHAnsi"/>
          <w:sz w:val="20"/>
          <w:szCs w:val="20"/>
        </w:rPr>
      </w:pPr>
    </w:p>
    <w:p w14:paraId="748D25E0" w14:textId="77777777" w:rsidR="0018184E" w:rsidRPr="0043215C" w:rsidRDefault="0018184E" w:rsidP="00FE641D">
      <w:pPr>
        <w:rPr>
          <w:rFonts w:cstheme="minorHAnsi"/>
          <w:sz w:val="20"/>
          <w:szCs w:val="20"/>
        </w:rPr>
      </w:pPr>
    </w:p>
    <w:p w14:paraId="15D9756E" w14:textId="451A1231" w:rsidR="0018184E" w:rsidRPr="0043215C" w:rsidRDefault="0018184E" w:rsidP="00FE641D">
      <w:pPr>
        <w:rPr>
          <w:rFonts w:cstheme="minorHAnsi"/>
          <w:sz w:val="20"/>
          <w:szCs w:val="20"/>
        </w:rPr>
      </w:pPr>
      <w:r w:rsidRPr="0043215C">
        <w:rPr>
          <w:rFonts w:cstheme="minorHAnsi"/>
          <w:sz w:val="20"/>
          <w:szCs w:val="20"/>
        </w:rPr>
        <w:br w:type="page"/>
      </w:r>
    </w:p>
    <w:p w14:paraId="064C842C" w14:textId="5BB2614F" w:rsidR="00D52D26" w:rsidRPr="0043215C" w:rsidRDefault="00D52D26" w:rsidP="00D52D26">
      <w:pPr>
        <w:spacing w:after="0"/>
        <w:rPr>
          <w:rFonts w:cstheme="minorHAnsi"/>
          <w:sz w:val="20"/>
          <w:szCs w:val="20"/>
        </w:rPr>
      </w:pPr>
      <w:r w:rsidRPr="0043215C">
        <w:rPr>
          <w:rFonts w:cstheme="minorHAnsi"/>
          <w:b/>
          <w:sz w:val="20"/>
          <w:szCs w:val="20"/>
        </w:rPr>
        <w:lastRenderedPageBreak/>
        <w:t xml:space="preserve">Table </w:t>
      </w:r>
      <w:r w:rsidR="00520ABD" w:rsidRPr="0043215C">
        <w:rPr>
          <w:rFonts w:cstheme="minorHAnsi"/>
          <w:b/>
          <w:sz w:val="20"/>
          <w:szCs w:val="20"/>
        </w:rPr>
        <w:t>9</w:t>
      </w:r>
      <w:r w:rsidRPr="0043215C">
        <w:rPr>
          <w:rFonts w:cstheme="minorHAnsi"/>
          <w:b/>
          <w:sz w:val="20"/>
          <w:szCs w:val="20"/>
        </w:rPr>
        <w:t xml:space="preserve">: Participants of the Scoping Mission </w:t>
      </w:r>
      <w:r w:rsidRPr="0043215C">
        <w:rPr>
          <w:rFonts w:cstheme="minorHAnsi"/>
          <w:b/>
          <w:bCs/>
          <w:sz w:val="20"/>
          <w:szCs w:val="20"/>
        </w:rPr>
        <w:t xml:space="preserve">from November 2-3, 2022 </w:t>
      </w:r>
    </w:p>
    <w:p w14:paraId="40773412" w14:textId="77777777" w:rsidR="00D52D26" w:rsidRPr="0043215C" w:rsidRDefault="00D52D26" w:rsidP="00D52D26">
      <w:pPr>
        <w:spacing w:after="0"/>
        <w:rPr>
          <w:rFonts w:eastAsia="Times New Roman" w:cstheme="minorHAnsi"/>
          <w:sz w:val="20"/>
          <w:szCs w:val="20"/>
        </w:rPr>
      </w:pPr>
      <w:r w:rsidRPr="0043215C">
        <w:rPr>
          <w:rFonts w:eastAsia="Times New Roman" w:cstheme="minorHAnsi"/>
          <w:sz w:val="20"/>
          <w:szCs w:val="20"/>
        </w:rPr>
        <w:t xml:space="preserve"> </w:t>
      </w:r>
    </w:p>
    <w:tbl>
      <w:tblPr>
        <w:tblW w:w="91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0"/>
        <w:gridCol w:w="3640"/>
        <w:gridCol w:w="3400"/>
      </w:tblGrid>
      <w:tr w:rsidR="00D52D26" w:rsidRPr="0043215C" w14:paraId="0677B7F3" w14:textId="77777777" w:rsidTr="000C5237">
        <w:trPr>
          <w:trHeight w:val="285"/>
        </w:trPr>
        <w:tc>
          <w:tcPr>
            <w:tcW w:w="2120" w:type="dxa"/>
            <w:shd w:val="clear" w:color="auto" w:fill="D9E1F2"/>
            <w:noWrap/>
            <w:vAlign w:val="bottom"/>
            <w:hideMark/>
          </w:tcPr>
          <w:p w14:paraId="38157733" w14:textId="77777777" w:rsidR="00D52D26" w:rsidRPr="0043215C" w:rsidRDefault="00D52D26">
            <w:pPr>
              <w:spacing w:after="0" w:line="240" w:lineRule="auto"/>
              <w:jc w:val="center"/>
              <w:rPr>
                <w:rFonts w:eastAsia="Times New Roman" w:cstheme="minorHAnsi"/>
                <w:b/>
                <w:color w:val="000000"/>
                <w:sz w:val="20"/>
                <w:szCs w:val="20"/>
              </w:rPr>
            </w:pPr>
            <w:r w:rsidRPr="0043215C">
              <w:rPr>
                <w:rFonts w:eastAsia="Times New Roman" w:cstheme="minorHAnsi"/>
                <w:b/>
                <w:color w:val="000000"/>
                <w:sz w:val="20"/>
                <w:szCs w:val="20"/>
              </w:rPr>
              <w:t>Name Surname</w:t>
            </w:r>
          </w:p>
        </w:tc>
        <w:tc>
          <w:tcPr>
            <w:tcW w:w="3640" w:type="dxa"/>
            <w:shd w:val="clear" w:color="auto" w:fill="D9E1F2"/>
            <w:noWrap/>
            <w:vAlign w:val="bottom"/>
            <w:hideMark/>
          </w:tcPr>
          <w:p w14:paraId="2A8A9F25" w14:textId="77777777" w:rsidR="00D52D26" w:rsidRPr="0043215C" w:rsidRDefault="00D52D26">
            <w:pPr>
              <w:spacing w:after="0" w:line="240" w:lineRule="auto"/>
              <w:jc w:val="center"/>
              <w:rPr>
                <w:rFonts w:eastAsia="Times New Roman" w:cstheme="minorHAnsi"/>
                <w:b/>
                <w:color w:val="000000"/>
                <w:sz w:val="20"/>
                <w:szCs w:val="20"/>
              </w:rPr>
            </w:pPr>
            <w:r w:rsidRPr="0043215C">
              <w:rPr>
                <w:rFonts w:eastAsia="Times New Roman" w:cstheme="minorHAnsi"/>
                <w:b/>
                <w:color w:val="000000"/>
                <w:sz w:val="20"/>
                <w:szCs w:val="20"/>
              </w:rPr>
              <w:t>Institution</w:t>
            </w:r>
          </w:p>
        </w:tc>
        <w:tc>
          <w:tcPr>
            <w:tcW w:w="3400" w:type="dxa"/>
            <w:shd w:val="clear" w:color="auto" w:fill="D9E1F2"/>
            <w:noWrap/>
            <w:vAlign w:val="bottom"/>
            <w:hideMark/>
          </w:tcPr>
          <w:p w14:paraId="23080A16" w14:textId="77777777" w:rsidR="00D52D26" w:rsidRPr="0043215C" w:rsidRDefault="00D52D26">
            <w:pPr>
              <w:spacing w:after="0" w:line="240" w:lineRule="auto"/>
              <w:jc w:val="center"/>
              <w:rPr>
                <w:rFonts w:eastAsia="Times New Roman" w:cstheme="minorHAnsi"/>
                <w:b/>
                <w:color w:val="000000"/>
                <w:sz w:val="20"/>
                <w:szCs w:val="20"/>
              </w:rPr>
            </w:pPr>
            <w:r w:rsidRPr="0043215C">
              <w:rPr>
                <w:rFonts w:eastAsia="Times New Roman" w:cstheme="minorHAnsi"/>
                <w:b/>
                <w:color w:val="000000"/>
                <w:sz w:val="20"/>
                <w:szCs w:val="20"/>
              </w:rPr>
              <w:t>Position</w:t>
            </w:r>
          </w:p>
        </w:tc>
      </w:tr>
      <w:tr w:rsidR="00D52D26" w:rsidRPr="0043215C" w14:paraId="7972CC5D" w14:textId="77777777" w:rsidTr="000C5237">
        <w:trPr>
          <w:trHeight w:val="285"/>
        </w:trPr>
        <w:tc>
          <w:tcPr>
            <w:tcW w:w="2120" w:type="dxa"/>
            <w:shd w:val="clear" w:color="auto" w:fill="auto"/>
            <w:noWrap/>
            <w:vAlign w:val="bottom"/>
            <w:hideMark/>
          </w:tcPr>
          <w:p w14:paraId="39D8A378"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Özgür SARHAN</w:t>
            </w:r>
          </w:p>
        </w:tc>
        <w:tc>
          <w:tcPr>
            <w:tcW w:w="3640" w:type="dxa"/>
            <w:shd w:val="clear" w:color="auto" w:fill="auto"/>
            <w:noWrap/>
            <w:vAlign w:val="bottom"/>
            <w:hideMark/>
          </w:tcPr>
          <w:p w14:paraId="4704034B"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Ministry of Energy and National Resources</w:t>
            </w:r>
          </w:p>
        </w:tc>
        <w:tc>
          <w:tcPr>
            <w:tcW w:w="3400" w:type="dxa"/>
            <w:shd w:val="clear" w:color="auto" w:fill="FFFFFF" w:themeFill="background1"/>
            <w:noWrap/>
            <w:vAlign w:val="bottom"/>
            <w:hideMark/>
          </w:tcPr>
          <w:p w14:paraId="7FFF1FC5"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Acting Head of Department</w:t>
            </w:r>
          </w:p>
        </w:tc>
      </w:tr>
      <w:tr w:rsidR="00D52D26" w:rsidRPr="0043215C" w14:paraId="18AC9656" w14:textId="77777777" w:rsidTr="000C5237">
        <w:trPr>
          <w:trHeight w:val="285"/>
        </w:trPr>
        <w:tc>
          <w:tcPr>
            <w:tcW w:w="2120" w:type="dxa"/>
            <w:shd w:val="clear" w:color="auto" w:fill="auto"/>
            <w:noWrap/>
            <w:vAlign w:val="bottom"/>
            <w:hideMark/>
          </w:tcPr>
          <w:p w14:paraId="4416F91B"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Engin BOSTANCI</w:t>
            </w:r>
          </w:p>
        </w:tc>
        <w:tc>
          <w:tcPr>
            <w:tcW w:w="3640" w:type="dxa"/>
            <w:shd w:val="clear" w:color="auto" w:fill="auto"/>
            <w:noWrap/>
            <w:vAlign w:val="bottom"/>
            <w:hideMark/>
          </w:tcPr>
          <w:p w14:paraId="405F5B3F"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Ministry of Energy and National Resources</w:t>
            </w:r>
          </w:p>
        </w:tc>
        <w:tc>
          <w:tcPr>
            <w:tcW w:w="3400" w:type="dxa"/>
            <w:shd w:val="clear" w:color="auto" w:fill="FFFFFF" w:themeFill="background1"/>
            <w:noWrap/>
            <w:vAlign w:val="bottom"/>
            <w:hideMark/>
          </w:tcPr>
          <w:p w14:paraId="253C62F2"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Acting Head</w:t>
            </w:r>
          </w:p>
        </w:tc>
      </w:tr>
      <w:tr w:rsidR="00D52D26" w:rsidRPr="0043215C" w14:paraId="27ADC3D8" w14:textId="77777777" w:rsidTr="000C5237">
        <w:trPr>
          <w:trHeight w:val="285"/>
        </w:trPr>
        <w:tc>
          <w:tcPr>
            <w:tcW w:w="2120" w:type="dxa"/>
            <w:shd w:val="clear" w:color="auto" w:fill="auto"/>
            <w:noWrap/>
            <w:vAlign w:val="bottom"/>
            <w:hideMark/>
          </w:tcPr>
          <w:p w14:paraId="30103277"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Gözde ERTEMİR</w:t>
            </w:r>
          </w:p>
        </w:tc>
        <w:tc>
          <w:tcPr>
            <w:tcW w:w="3640" w:type="dxa"/>
            <w:shd w:val="clear" w:color="auto" w:fill="auto"/>
            <w:noWrap/>
            <w:vAlign w:val="bottom"/>
            <w:hideMark/>
          </w:tcPr>
          <w:p w14:paraId="786CD52C"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Ministry of Energy and National Resources</w:t>
            </w:r>
          </w:p>
        </w:tc>
        <w:tc>
          <w:tcPr>
            <w:tcW w:w="3400" w:type="dxa"/>
            <w:shd w:val="clear" w:color="auto" w:fill="auto"/>
            <w:noWrap/>
            <w:vAlign w:val="bottom"/>
            <w:hideMark/>
          </w:tcPr>
          <w:p w14:paraId="023ADFF1"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Specialist</w:t>
            </w:r>
          </w:p>
        </w:tc>
      </w:tr>
      <w:tr w:rsidR="00D52D26" w:rsidRPr="0043215C" w14:paraId="48A87E25" w14:textId="77777777" w:rsidTr="000C5237">
        <w:trPr>
          <w:trHeight w:val="285"/>
        </w:trPr>
        <w:tc>
          <w:tcPr>
            <w:tcW w:w="2120" w:type="dxa"/>
            <w:shd w:val="clear" w:color="auto" w:fill="auto"/>
            <w:noWrap/>
            <w:vAlign w:val="bottom"/>
            <w:hideMark/>
          </w:tcPr>
          <w:p w14:paraId="503EFE27"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Merve ŞENOL ÖNEY</w:t>
            </w:r>
          </w:p>
        </w:tc>
        <w:tc>
          <w:tcPr>
            <w:tcW w:w="3640" w:type="dxa"/>
            <w:shd w:val="clear" w:color="auto" w:fill="auto"/>
            <w:noWrap/>
            <w:vAlign w:val="bottom"/>
            <w:hideMark/>
          </w:tcPr>
          <w:p w14:paraId="1BA8EFFE"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Ministry of Energy and National Resources</w:t>
            </w:r>
          </w:p>
        </w:tc>
        <w:tc>
          <w:tcPr>
            <w:tcW w:w="3400" w:type="dxa"/>
            <w:shd w:val="clear" w:color="auto" w:fill="auto"/>
            <w:noWrap/>
            <w:vAlign w:val="bottom"/>
            <w:hideMark/>
          </w:tcPr>
          <w:p w14:paraId="3B0BA43D"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Specialist</w:t>
            </w:r>
          </w:p>
        </w:tc>
      </w:tr>
      <w:tr w:rsidR="00D52D26" w:rsidRPr="0043215C" w14:paraId="2832A6EB" w14:textId="77777777" w:rsidTr="000C5237">
        <w:trPr>
          <w:trHeight w:val="285"/>
        </w:trPr>
        <w:tc>
          <w:tcPr>
            <w:tcW w:w="2120" w:type="dxa"/>
            <w:shd w:val="clear" w:color="auto" w:fill="auto"/>
            <w:noWrap/>
            <w:vAlign w:val="bottom"/>
            <w:hideMark/>
          </w:tcPr>
          <w:p w14:paraId="02FC1DF2" w14:textId="77777777" w:rsidR="00D52D26" w:rsidRPr="0043215C" w:rsidRDefault="00D52D26" w:rsidP="00CC4A89">
            <w:pPr>
              <w:spacing w:after="0" w:line="240" w:lineRule="auto"/>
              <w:jc w:val="left"/>
              <w:rPr>
                <w:rFonts w:eastAsia="Times New Roman" w:cstheme="minorHAnsi"/>
                <w:color w:val="000000"/>
                <w:sz w:val="20"/>
                <w:szCs w:val="20"/>
              </w:rPr>
            </w:pPr>
            <w:proofErr w:type="spellStart"/>
            <w:r w:rsidRPr="0043215C">
              <w:rPr>
                <w:rFonts w:eastAsia="Times New Roman" w:cstheme="minorHAnsi"/>
                <w:color w:val="000000"/>
                <w:sz w:val="20"/>
                <w:szCs w:val="20"/>
              </w:rPr>
              <w:t>Yaprak</w:t>
            </w:r>
            <w:proofErr w:type="spellEnd"/>
            <w:r w:rsidRPr="0043215C">
              <w:rPr>
                <w:rFonts w:eastAsia="Times New Roman" w:cstheme="minorHAnsi"/>
                <w:color w:val="000000"/>
                <w:sz w:val="20"/>
                <w:szCs w:val="20"/>
              </w:rPr>
              <w:t xml:space="preserve"> Serenay TAŞKIN</w:t>
            </w:r>
          </w:p>
        </w:tc>
        <w:tc>
          <w:tcPr>
            <w:tcW w:w="3640" w:type="dxa"/>
            <w:shd w:val="clear" w:color="auto" w:fill="auto"/>
            <w:noWrap/>
            <w:vAlign w:val="bottom"/>
            <w:hideMark/>
          </w:tcPr>
          <w:p w14:paraId="1D1591DA"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Ministry of Energy and National Resources</w:t>
            </w:r>
          </w:p>
        </w:tc>
        <w:tc>
          <w:tcPr>
            <w:tcW w:w="3400" w:type="dxa"/>
            <w:shd w:val="clear" w:color="auto" w:fill="FFFFFF" w:themeFill="background1"/>
            <w:noWrap/>
            <w:vAlign w:val="bottom"/>
            <w:hideMark/>
          </w:tcPr>
          <w:p w14:paraId="5F890FDE"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Assistant Specialist</w:t>
            </w:r>
          </w:p>
        </w:tc>
      </w:tr>
      <w:tr w:rsidR="00D52D26" w:rsidRPr="0043215C" w14:paraId="57F6FC6E" w14:textId="77777777" w:rsidTr="000C5237">
        <w:trPr>
          <w:trHeight w:val="285"/>
        </w:trPr>
        <w:tc>
          <w:tcPr>
            <w:tcW w:w="2120" w:type="dxa"/>
            <w:shd w:val="clear" w:color="auto" w:fill="auto"/>
            <w:noWrap/>
            <w:vAlign w:val="bottom"/>
            <w:hideMark/>
          </w:tcPr>
          <w:p w14:paraId="3A3A5518"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Dr. Yelda ALTINSOY</w:t>
            </w:r>
          </w:p>
        </w:tc>
        <w:tc>
          <w:tcPr>
            <w:tcW w:w="3640" w:type="dxa"/>
            <w:shd w:val="clear" w:color="auto" w:fill="auto"/>
            <w:noWrap/>
            <w:vAlign w:val="bottom"/>
            <w:hideMark/>
          </w:tcPr>
          <w:p w14:paraId="6ADF5DBF"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Ministry of Energy and National Resources</w:t>
            </w:r>
          </w:p>
        </w:tc>
        <w:tc>
          <w:tcPr>
            <w:tcW w:w="3400" w:type="dxa"/>
            <w:shd w:val="clear" w:color="auto" w:fill="auto"/>
            <w:noWrap/>
            <w:vAlign w:val="bottom"/>
            <w:hideMark/>
          </w:tcPr>
          <w:p w14:paraId="161C5509"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Engineer</w:t>
            </w:r>
          </w:p>
        </w:tc>
      </w:tr>
      <w:tr w:rsidR="00D52D26" w:rsidRPr="0043215C" w14:paraId="5D1924F4" w14:textId="77777777" w:rsidTr="000C5237">
        <w:trPr>
          <w:trHeight w:val="285"/>
        </w:trPr>
        <w:tc>
          <w:tcPr>
            <w:tcW w:w="2120" w:type="dxa"/>
            <w:shd w:val="clear" w:color="auto" w:fill="auto"/>
            <w:noWrap/>
            <w:vAlign w:val="bottom"/>
            <w:hideMark/>
          </w:tcPr>
          <w:p w14:paraId="393EF0B6"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Muhammed </w:t>
            </w:r>
            <w:proofErr w:type="spellStart"/>
            <w:r w:rsidRPr="0043215C">
              <w:rPr>
                <w:rFonts w:eastAsia="Times New Roman" w:cstheme="minorHAnsi"/>
                <w:color w:val="000000"/>
                <w:sz w:val="20"/>
                <w:szCs w:val="20"/>
              </w:rPr>
              <w:t>Baki</w:t>
            </w:r>
            <w:proofErr w:type="spellEnd"/>
            <w:r w:rsidRPr="0043215C">
              <w:rPr>
                <w:rFonts w:eastAsia="Times New Roman" w:cstheme="minorHAnsi"/>
                <w:color w:val="000000"/>
                <w:sz w:val="20"/>
                <w:szCs w:val="20"/>
              </w:rPr>
              <w:t xml:space="preserve"> AKSU</w:t>
            </w:r>
          </w:p>
        </w:tc>
        <w:tc>
          <w:tcPr>
            <w:tcW w:w="3640" w:type="dxa"/>
            <w:shd w:val="clear" w:color="auto" w:fill="auto"/>
            <w:noWrap/>
            <w:vAlign w:val="bottom"/>
            <w:hideMark/>
          </w:tcPr>
          <w:p w14:paraId="3EA54D69"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Ministry of Energy and National Resources</w:t>
            </w:r>
          </w:p>
        </w:tc>
        <w:tc>
          <w:tcPr>
            <w:tcW w:w="3400" w:type="dxa"/>
            <w:shd w:val="clear" w:color="auto" w:fill="FFFFFF" w:themeFill="background1"/>
            <w:noWrap/>
            <w:vAlign w:val="bottom"/>
            <w:hideMark/>
          </w:tcPr>
          <w:p w14:paraId="66978012"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Assistant Specialist</w:t>
            </w:r>
          </w:p>
        </w:tc>
      </w:tr>
      <w:tr w:rsidR="00D52D26" w:rsidRPr="0043215C" w14:paraId="087661EC" w14:textId="77777777" w:rsidTr="000C5237">
        <w:trPr>
          <w:trHeight w:val="285"/>
        </w:trPr>
        <w:tc>
          <w:tcPr>
            <w:tcW w:w="2120" w:type="dxa"/>
            <w:shd w:val="clear" w:color="auto" w:fill="auto"/>
            <w:noWrap/>
            <w:vAlign w:val="bottom"/>
            <w:hideMark/>
          </w:tcPr>
          <w:p w14:paraId="28AB8C7E"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Yusuf </w:t>
            </w:r>
            <w:proofErr w:type="spellStart"/>
            <w:r w:rsidRPr="0043215C">
              <w:rPr>
                <w:rFonts w:eastAsia="Times New Roman" w:cstheme="minorHAnsi"/>
                <w:color w:val="000000"/>
                <w:sz w:val="20"/>
                <w:szCs w:val="20"/>
              </w:rPr>
              <w:t>Çağrı</w:t>
            </w:r>
            <w:proofErr w:type="spellEnd"/>
            <w:r w:rsidRPr="0043215C">
              <w:rPr>
                <w:rFonts w:eastAsia="Times New Roman" w:cstheme="minorHAnsi"/>
                <w:color w:val="000000"/>
                <w:sz w:val="20"/>
                <w:szCs w:val="20"/>
              </w:rPr>
              <w:t xml:space="preserve"> VEYİSOĞLU</w:t>
            </w:r>
          </w:p>
        </w:tc>
        <w:tc>
          <w:tcPr>
            <w:tcW w:w="3640" w:type="dxa"/>
            <w:shd w:val="clear" w:color="auto" w:fill="auto"/>
            <w:noWrap/>
            <w:vAlign w:val="bottom"/>
            <w:hideMark/>
          </w:tcPr>
          <w:p w14:paraId="58398E2C"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Ministry of Energy and National Resources</w:t>
            </w:r>
          </w:p>
        </w:tc>
        <w:tc>
          <w:tcPr>
            <w:tcW w:w="3400" w:type="dxa"/>
            <w:shd w:val="clear" w:color="auto" w:fill="FFFFFF" w:themeFill="background1"/>
            <w:noWrap/>
            <w:vAlign w:val="bottom"/>
            <w:hideMark/>
          </w:tcPr>
          <w:p w14:paraId="33100401"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Assistant Specialist</w:t>
            </w:r>
          </w:p>
        </w:tc>
      </w:tr>
      <w:tr w:rsidR="00D52D26" w:rsidRPr="0043215C" w14:paraId="60FCD31D" w14:textId="77777777" w:rsidTr="000C5237">
        <w:trPr>
          <w:trHeight w:val="285"/>
        </w:trPr>
        <w:tc>
          <w:tcPr>
            <w:tcW w:w="2120" w:type="dxa"/>
            <w:shd w:val="clear" w:color="auto" w:fill="auto"/>
            <w:noWrap/>
            <w:vAlign w:val="bottom"/>
            <w:hideMark/>
          </w:tcPr>
          <w:p w14:paraId="4097601E"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Furkan YARDIMCI</w:t>
            </w:r>
          </w:p>
        </w:tc>
        <w:tc>
          <w:tcPr>
            <w:tcW w:w="3640" w:type="dxa"/>
            <w:shd w:val="clear" w:color="auto" w:fill="auto"/>
            <w:noWrap/>
            <w:vAlign w:val="bottom"/>
            <w:hideMark/>
          </w:tcPr>
          <w:p w14:paraId="0A4F4062"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The Electricity Generation Corporation</w:t>
            </w:r>
          </w:p>
        </w:tc>
        <w:tc>
          <w:tcPr>
            <w:tcW w:w="3400" w:type="dxa"/>
            <w:shd w:val="clear" w:color="auto" w:fill="auto"/>
            <w:noWrap/>
            <w:vAlign w:val="bottom"/>
            <w:hideMark/>
          </w:tcPr>
          <w:p w14:paraId="1D65AF25"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Engineer</w:t>
            </w:r>
          </w:p>
        </w:tc>
      </w:tr>
      <w:tr w:rsidR="00D52D26" w:rsidRPr="0043215C" w14:paraId="2C1EB275" w14:textId="77777777" w:rsidTr="000C5237">
        <w:trPr>
          <w:trHeight w:val="285"/>
        </w:trPr>
        <w:tc>
          <w:tcPr>
            <w:tcW w:w="2120" w:type="dxa"/>
            <w:shd w:val="clear" w:color="auto" w:fill="auto"/>
            <w:noWrap/>
            <w:vAlign w:val="bottom"/>
            <w:hideMark/>
          </w:tcPr>
          <w:p w14:paraId="5E3BF3F9" w14:textId="77777777" w:rsidR="00D52D26" w:rsidRPr="0043215C" w:rsidRDefault="00D52D26" w:rsidP="00CC4A89">
            <w:pPr>
              <w:spacing w:after="0" w:line="240" w:lineRule="auto"/>
              <w:jc w:val="left"/>
              <w:rPr>
                <w:rFonts w:eastAsia="Times New Roman" w:cstheme="minorHAnsi"/>
                <w:color w:val="000000"/>
                <w:sz w:val="20"/>
                <w:szCs w:val="20"/>
              </w:rPr>
            </w:pPr>
            <w:proofErr w:type="spellStart"/>
            <w:r w:rsidRPr="0043215C">
              <w:rPr>
                <w:rFonts w:eastAsia="Times New Roman" w:cstheme="minorHAnsi"/>
                <w:color w:val="000000"/>
                <w:sz w:val="20"/>
                <w:szCs w:val="20"/>
              </w:rPr>
              <w:t>Yücel</w:t>
            </w:r>
            <w:proofErr w:type="spellEnd"/>
            <w:r w:rsidRPr="0043215C">
              <w:rPr>
                <w:rFonts w:eastAsia="Times New Roman" w:cstheme="minorHAnsi"/>
                <w:color w:val="000000"/>
                <w:sz w:val="20"/>
                <w:szCs w:val="20"/>
              </w:rPr>
              <w:t xml:space="preserve"> KARTAL</w:t>
            </w:r>
          </w:p>
        </w:tc>
        <w:tc>
          <w:tcPr>
            <w:tcW w:w="3640" w:type="dxa"/>
            <w:shd w:val="clear" w:color="auto" w:fill="auto"/>
            <w:noWrap/>
            <w:vAlign w:val="bottom"/>
            <w:hideMark/>
          </w:tcPr>
          <w:p w14:paraId="3D0B7BA3"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The Electricity Generation Corporation</w:t>
            </w:r>
          </w:p>
        </w:tc>
        <w:tc>
          <w:tcPr>
            <w:tcW w:w="3400" w:type="dxa"/>
            <w:shd w:val="clear" w:color="auto" w:fill="auto"/>
            <w:noWrap/>
            <w:vAlign w:val="bottom"/>
            <w:hideMark/>
          </w:tcPr>
          <w:p w14:paraId="7C92F06E"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Head of Department</w:t>
            </w:r>
          </w:p>
        </w:tc>
      </w:tr>
      <w:tr w:rsidR="00D52D26" w:rsidRPr="0043215C" w14:paraId="36F6BE30" w14:textId="77777777" w:rsidTr="000C5237">
        <w:trPr>
          <w:trHeight w:val="285"/>
        </w:trPr>
        <w:tc>
          <w:tcPr>
            <w:tcW w:w="2120" w:type="dxa"/>
            <w:shd w:val="clear" w:color="auto" w:fill="auto"/>
            <w:noWrap/>
            <w:vAlign w:val="bottom"/>
            <w:hideMark/>
          </w:tcPr>
          <w:p w14:paraId="30B10E24"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Zafer SONBAY</w:t>
            </w:r>
          </w:p>
        </w:tc>
        <w:tc>
          <w:tcPr>
            <w:tcW w:w="3640" w:type="dxa"/>
            <w:shd w:val="clear" w:color="auto" w:fill="auto"/>
            <w:noWrap/>
            <w:vAlign w:val="bottom"/>
            <w:hideMark/>
          </w:tcPr>
          <w:p w14:paraId="13785A8A"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The Electricity Generation Corporation</w:t>
            </w:r>
          </w:p>
        </w:tc>
        <w:tc>
          <w:tcPr>
            <w:tcW w:w="3400" w:type="dxa"/>
            <w:shd w:val="clear" w:color="auto" w:fill="auto"/>
            <w:noWrap/>
            <w:vAlign w:val="bottom"/>
            <w:hideMark/>
          </w:tcPr>
          <w:p w14:paraId="0B362359"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Branch Manager</w:t>
            </w:r>
          </w:p>
        </w:tc>
      </w:tr>
      <w:tr w:rsidR="00D52D26" w:rsidRPr="0043215C" w14:paraId="48BD8EDB" w14:textId="77777777" w:rsidTr="000C5237">
        <w:trPr>
          <w:trHeight w:val="285"/>
        </w:trPr>
        <w:tc>
          <w:tcPr>
            <w:tcW w:w="2120" w:type="dxa"/>
            <w:shd w:val="clear" w:color="auto" w:fill="auto"/>
            <w:noWrap/>
            <w:vAlign w:val="bottom"/>
            <w:hideMark/>
          </w:tcPr>
          <w:p w14:paraId="32EAFB66"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Ali LOĞOLU</w:t>
            </w:r>
          </w:p>
        </w:tc>
        <w:tc>
          <w:tcPr>
            <w:tcW w:w="3640" w:type="dxa"/>
            <w:shd w:val="clear" w:color="auto" w:fill="auto"/>
            <w:noWrap/>
            <w:vAlign w:val="bottom"/>
            <w:hideMark/>
          </w:tcPr>
          <w:p w14:paraId="7BBB483A"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The Electricity Generation Corporation</w:t>
            </w:r>
          </w:p>
        </w:tc>
        <w:tc>
          <w:tcPr>
            <w:tcW w:w="3400" w:type="dxa"/>
            <w:shd w:val="clear" w:color="auto" w:fill="auto"/>
            <w:noWrap/>
            <w:vAlign w:val="bottom"/>
            <w:hideMark/>
          </w:tcPr>
          <w:p w14:paraId="5ACEC08C"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Branch Manager</w:t>
            </w:r>
          </w:p>
        </w:tc>
      </w:tr>
      <w:tr w:rsidR="00D52D26" w:rsidRPr="0043215C" w14:paraId="7CCD1B0D" w14:textId="77777777" w:rsidTr="000C5237">
        <w:trPr>
          <w:trHeight w:val="285"/>
        </w:trPr>
        <w:tc>
          <w:tcPr>
            <w:tcW w:w="2120" w:type="dxa"/>
            <w:shd w:val="clear" w:color="auto" w:fill="auto"/>
            <w:noWrap/>
            <w:vAlign w:val="bottom"/>
            <w:hideMark/>
          </w:tcPr>
          <w:p w14:paraId="2B1E32CA"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Selma ÜLKER</w:t>
            </w:r>
          </w:p>
        </w:tc>
        <w:tc>
          <w:tcPr>
            <w:tcW w:w="3640" w:type="dxa"/>
            <w:shd w:val="clear" w:color="auto" w:fill="auto"/>
            <w:noWrap/>
            <w:vAlign w:val="bottom"/>
            <w:hideMark/>
          </w:tcPr>
          <w:p w14:paraId="408F30F2"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The Electricity Generation Corporation</w:t>
            </w:r>
          </w:p>
        </w:tc>
        <w:tc>
          <w:tcPr>
            <w:tcW w:w="3400" w:type="dxa"/>
            <w:shd w:val="clear" w:color="auto" w:fill="auto"/>
            <w:noWrap/>
            <w:vAlign w:val="bottom"/>
            <w:hideMark/>
          </w:tcPr>
          <w:p w14:paraId="50558B48"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Assistant Director</w:t>
            </w:r>
          </w:p>
        </w:tc>
      </w:tr>
      <w:tr w:rsidR="00D52D26" w:rsidRPr="0043215C" w14:paraId="15A94CC5" w14:textId="77777777" w:rsidTr="000C5237">
        <w:trPr>
          <w:trHeight w:val="285"/>
        </w:trPr>
        <w:tc>
          <w:tcPr>
            <w:tcW w:w="2120" w:type="dxa"/>
            <w:shd w:val="clear" w:color="auto" w:fill="auto"/>
            <w:noWrap/>
            <w:vAlign w:val="bottom"/>
            <w:hideMark/>
          </w:tcPr>
          <w:p w14:paraId="6393B004" w14:textId="77777777" w:rsidR="00D52D26" w:rsidRPr="0043215C" w:rsidRDefault="00D52D26" w:rsidP="00CC4A89">
            <w:pPr>
              <w:spacing w:after="0" w:line="240" w:lineRule="auto"/>
              <w:jc w:val="left"/>
              <w:rPr>
                <w:rFonts w:eastAsia="Times New Roman" w:cstheme="minorHAnsi"/>
                <w:color w:val="000000"/>
                <w:sz w:val="20"/>
                <w:szCs w:val="20"/>
              </w:rPr>
            </w:pPr>
            <w:proofErr w:type="spellStart"/>
            <w:r w:rsidRPr="0043215C">
              <w:rPr>
                <w:rFonts w:eastAsia="Times New Roman" w:cstheme="minorHAnsi"/>
                <w:color w:val="000000"/>
                <w:sz w:val="20"/>
                <w:szCs w:val="20"/>
              </w:rPr>
              <w:t>İlknur</w:t>
            </w:r>
            <w:proofErr w:type="spellEnd"/>
            <w:r w:rsidRPr="0043215C">
              <w:rPr>
                <w:rFonts w:eastAsia="Times New Roman" w:cstheme="minorHAnsi"/>
                <w:color w:val="000000"/>
                <w:sz w:val="20"/>
                <w:szCs w:val="20"/>
              </w:rPr>
              <w:t xml:space="preserve"> ATAN</w:t>
            </w:r>
          </w:p>
        </w:tc>
        <w:tc>
          <w:tcPr>
            <w:tcW w:w="3640" w:type="dxa"/>
            <w:shd w:val="clear" w:color="auto" w:fill="auto"/>
            <w:noWrap/>
            <w:vAlign w:val="bottom"/>
            <w:hideMark/>
          </w:tcPr>
          <w:p w14:paraId="33D471AE"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The Electricity Generation Corporation</w:t>
            </w:r>
          </w:p>
        </w:tc>
        <w:tc>
          <w:tcPr>
            <w:tcW w:w="3400" w:type="dxa"/>
            <w:shd w:val="clear" w:color="auto" w:fill="auto"/>
            <w:noWrap/>
            <w:vAlign w:val="bottom"/>
            <w:hideMark/>
          </w:tcPr>
          <w:p w14:paraId="7819ED16"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Chief </w:t>
            </w:r>
          </w:p>
        </w:tc>
      </w:tr>
      <w:tr w:rsidR="00D52D26" w:rsidRPr="0043215C" w14:paraId="79111880" w14:textId="77777777" w:rsidTr="000C5237">
        <w:trPr>
          <w:trHeight w:val="285"/>
        </w:trPr>
        <w:tc>
          <w:tcPr>
            <w:tcW w:w="2120" w:type="dxa"/>
            <w:shd w:val="clear" w:color="auto" w:fill="auto"/>
            <w:noWrap/>
            <w:vAlign w:val="bottom"/>
            <w:hideMark/>
          </w:tcPr>
          <w:p w14:paraId="1AF2EB13"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Mehmet KEMİKLİ</w:t>
            </w:r>
          </w:p>
        </w:tc>
        <w:tc>
          <w:tcPr>
            <w:tcW w:w="3640" w:type="dxa"/>
            <w:shd w:val="clear" w:color="auto" w:fill="auto"/>
            <w:noWrap/>
            <w:vAlign w:val="bottom"/>
            <w:hideMark/>
          </w:tcPr>
          <w:p w14:paraId="7430F2A5"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The Electricity Generation Corporation</w:t>
            </w:r>
          </w:p>
        </w:tc>
        <w:tc>
          <w:tcPr>
            <w:tcW w:w="3400" w:type="dxa"/>
            <w:shd w:val="clear" w:color="auto" w:fill="auto"/>
            <w:noWrap/>
            <w:vAlign w:val="bottom"/>
            <w:hideMark/>
          </w:tcPr>
          <w:p w14:paraId="14D98D5E"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Assistant Manager</w:t>
            </w:r>
          </w:p>
        </w:tc>
      </w:tr>
      <w:tr w:rsidR="00D52D26" w:rsidRPr="0043215C" w14:paraId="5F484ED9" w14:textId="77777777" w:rsidTr="000C5237">
        <w:trPr>
          <w:trHeight w:val="285"/>
        </w:trPr>
        <w:tc>
          <w:tcPr>
            <w:tcW w:w="2120" w:type="dxa"/>
            <w:shd w:val="clear" w:color="auto" w:fill="auto"/>
            <w:noWrap/>
            <w:vAlign w:val="bottom"/>
            <w:hideMark/>
          </w:tcPr>
          <w:p w14:paraId="1FE5E009" w14:textId="77777777" w:rsidR="00D52D26" w:rsidRPr="0043215C" w:rsidRDefault="00D52D26" w:rsidP="00CC4A89">
            <w:pPr>
              <w:spacing w:after="0" w:line="240" w:lineRule="auto"/>
              <w:jc w:val="left"/>
              <w:rPr>
                <w:rFonts w:eastAsia="Times New Roman" w:cstheme="minorHAnsi"/>
                <w:color w:val="000000"/>
                <w:sz w:val="20"/>
                <w:szCs w:val="20"/>
              </w:rPr>
            </w:pPr>
            <w:proofErr w:type="spellStart"/>
            <w:r w:rsidRPr="0043215C">
              <w:rPr>
                <w:rFonts w:eastAsia="Times New Roman" w:cstheme="minorHAnsi"/>
                <w:color w:val="000000"/>
                <w:sz w:val="20"/>
                <w:szCs w:val="20"/>
              </w:rPr>
              <w:t>Kürşat</w:t>
            </w:r>
            <w:proofErr w:type="spellEnd"/>
            <w:r w:rsidRPr="0043215C">
              <w:rPr>
                <w:rFonts w:eastAsia="Times New Roman" w:cstheme="minorHAnsi"/>
                <w:color w:val="000000"/>
                <w:sz w:val="20"/>
                <w:szCs w:val="20"/>
              </w:rPr>
              <w:t xml:space="preserve"> DAL</w:t>
            </w:r>
          </w:p>
        </w:tc>
        <w:tc>
          <w:tcPr>
            <w:tcW w:w="3640" w:type="dxa"/>
            <w:shd w:val="clear" w:color="auto" w:fill="auto"/>
            <w:noWrap/>
            <w:vAlign w:val="bottom"/>
            <w:hideMark/>
          </w:tcPr>
          <w:p w14:paraId="50D084B9"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The Electricity Generation Corporation</w:t>
            </w:r>
          </w:p>
        </w:tc>
        <w:tc>
          <w:tcPr>
            <w:tcW w:w="3400" w:type="dxa"/>
            <w:shd w:val="clear" w:color="auto" w:fill="auto"/>
            <w:noWrap/>
            <w:vAlign w:val="bottom"/>
            <w:hideMark/>
          </w:tcPr>
          <w:p w14:paraId="6A8083AC"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Engineer</w:t>
            </w:r>
          </w:p>
        </w:tc>
      </w:tr>
      <w:tr w:rsidR="00D52D26" w:rsidRPr="0043215C" w14:paraId="75B6E831" w14:textId="77777777" w:rsidTr="000C5237">
        <w:trPr>
          <w:trHeight w:val="285"/>
        </w:trPr>
        <w:tc>
          <w:tcPr>
            <w:tcW w:w="2120" w:type="dxa"/>
            <w:shd w:val="clear" w:color="auto" w:fill="auto"/>
            <w:noWrap/>
            <w:vAlign w:val="bottom"/>
            <w:hideMark/>
          </w:tcPr>
          <w:p w14:paraId="7405D437"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Ozan OLGUNER</w:t>
            </w:r>
          </w:p>
        </w:tc>
        <w:tc>
          <w:tcPr>
            <w:tcW w:w="3640" w:type="dxa"/>
            <w:shd w:val="clear" w:color="auto" w:fill="auto"/>
            <w:noWrap/>
            <w:vAlign w:val="bottom"/>
            <w:hideMark/>
          </w:tcPr>
          <w:p w14:paraId="1EAB25B6"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The Electricity Generation Corporation</w:t>
            </w:r>
          </w:p>
        </w:tc>
        <w:tc>
          <w:tcPr>
            <w:tcW w:w="3400" w:type="dxa"/>
            <w:shd w:val="clear" w:color="auto" w:fill="auto"/>
            <w:noWrap/>
            <w:vAlign w:val="bottom"/>
            <w:hideMark/>
          </w:tcPr>
          <w:p w14:paraId="26D287F7"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Engineer</w:t>
            </w:r>
          </w:p>
        </w:tc>
      </w:tr>
      <w:tr w:rsidR="00D52D26" w:rsidRPr="0043215C" w14:paraId="2A9D20F1" w14:textId="77777777" w:rsidTr="000C5237">
        <w:trPr>
          <w:trHeight w:val="285"/>
        </w:trPr>
        <w:tc>
          <w:tcPr>
            <w:tcW w:w="2120" w:type="dxa"/>
            <w:shd w:val="clear" w:color="auto" w:fill="auto"/>
            <w:noWrap/>
            <w:vAlign w:val="bottom"/>
            <w:hideMark/>
          </w:tcPr>
          <w:p w14:paraId="04F69B5D"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Dilek CİVAK ERDAŞ</w:t>
            </w:r>
          </w:p>
        </w:tc>
        <w:tc>
          <w:tcPr>
            <w:tcW w:w="3640" w:type="dxa"/>
            <w:shd w:val="clear" w:color="auto" w:fill="auto"/>
            <w:noWrap/>
            <w:vAlign w:val="bottom"/>
            <w:hideMark/>
          </w:tcPr>
          <w:p w14:paraId="03B2E022"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Energy Market Regulation Authority</w:t>
            </w:r>
          </w:p>
        </w:tc>
        <w:tc>
          <w:tcPr>
            <w:tcW w:w="3400" w:type="dxa"/>
            <w:shd w:val="clear" w:color="auto" w:fill="auto"/>
            <w:noWrap/>
            <w:vAlign w:val="bottom"/>
            <w:hideMark/>
          </w:tcPr>
          <w:p w14:paraId="004D2550"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Head of Group</w:t>
            </w:r>
          </w:p>
        </w:tc>
      </w:tr>
      <w:tr w:rsidR="00D52D26" w:rsidRPr="0043215C" w14:paraId="0923E66C" w14:textId="77777777" w:rsidTr="000C5237">
        <w:trPr>
          <w:trHeight w:val="285"/>
        </w:trPr>
        <w:tc>
          <w:tcPr>
            <w:tcW w:w="2120" w:type="dxa"/>
            <w:shd w:val="clear" w:color="auto" w:fill="auto"/>
            <w:noWrap/>
            <w:vAlign w:val="bottom"/>
            <w:hideMark/>
          </w:tcPr>
          <w:p w14:paraId="69057DD7"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Okan YARDIMCI</w:t>
            </w:r>
          </w:p>
        </w:tc>
        <w:tc>
          <w:tcPr>
            <w:tcW w:w="3640" w:type="dxa"/>
            <w:shd w:val="clear" w:color="auto" w:fill="auto"/>
            <w:noWrap/>
            <w:vAlign w:val="bottom"/>
            <w:hideMark/>
          </w:tcPr>
          <w:p w14:paraId="12B9837D"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Energy Market Regulation Authority</w:t>
            </w:r>
          </w:p>
        </w:tc>
        <w:tc>
          <w:tcPr>
            <w:tcW w:w="3400" w:type="dxa"/>
            <w:shd w:val="clear" w:color="auto" w:fill="auto"/>
            <w:noWrap/>
            <w:vAlign w:val="bottom"/>
            <w:hideMark/>
          </w:tcPr>
          <w:p w14:paraId="71F618D7"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Head of Group</w:t>
            </w:r>
          </w:p>
        </w:tc>
      </w:tr>
      <w:tr w:rsidR="00D52D26" w:rsidRPr="0043215C" w14:paraId="3E188BB1" w14:textId="77777777" w:rsidTr="000C5237">
        <w:trPr>
          <w:trHeight w:val="285"/>
        </w:trPr>
        <w:tc>
          <w:tcPr>
            <w:tcW w:w="2120" w:type="dxa"/>
            <w:shd w:val="clear" w:color="auto" w:fill="auto"/>
            <w:noWrap/>
            <w:vAlign w:val="bottom"/>
            <w:hideMark/>
          </w:tcPr>
          <w:p w14:paraId="414B6984"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Hakan KAYSI</w:t>
            </w:r>
          </w:p>
        </w:tc>
        <w:tc>
          <w:tcPr>
            <w:tcW w:w="3640" w:type="dxa"/>
            <w:shd w:val="clear" w:color="auto" w:fill="auto"/>
            <w:noWrap/>
            <w:vAlign w:val="bottom"/>
            <w:hideMark/>
          </w:tcPr>
          <w:p w14:paraId="051BD435"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Energy Market Regulation Authority</w:t>
            </w:r>
          </w:p>
        </w:tc>
        <w:tc>
          <w:tcPr>
            <w:tcW w:w="3400" w:type="dxa"/>
            <w:shd w:val="clear" w:color="auto" w:fill="auto"/>
            <w:noWrap/>
            <w:vAlign w:val="bottom"/>
            <w:hideMark/>
          </w:tcPr>
          <w:p w14:paraId="17A8B445"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Energy Specialist</w:t>
            </w:r>
          </w:p>
        </w:tc>
      </w:tr>
      <w:tr w:rsidR="00D52D26" w:rsidRPr="0043215C" w14:paraId="5807BDB7" w14:textId="77777777" w:rsidTr="000C5237">
        <w:trPr>
          <w:trHeight w:val="285"/>
        </w:trPr>
        <w:tc>
          <w:tcPr>
            <w:tcW w:w="2120" w:type="dxa"/>
            <w:shd w:val="clear" w:color="auto" w:fill="auto"/>
            <w:noWrap/>
            <w:vAlign w:val="bottom"/>
            <w:hideMark/>
          </w:tcPr>
          <w:p w14:paraId="4EB3C9DC"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Mehmet YALILI</w:t>
            </w:r>
          </w:p>
        </w:tc>
        <w:tc>
          <w:tcPr>
            <w:tcW w:w="3640" w:type="dxa"/>
            <w:shd w:val="clear" w:color="auto" w:fill="auto"/>
            <w:noWrap/>
            <w:vAlign w:val="bottom"/>
            <w:hideMark/>
          </w:tcPr>
          <w:p w14:paraId="6253DE7A"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Energy Market Regulation Authority</w:t>
            </w:r>
          </w:p>
        </w:tc>
        <w:tc>
          <w:tcPr>
            <w:tcW w:w="3400" w:type="dxa"/>
            <w:shd w:val="clear" w:color="auto" w:fill="auto"/>
            <w:noWrap/>
            <w:vAlign w:val="bottom"/>
            <w:hideMark/>
          </w:tcPr>
          <w:p w14:paraId="468ADB31"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Energy Specialist</w:t>
            </w:r>
          </w:p>
        </w:tc>
      </w:tr>
      <w:tr w:rsidR="00D52D26" w:rsidRPr="0043215C" w14:paraId="6129C132" w14:textId="77777777" w:rsidTr="000C5237">
        <w:trPr>
          <w:trHeight w:val="285"/>
        </w:trPr>
        <w:tc>
          <w:tcPr>
            <w:tcW w:w="2120" w:type="dxa"/>
            <w:shd w:val="clear" w:color="auto" w:fill="auto"/>
            <w:noWrap/>
            <w:vAlign w:val="bottom"/>
            <w:hideMark/>
          </w:tcPr>
          <w:p w14:paraId="3C060A4B"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Mustafa </w:t>
            </w:r>
            <w:proofErr w:type="spellStart"/>
            <w:r w:rsidRPr="0043215C">
              <w:rPr>
                <w:rFonts w:eastAsia="Times New Roman" w:cstheme="minorHAnsi"/>
                <w:color w:val="000000"/>
                <w:sz w:val="20"/>
                <w:szCs w:val="20"/>
              </w:rPr>
              <w:t>Çağrı</w:t>
            </w:r>
            <w:proofErr w:type="spellEnd"/>
            <w:r w:rsidRPr="0043215C">
              <w:rPr>
                <w:rFonts w:eastAsia="Times New Roman" w:cstheme="minorHAnsi"/>
                <w:color w:val="000000"/>
                <w:sz w:val="20"/>
                <w:szCs w:val="20"/>
              </w:rPr>
              <w:t xml:space="preserve"> PEKER</w:t>
            </w:r>
          </w:p>
        </w:tc>
        <w:tc>
          <w:tcPr>
            <w:tcW w:w="3640" w:type="dxa"/>
            <w:shd w:val="clear" w:color="auto" w:fill="auto"/>
            <w:noWrap/>
            <w:vAlign w:val="bottom"/>
            <w:hideMark/>
          </w:tcPr>
          <w:p w14:paraId="4EC5BFE7"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Energy Market Regulation Authority</w:t>
            </w:r>
          </w:p>
        </w:tc>
        <w:tc>
          <w:tcPr>
            <w:tcW w:w="3400" w:type="dxa"/>
            <w:shd w:val="clear" w:color="auto" w:fill="auto"/>
            <w:noWrap/>
            <w:vAlign w:val="bottom"/>
            <w:hideMark/>
          </w:tcPr>
          <w:p w14:paraId="135FE6E6"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Energy Specialist</w:t>
            </w:r>
          </w:p>
        </w:tc>
      </w:tr>
      <w:tr w:rsidR="00D52D26" w:rsidRPr="0043215C" w14:paraId="74524972" w14:textId="77777777" w:rsidTr="000C5237">
        <w:trPr>
          <w:trHeight w:val="285"/>
        </w:trPr>
        <w:tc>
          <w:tcPr>
            <w:tcW w:w="2120" w:type="dxa"/>
            <w:shd w:val="clear" w:color="auto" w:fill="auto"/>
            <w:noWrap/>
            <w:vAlign w:val="bottom"/>
            <w:hideMark/>
          </w:tcPr>
          <w:p w14:paraId="19E58B7C"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Melih YETİŞ</w:t>
            </w:r>
          </w:p>
        </w:tc>
        <w:tc>
          <w:tcPr>
            <w:tcW w:w="3640" w:type="dxa"/>
            <w:shd w:val="clear" w:color="auto" w:fill="auto"/>
            <w:noWrap/>
            <w:vAlign w:val="bottom"/>
            <w:hideMark/>
          </w:tcPr>
          <w:p w14:paraId="1624D23E"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Energy Market Regulation Authority</w:t>
            </w:r>
          </w:p>
        </w:tc>
        <w:tc>
          <w:tcPr>
            <w:tcW w:w="3400" w:type="dxa"/>
            <w:shd w:val="clear" w:color="auto" w:fill="auto"/>
            <w:noWrap/>
            <w:vAlign w:val="bottom"/>
            <w:hideMark/>
          </w:tcPr>
          <w:p w14:paraId="1DA23EDC"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Energy Specialist</w:t>
            </w:r>
          </w:p>
        </w:tc>
      </w:tr>
      <w:tr w:rsidR="00D52D26" w:rsidRPr="0043215C" w14:paraId="57032475" w14:textId="77777777" w:rsidTr="000C5237">
        <w:trPr>
          <w:trHeight w:val="285"/>
        </w:trPr>
        <w:tc>
          <w:tcPr>
            <w:tcW w:w="2120" w:type="dxa"/>
            <w:shd w:val="clear" w:color="auto" w:fill="auto"/>
            <w:noWrap/>
            <w:vAlign w:val="bottom"/>
            <w:hideMark/>
          </w:tcPr>
          <w:p w14:paraId="13D89E37" w14:textId="77777777" w:rsidR="00D52D26" w:rsidRPr="0043215C" w:rsidRDefault="00D52D26" w:rsidP="00CC4A89">
            <w:pPr>
              <w:spacing w:after="0" w:line="240" w:lineRule="auto"/>
              <w:jc w:val="left"/>
              <w:rPr>
                <w:rFonts w:eastAsia="Times New Roman" w:cstheme="minorHAnsi"/>
                <w:color w:val="000000"/>
                <w:sz w:val="20"/>
                <w:szCs w:val="20"/>
              </w:rPr>
            </w:pPr>
            <w:proofErr w:type="spellStart"/>
            <w:r w:rsidRPr="0043215C">
              <w:rPr>
                <w:rFonts w:eastAsia="Times New Roman" w:cstheme="minorHAnsi"/>
                <w:color w:val="000000"/>
                <w:sz w:val="20"/>
                <w:szCs w:val="20"/>
              </w:rPr>
              <w:t>Mehtap</w:t>
            </w:r>
            <w:proofErr w:type="spellEnd"/>
            <w:r w:rsidRPr="0043215C">
              <w:rPr>
                <w:rFonts w:eastAsia="Times New Roman" w:cstheme="minorHAnsi"/>
                <w:color w:val="000000"/>
                <w:sz w:val="20"/>
                <w:szCs w:val="20"/>
              </w:rPr>
              <w:t xml:space="preserve"> ALPER SAĞLAM</w:t>
            </w:r>
          </w:p>
        </w:tc>
        <w:tc>
          <w:tcPr>
            <w:tcW w:w="3640" w:type="dxa"/>
            <w:shd w:val="clear" w:color="auto" w:fill="auto"/>
            <w:noWrap/>
            <w:vAlign w:val="bottom"/>
            <w:hideMark/>
          </w:tcPr>
          <w:p w14:paraId="783A6AEF"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Energy Market Regulation Authority</w:t>
            </w:r>
          </w:p>
        </w:tc>
        <w:tc>
          <w:tcPr>
            <w:tcW w:w="3400" w:type="dxa"/>
            <w:shd w:val="clear" w:color="auto" w:fill="auto"/>
            <w:noWrap/>
            <w:vAlign w:val="bottom"/>
            <w:hideMark/>
          </w:tcPr>
          <w:p w14:paraId="7425538C"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Energy Specialist</w:t>
            </w:r>
          </w:p>
        </w:tc>
      </w:tr>
      <w:tr w:rsidR="00D52D26" w:rsidRPr="0043215C" w14:paraId="0DFEC9D9" w14:textId="77777777" w:rsidTr="000C5237">
        <w:trPr>
          <w:trHeight w:val="285"/>
        </w:trPr>
        <w:tc>
          <w:tcPr>
            <w:tcW w:w="2120" w:type="dxa"/>
            <w:shd w:val="clear" w:color="auto" w:fill="auto"/>
            <w:noWrap/>
            <w:vAlign w:val="bottom"/>
            <w:hideMark/>
          </w:tcPr>
          <w:p w14:paraId="2E9A8D6C" w14:textId="77777777" w:rsidR="00D52D26" w:rsidRPr="0043215C" w:rsidRDefault="00D52D26" w:rsidP="00CC4A89">
            <w:pPr>
              <w:spacing w:after="0" w:line="240" w:lineRule="auto"/>
              <w:jc w:val="left"/>
              <w:rPr>
                <w:rFonts w:eastAsia="Times New Roman" w:cstheme="minorHAnsi"/>
                <w:color w:val="000000"/>
                <w:sz w:val="20"/>
                <w:szCs w:val="20"/>
              </w:rPr>
            </w:pPr>
            <w:proofErr w:type="spellStart"/>
            <w:r w:rsidRPr="0043215C">
              <w:rPr>
                <w:rFonts w:eastAsia="Times New Roman" w:cstheme="minorHAnsi"/>
                <w:color w:val="000000"/>
                <w:sz w:val="20"/>
                <w:szCs w:val="20"/>
              </w:rPr>
              <w:t>Alaaddin</w:t>
            </w:r>
            <w:proofErr w:type="spellEnd"/>
            <w:r w:rsidRPr="0043215C">
              <w:rPr>
                <w:rFonts w:eastAsia="Times New Roman" w:cstheme="minorHAnsi"/>
                <w:color w:val="000000"/>
                <w:sz w:val="20"/>
                <w:szCs w:val="20"/>
              </w:rPr>
              <w:t xml:space="preserve"> Emre EVGALLIOĞLU</w:t>
            </w:r>
          </w:p>
        </w:tc>
        <w:tc>
          <w:tcPr>
            <w:tcW w:w="3640" w:type="dxa"/>
            <w:shd w:val="clear" w:color="auto" w:fill="auto"/>
            <w:noWrap/>
            <w:vAlign w:val="bottom"/>
            <w:hideMark/>
          </w:tcPr>
          <w:p w14:paraId="7A3037CE"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Energy Market Regulation Authority</w:t>
            </w:r>
          </w:p>
        </w:tc>
        <w:tc>
          <w:tcPr>
            <w:tcW w:w="3400" w:type="dxa"/>
            <w:shd w:val="clear" w:color="auto" w:fill="auto"/>
            <w:noWrap/>
            <w:vAlign w:val="bottom"/>
            <w:hideMark/>
          </w:tcPr>
          <w:p w14:paraId="26D9D64B"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Energy Specialist</w:t>
            </w:r>
          </w:p>
        </w:tc>
      </w:tr>
      <w:tr w:rsidR="00D52D26" w:rsidRPr="0043215C" w14:paraId="709E054F" w14:textId="77777777" w:rsidTr="000C5237">
        <w:trPr>
          <w:trHeight w:val="285"/>
        </w:trPr>
        <w:tc>
          <w:tcPr>
            <w:tcW w:w="2120" w:type="dxa"/>
            <w:shd w:val="clear" w:color="auto" w:fill="auto"/>
            <w:noWrap/>
            <w:vAlign w:val="bottom"/>
            <w:hideMark/>
          </w:tcPr>
          <w:p w14:paraId="02925211"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Metin SEVER</w:t>
            </w:r>
          </w:p>
        </w:tc>
        <w:tc>
          <w:tcPr>
            <w:tcW w:w="3640" w:type="dxa"/>
            <w:shd w:val="clear" w:color="auto" w:fill="auto"/>
            <w:noWrap/>
            <w:vAlign w:val="bottom"/>
            <w:hideMark/>
          </w:tcPr>
          <w:p w14:paraId="42630D8C"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Energy Market Regulation Authority</w:t>
            </w:r>
          </w:p>
        </w:tc>
        <w:tc>
          <w:tcPr>
            <w:tcW w:w="3400" w:type="dxa"/>
            <w:shd w:val="clear" w:color="auto" w:fill="auto"/>
            <w:noWrap/>
            <w:vAlign w:val="bottom"/>
            <w:hideMark/>
          </w:tcPr>
          <w:p w14:paraId="6D0B969D"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Energy Specialist</w:t>
            </w:r>
          </w:p>
        </w:tc>
      </w:tr>
      <w:tr w:rsidR="00D52D26" w:rsidRPr="0043215C" w14:paraId="187C41B5" w14:textId="77777777" w:rsidTr="000C5237">
        <w:trPr>
          <w:trHeight w:val="285"/>
        </w:trPr>
        <w:tc>
          <w:tcPr>
            <w:tcW w:w="2120" w:type="dxa"/>
            <w:shd w:val="clear" w:color="auto" w:fill="auto"/>
            <w:noWrap/>
            <w:vAlign w:val="bottom"/>
            <w:hideMark/>
          </w:tcPr>
          <w:p w14:paraId="793EA6B3" w14:textId="77777777" w:rsidR="00D52D26" w:rsidRPr="0043215C" w:rsidRDefault="00D52D26" w:rsidP="00CC4A89">
            <w:pPr>
              <w:spacing w:after="0" w:line="240" w:lineRule="auto"/>
              <w:jc w:val="left"/>
              <w:rPr>
                <w:rFonts w:eastAsia="Times New Roman" w:cstheme="minorHAnsi"/>
                <w:color w:val="000000"/>
                <w:sz w:val="20"/>
                <w:szCs w:val="20"/>
              </w:rPr>
            </w:pPr>
            <w:proofErr w:type="spellStart"/>
            <w:r w:rsidRPr="0043215C">
              <w:rPr>
                <w:rFonts w:eastAsia="Times New Roman" w:cstheme="minorHAnsi"/>
                <w:color w:val="000000"/>
                <w:sz w:val="20"/>
                <w:szCs w:val="20"/>
              </w:rPr>
              <w:t>Nidanur</w:t>
            </w:r>
            <w:proofErr w:type="spellEnd"/>
            <w:r w:rsidRPr="0043215C">
              <w:rPr>
                <w:rFonts w:eastAsia="Times New Roman" w:cstheme="minorHAnsi"/>
                <w:color w:val="000000"/>
                <w:sz w:val="20"/>
                <w:szCs w:val="20"/>
              </w:rPr>
              <w:t xml:space="preserve"> YILDIRIM</w:t>
            </w:r>
          </w:p>
        </w:tc>
        <w:tc>
          <w:tcPr>
            <w:tcW w:w="3640" w:type="dxa"/>
            <w:shd w:val="clear" w:color="auto" w:fill="auto"/>
            <w:noWrap/>
            <w:vAlign w:val="bottom"/>
            <w:hideMark/>
          </w:tcPr>
          <w:p w14:paraId="738E1CBB"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Energy Market Regulation Authority</w:t>
            </w:r>
          </w:p>
        </w:tc>
        <w:tc>
          <w:tcPr>
            <w:tcW w:w="3400" w:type="dxa"/>
            <w:shd w:val="clear" w:color="auto" w:fill="auto"/>
            <w:noWrap/>
            <w:vAlign w:val="bottom"/>
            <w:hideMark/>
          </w:tcPr>
          <w:p w14:paraId="2DF12DF1"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Energy Specialist</w:t>
            </w:r>
          </w:p>
        </w:tc>
      </w:tr>
      <w:tr w:rsidR="00D52D26" w:rsidRPr="0043215C" w14:paraId="2D8827E3" w14:textId="77777777" w:rsidTr="000C5237">
        <w:trPr>
          <w:trHeight w:val="285"/>
        </w:trPr>
        <w:tc>
          <w:tcPr>
            <w:tcW w:w="2120" w:type="dxa"/>
            <w:shd w:val="clear" w:color="auto" w:fill="auto"/>
            <w:noWrap/>
            <w:vAlign w:val="bottom"/>
            <w:hideMark/>
          </w:tcPr>
          <w:p w14:paraId="71F17758"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Handan KAYALAK</w:t>
            </w:r>
          </w:p>
        </w:tc>
        <w:tc>
          <w:tcPr>
            <w:tcW w:w="3640" w:type="dxa"/>
            <w:shd w:val="clear" w:color="auto" w:fill="auto"/>
            <w:noWrap/>
            <w:vAlign w:val="bottom"/>
            <w:hideMark/>
          </w:tcPr>
          <w:p w14:paraId="577C6CD2"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Energy Market Regulation Authority</w:t>
            </w:r>
          </w:p>
        </w:tc>
        <w:tc>
          <w:tcPr>
            <w:tcW w:w="3400" w:type="dxa"/>
            <w:shd w:val="clear" w:color="auto" w:fill="auto"/>
            <w:noWrap/>
            <w:vAlign w:val="bottom"/>
            <w:hideMark/>
          </w:tcPr>
          <w:p w14:paraId="5B6785E2"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Assistant Energy Specialist</w:t>
            </w:r>
          </w:p>
        </w:tc>
      </w:tr>
      <w:tr w:rsidR="00D52D26" w:rsidRPr="0043215C" w14:paraId="681805D8" w14:textId="77777777" w:rsidTr="000C5237">
        <w:trPr>
          <w:trHeight w:val="285"/>
        </w:trPr>
        <w:tc>
          <w:tcPr>
            <w:tcW w:w="2120" w:type="dxa"/>
            <w:shd w:val="clear" w:color="auto" w:fill="auto"/>
            <w:noWrap/>
            <w:vAlign w:val="bottom"/>
            <w:hideMark/>
          </w:tcPr>
          <w:p w14:paraId="5B6F01CF"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Dr. </w:t>
            </w:r>
            <w:proofErr w:type="spellStart"/>
            <w:r w:rsidRPr="0043215C">
              <w:rPr>
                <w:rFonts w:eastAsia="Times New Roman" w:cstheme="minorHAnsi"/>
                <w:color w:val="000000"/>
                <w:sz w:val="20"/>
                <w:szCs w:val="20"/>
              </w:rPr>
              <w:t>Celal</w:t>
            </w:r>
            <w:proofErr w:type="spellEnd"/>
            <w:r w:rsidRPr="0043215C">
              <w:rPr>
                <w:rFonts w:eastAsia="Times New Roman" w:cstheme="minorHAnsi"/>
                <w:color w:val="000000"/>
                <w:sz w:val="20"/>
                <w:szCs w:val="20"/>
              </w:rPr>
              <w:t xml:space="preserve"> ERBAY</w:t>
            </w:r>
          </w:p>
        </w:tc>
        <w:tc>
          <w:tcPr>
            <w:tcW w:w="3640" w:type="dxa"/>
            <w:shd w:val="clear" w:color="auto" w:fill="auto"/>
            <w:noWrap/>
            <w:vAlign w:val="bottom"/>
            <w:hideMark/>
          </w:tcPr>
          <w:p w14:paraId="4CA553F1"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Turkish Energy, Nuclear and Mineral Research Agency</w:t>
            </w:r>
          </w:p>
        </w:tc>
        <w:tc>
          <w:tcPr>
            <w:tcW w:w="3400" w:type="dxa"/>
            <w:shd w:val="clear" w:color="auto" w:fill="auto"/>
            <w:noWrap/>
            <w:vAlign w:val="bottom"/>
            <w:hideMark/>
          </w:tcPr>
          <w:p w14:paraId="7D92140C"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Energy and Technology Policy Coordinator</w:t>
            </w:r>
          </w:p>
        </w:tc>
      </w:tr>
      <w:tr w:rsidR="00D52D26" w:rsidRPr="0043215C" w14:paraId="70D1363C" w14:textId="77777777" w:rsidTr="000C5237">
        <w:trPr>
          <w:trHeight w:val="285"/>
        </w:trPr>
        <w:tc>
          <w:tcPr>
            <w:tcW w:w="2120" w:type="dxa"/>
            <w:shd w:val="clear" w:color="auto" w:fill="auto"/>
            <w:noWrap/>
            <w:vAlign w:val="bottom"/>
            <w:hideMark/>
          </w:tcPr>
          <w:p w14:paraId="7CA52879"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İrem IŞIK ÇETİN</w:t>
            </w:r>
          </w:p>
        </w:tc>
        <w:tc>
          <w:tcPr>
            <w:tcW w:w="3640" w:type="dxa"/>
            <w:shd w:val="clear" w:color="auto" w:fill="auto"/>
            <w:noWrap/>
            <w:vAlign w:val="bottom"/>
            <w:hideMark/>
          </w:tcPr>
          <w:p w14:paraId="670EB792"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Turkish Energy, Nuclear and Mineral Research Agency</w:t>
            </w:r>
          </w:p>
        </w:tc>
        <w:tc>
          <w:tcPr>
            <w:tcW w:w="3400" w:type="dxa"/>
            <w:shd w:val="clear" w:color="auto" w:fill="auto"/>
            <w:noWrap/>
            <w:vAlign w:val="bottom"/>
            <w:hideMark/>
          </w:tcPr>
          <w:p w14:paraId="3AA54191"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Specialist</w:t>
            </w:r>
          </w:p>
        </w:tc>
      </w:tr>
      <w:tr w:rsidR="00D52D26" w:rsidRPr="0043215C" w14:paraId="4865419A" w14:textId="77777777" w:rsidTr="000C5237">
        <w:trPr>
          <w:trHeight w:val="285"/>
        </w:trPr>
        <w:tc>
          <w:tcPr>
            <w:tcW w:w="2120" w:type="dxa"/>
            <w:shd w:val="clear" w:color="auto" w:fill="auto"/>
            <w:noWrap/>
            <w:vAlign w:val="bottom"/>
            <w:hideMark/>
          </w:tcPr>
          <w:p w14:paraId="251A7E7B"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Damla KESTEL ERDOĞAN</w:t>
            </w:r>
          </w:p>
        </w:tc>
        <w:tc>
          <w:tcPr>
            <w:tcW w:w="3640" w:type="dxa"/>
            <w:shd w:val="clear" w:color="auto" w:fill="auto"/>
            <w:noWrap/>
            <w:vAlign w:val="bottom"/>
            <w:hideMark/>
          </w:tcPr>
          <w:p w14:paraId="0472F0B5"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Ministry of Trade</w:t>
            </w:r>
          </w:p>
        </w:tc>
        <w:tc>
          <w:tcPr>
            <w:tcW w:w="3400" w:type="dxa"/>
            <w:shd w:val="clear" w:color="auto" w:fill="auto"/>
            <w:noWrap/>
            <w:vAlign w:val="bottom"/>
            <w:hideMark/>
          </w:tcPr>
          <w:p w14:paraId="4888EFD3"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Trade Specialist</w:t>
            </w:r>
          </w:p>
        </w:tc>
      </w:tr>
      <w:tr w:rsidR="00D52D26" w:rsidRPr="0043215C" w14:paraId="103A75BB" w14:textId="77777777" w:rsidTr="000C5237">
        <w:trPr>
          <w:trHeight w:val="285"/>
        </w:trPr>
        <w:tc>
          <w:tcPr>
            <w:tcW w:w="2120" w:type="dxa"/>
            <w:shd w:val="clear" w:color="auto" w:fill="auto"/>
            <w:noWrap/>
            <w:vAlign w:val="bottom"/>
            <w:hideMark/>
          </w:tcPr>
          <w:p w14:paraId="6F928384"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lastRenderedPageBreak/>
              <w:t>Didem ARTUNÇ ÜNALTEKİN</w:t>
            </w:r>
          </w:p>
        </w:tc>
        <w:tc>
          <w:tcPr>
            <w:tcW w:w="3640" w:type="dxa"/>
            <w:shd w:val="clear" w:color="auto" w:fill="auto"/>
            <w:noWrap/>
            <w:vAlign w:val="bottom"/>
            <w:hideMark/>
          </w:tcPr>
          <w:p w14:paraId="62CC3F3C"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Ministry of Trade</w:t>
            </w:r>
          </w:p>
        </w:tc>
        <w:tc>
          <w:tcPr>
            <w:tcW w:w="3400" w:type="dxa"/>
            <w:shd w:val="clear" w:color="auto" w:fill="auto"/>
            <w:noWrap/>
            <w:vAlign w:val="bottom"/>
            <w:hideMark/>
          </w:tcPr>
          <w:p w14:paraId="50A2CA5F"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Trade Specialist</w:t>
            </w:r>
          </w:p>
        </w:tc>
      </w:tr>
      <w:tr w:rsidR="00D52D26" w:rsidRPr="0043215C" w14:paraId="26BF5443" w14:textId="77777777" w:rsidTr="000C5237">
        <w:trPr>
          <w:trHeight w:val="285"/>
        </w:trPr>
        <w:tc>
          <w:tcPr>
            <w:tcW w:w="2120" w:type="dxa"/>
            <w:shd w:val="clear" w:color="auto" w:fill="auto"/>
            <w:noWrap/>
            <w:vAlign w:val="bottom"/>
            <w:hideMark/>
          </w:tcPr>
          <w:p w14:paraId="2DC34AE5"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Erhan ÇALIŞKAN</w:t>
            </w:r>
          </w:p>
        </w:tc>
        <w:tc>
          <w:tcPr>
            <w:tcW w:w="3640" w:type="dxa"/>
            <w:shd w:val="clear" w:color="auto" w:fill="auto"/>
            <w:noWrap/>
            <w:vAlign w:val="bottom"/>
            <w:hideMark/>
          </w:tcPr>
          <w:p w14:paraId="381D035E"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Development Investment Bank of Türkiye</w:t>
            </w:r>
          </w:p>
        </w:tc>
        <w:tc>
          <w:tcPr>
            <w:tcW w:w="3400" w:type="dxa"/>
            <w:shd w:val="clear" w:color="auto" w:fill="auto"/>
            <w:noWrap/>
            <w:vAlign w:val="bottom"/>
            <w:hideMark/>
          </w:tcPr>
          <w:p w14:paraId="4C16EE43"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Director</w:t>
            </w:r>
          </w:p>
        </w:tc>
      </w:tr>
      <w:tr w:rsidR="00D52D26" w:rsidRPr="0043215C" w14:paraId="60F2FA1A" w14:textId="77777777" w:rsidTr="000C5237">
        <w:trPr>
          <w:trHeight w:val="285"/>
        </w:trPr>
        <w:tc>
          <w:tcPr>
            <w:tcW w:w="2120" w:type="dxa"/>
            <w:shd w:val="clear" w:color="auto" w:fill="auto"/>
            <w:noWrap/>
            <w:vAlign w:val="bottom"/>
            <w:hideMark/>
          </w:tcPr>
          <w:p w14:paraId="1510529A" w14:textId="77777777" w:rsidR="00D52D26" w:rsidRPr="0043215C" w:rsidRDefault="00D52D26" w:rsidP="00CC4A89">
            <w:pPr>
              <w:spacing w:after="0" w:line="240" w:lineRule="auto"/>
              <w:jc w:val="left"/>
              <w:rPr>
                <w:rFonts w:eastAsia="Times New Roman" w:cstheme="minorHAnsi"/>
                <w:color w:val="000000"/>
                <w:sz w:val="20"/>
                <w:szCs w:val="20"/>
              </w:rPr>
            </w:pPr>
            <w:proofErr w:type="spellStart"/>
            <w:r w:rsidRPr="0043215C">
              <w:rPr>
                <w:rFonts w:eastAsia="Times New Roman" w:cstheme="minorHAnsi"/>
                <w:color w:val="000000"/>
                <w:sz w:val="20"/>
                <w:szCs w:val="20"/>
              </w:rPr>
              <w:t>Pınar</w:t>
            </w:r>
            <w:proofErr w:type="spellEnd"/>
            <w:r w:rsidRPr="0043215C">
              <w:rPr>
                <w:rFonts w:eastAsia="Times New Roman" w:cstheme="minorHAnsi"/>
                <w:color w:val="000000"/>
                <w:sz w:val="20"/>
                <w:szCs w:val="20"/>
              </w:rPr>
              <w:t xml:space="preserve"> </w:t>
            </w:r>
            <w:proofErr w:type="spellStart"/>
            <w:r w:rsidRPr="0043215C">
              <w:rPr>
                <w:rFonts w:eastAsia="Times New Roman" w:cstheme="minorHAnsi"/>
                <w:color w:val="000000"/>
                <w:sz w:val="20"/>
                <w:szCs w:val="20"/>
              </w:rPr>
              <w:t>Bahar</w:t>
            </w:r>
            <w:proofErr w:type="spellEnd"/>
            <w:r w:rsidRPr="0043215C">
              <w:rPr>
                <w:rFonts w:eastAsia="Times New Roman" w:cstheme="minorHAnsi"/>
                <w:color w:val="000000"/>
                <w:sz w:val="20"/>
                <w:szCs w:val="20"/>
              </w:rPr>
              <w:t xml:space="preserve"> YÜCEL</w:t>
            </w:r>
          </w:p>
        </w:tc>
        <w:tc>
          <w:tcPr>
            <w:tcW w:w="3640" w:type="dxa"/>
            <w:shd w:val="clear" w:color="auto" w:fill="auto"/>
            <w:noWrap/>
            <w:vAlign w:val="bottom"/>
            <w:hideMark/>
          </w:tcPr>
          <w:p w14:paraId="2E3DA3A1"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Development Investment Bank of Türkiye</w:t>
            </w:r>
          </w:p>
        </w:tc>
        <w:tc>
          <w:tcPr>
            <w:tcW w:w="3400" w:type="dxa"/>
            <w:shd w:val="clear" w:color="auto" w:fill="auto"/>
            <w:noWrap/>
            <w:vAlign w:val="bottom"/>
            <w:hideMark/>
          </w:tcPr>
          <w:p w14:paraId="0DBB2E7C"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Senior Specialist</w:t>
            </w:r>
          </w:p>
        </w:tc>
      </w:tr>
      <w:tr w:rsidR="00D52D26" w:rsidRPr="0043215C" w14:paraId="27CC6167" w14:textId="77777777" w:rsidTr="000C5237">
        <w:trPr>
          <w:trHeight w:val="285"/>
        </w:trPr>
        <w:tc>
          <w:tcPr>
            <w:tcW w:w="2120" w:type="dxa"/>
            <w:shd w:val="clear" w:color="auto" w:fill="auto"/>
            <w:noWrap/>
            <w:vAlign w:val="bottom"/>
            <w:hideMark/>
          </w:tcPr>
          <w:p w14:paraId="647193FB"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Hande </w:t>
            </w:r>
            <w:proofErr w:type="spellStart"/>
            <w:r w:rsidRPr="0043215C">
              <w:rPr>
                <w:rFonts w:eastAsia="Times New Roman" w:cstheme="minorHAnsi"/>
                <w:color w:val="000000"/>
                <w:sz w:val="20"/>
                <w:szCs w:val="20"/>
              </w:rPr>
              <w:t>Merçan</w:t>
            </w:r>
            <w:proofErr w:type="spellEnd"/>
            <w:r w:rsidRPr="0043215C">
              <w:rPr>
                <w:rFonts w:eastAsia="Times New Roman" w:cstheme="minorHAnsi"/>
                <w:color w:val="000000"/>
                <w:sz w:val="20"/>
                <w:szCs w:val="20"/>
              </w:rPr>
              <w:t xml:space="preserve"> AYGEN</w:t>
            </w:r>
          </w:p>
        </w:tc>
        <w:tc>
          <w:tcPr>
            <w:tcW w:w="3640" w:type="dxa"/>
            <w:shd w:val="clear" w:color="auto" w:fill="auto"/>
            <w:noWrap/>
            <w:vAlign w:val="bottom"/>
            <w:hideMark/>
          </w:tcPr>
          <w:p w14:paraId="7446EA88"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Ministry of Industry and Technology</w:t>
            </w:r>
          </w:p>
        </w:tc>
        <w:tc>
          <w:tcPr>
            <w:tcW w:w="3400" w:type="dxa"/>
            <w:shd w:val="clear" w:color="auto" w:fill="FFFFFF" w:themeFill="background1"/>
            <w:noWrap/>
            <w:vAlign w:val="bottom"/>
            <w:hideMark/>
          </w:tcPr>
          <w:p w14:paraId="5FA06841"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Acting General Director</w:t>
            </w:r>
          </w:p>
        </w:tc>
      </w:tr>
      <w:tr w:rsidR="00D52D26" w:rsidRPr="0043215C" w14:paraId="0D6BC800" w14:textId="77777777" w:rsidTr="000C5237">
        <w:trPr>
          <w:trHeight w:val="285"/>
        </w:trPr>
        <w:tc>
          <w:tcPr>
            <w:tcW w:w="2120" w:type="dxa"/>
            <w:shd w:val="clear" w:color="auto" w:fill="auto"/>
            <w:noWrap/>
            <w:vAlign w:val="bottom"/>
            <w:hideMark/>
          </w:tcPr>
          <w:p w14:paraId="66C17373"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Mehmet Ali YILMAZ</w:t>
            </w:r>
          </w:p>
        </w:tc>
        <w:tc>
          <w:tcPr>
            <w:tcW w:w="3640" w:type="dxa"/>
            <w:shd w:val="clear" w:color="auto" w:fill="auto"/>
            <w:noWrap/>
            <w:vAlign w:val="bottom"/>
            <w:hideMark/>
          </w:tcPr>
          <w:p w14:paraId="2676E41C"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Ministry of Industry and Technology</w:t>
            </w:r>
          </w:p>
        </w:tc>
        <w:tc>
          <w:tcPr>
            <w:tcW w:w="3400" w:type="dxa"/>
            <w:shd w:val="clear" w:color="auto" w:fill="FFFFFF" w:themeFill="background1"/>
            <w:noWrap/>
            <w:vAlign w:val="bottom"/>
            <w:hideMark/>
          </w:tcPr>
          <w:p w14:paraId="3A19DE23"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Acting Head of Department</w:t>
            </w:r>
          </w:p>
        </w:tc>
      </w:tr>
      <w:tr w:rsidR="00D52D26" w:rsidRPr="0043215C" w14:paraId="1AE2E2FF" w14:textId="77777777" w:rsidTr="000C5237">
        <w:trPr>
          <w:trHeight w:val="285"/>
        </w:trPr>
        <w:tc>
          <w:tcPr>
            <w:tcW w:w="2120" w:type="dxa"/>
            <w:shd w:val="clear" w:color="auto" w:fill="auto"/>
            <w:noWrap/>
            <w:vAlign w:val="bottom"/>
            <w:hideMark/>
          </w:tcPr>
          <w:p w14:paraId="7AE44EF6"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 Meriç MERİÇLİ TAŞAN</w:t>
            </w:r>
          </w:p>
        </w:tc>
        <w:tc>
          <w:tcPr>
            <w:tcW w:w="3640" w:type="dxa"/>
            <w:shd w:val="clear" w:color="auto" w:fill="auto"/>
            <w:noWrap/>
            <w:vAlign w:val="bottom"/>
            <w:hideMark/>
          </w:tcPr>
          <w:p w14:paraId="23B61E97"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Ministry of Industry and Technology</w:t>
            </w:r>
          </w:p>
        </w:tc>
        <w:tc>
          <w:tcPr>
            <w:tcW w:w="3400" w:type="dxa"/>
            <w:shd w:val="clear" w:color="auto" w:fill="auto"/>
            <w:noWrap/>
            <w:vAlign w:val="bottom"/>
            <w:hideMark/>
          </w:tcPr>
          <w:p w14:paraId="1CC05E00"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Specialist</w:t>
            </w:r>
          </w:p>
        </w:tc>
      </w:tr>
      <w:tr w:rsidR="00D52D26" w:rsidRPr="0043215C" w14:paraId="7F12C929" w14:textId="77777777" w:rsidTr="000C5237">
        <w:trPr>
          <w:trHeight w:val="285"/>
        </w:trPr>
        <w:tc>
          <w:tcPr>
            <w:tcW w:w="2120" w:type="dxa"/>
            <w:shd w:val="clear" w:color="auto" w:fill="auto"/>
            <w:noWrap/>
            <w:vAlign w:val="bottom"/>
            <w:hideMark/>
          </w:tcPr>
          <w:p w14:paraId="0D2AFE92"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Gökçe Kangal</w:t>
            </w:r>
          </w:p>
        </w:tc>
        <w:tc>
          <w:tcPr>
            <w:tcW w:w="3640" w:type="dxa"/>
            <w:shd w:val="clear" w:color="auto" w:fill="auto"/>
            <w:noWrap/>
            <w:vAlign w:val="bottom"/>
            <w:hideMark/>
          </w:tcPr>
          <w:p w14:paraId="4574E7C7"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Ministry of Industry and Technology</w:t>
            </w:r>
          </w:p>
        </w:tc>
        <w:tc>
          <w:tcPr>
            <w:tcW w:w="3400" w:type="dxa"/>
            <w:shd w:val="clear" w:color="auto" w:fill="auto"/>
            <w:noWrap/>
            <w:vAlign w:val="bottom"/>
            <w:hideMark/>
          </w:tcPr>
          <w:p w14:paraId="30EC94BC"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 Assistant Specialist</w:t>
            </w:r>
          </w:p>
        </w:tc>
      </w:tr>
      <w:tr w:rsidR="00D52D26" w:rsidRPr="0043215C" w14:paraId="23FAE45E" w14:textId="77777777" w:rsidTr="000C5237">
        <w:trPr>
          <w:trHeight w:val="285"/>
        </w:trPr>
        <w:tc>
          <w:tcPr>
            <w:tcW w:w="2120" w:type="dxa"/>
            <w:shd w:val="clear" w:color="auto" w:fill="auto"/>
            <w:noWrap/>
            <w:vAlign w:val="bottom"/>
            <w:hideMark/>
          </w:tcPr>
          <w:p w14:paraId="0EBC1412"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Ayşe Sena Akdeniz</w:t>
            </w:r>
          </w:p>
        </w:tc>
        <w:tc>
          <w:tcPr>
            <w:tcW w:w="3640" w:type="dxa"/>
            <w:shd w:val="clear" w:color="auto" w:fill="auto"/>
            <w:noWrap/>
            <w:vAlign w:val="bottom"/>
            <w:hideMark/>
          </w:tcPr>
          <w:p w14:paraId="605AB8D9"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Ministry of Industry and Technology</w:t>
            </w:r>
          </w:p>
        </w:tc>
        <w:tc>
          <w:tcPr>
            <w:tcW w:w="3400" w:type="dxa"/>
            <w:shd w:val="clear" w:color="auto" w:fill="auto"/>
            <w:noWrap/>
            <w:vAlign w:val="bottom"/>
            <w:hideMark/>
          </w:tcPr>
          <w:p w14:paraId="13725386"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Assistant EU Expert</w:t>
            </w:r>
          </w:p>
        </w:tc>
      </w:tr>
      <w:tr w:rsidR="00D52D26" w:rsidRPr="0043215C" w14:paraId="74F46116" w14:textId="77777777" w:rsidTr="000C5237">
        <w:trPr>
          <w:trHeight w:val="285"/>
        </w:trPr>
        <w:tc>
          <w:tcPr>
            <w:tcW w:w="2120" w:type="dxa"/>
            <w:shd w:val="clear" w:color="auto" w:fill="auto"/>
            <w:noWrap/>
            <w:vAlign w:val="bottom"/>
            <w:hideMark/>
          </w:tcPr>
          <w:p w14:paraId="6B17B5D3"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Elif Gökçe Öz</w:t>
            </w:r>
          </w:p>
        </w:tc>
        <w:tc>
          <w:tcPr>
            <w:tcW w:w="3640" w:type="dxa"/>
            <w:shd w:val="clear" w:color="auto" w:fill="auto"/>
            <w:noWrap/>
            <w:vAlign w:val="bottom"/>
            <w:hideMark/>
          </w:tcPr>
          <w:p w14:paraId="07A74B07"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Directorate of Climate Change</w:t>
            </w:r>
          </w:p>
        </w:tc>
        <w:tc>
          <w:tcPr>
            <w:tcW w:w="3400" w:type="dxa"/>
            <w:shd w:val="clear" w:color="auto" w:fill="auto"/>
            <w:noWrap/>
            <w:vAlign w:val="bottom"/>
            <w:hideMark/>
          </w:tcPr>
          <w:p w14:paraId="37F60A42"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Head of Department</w:t>
            </w:r>
          </w:p>
        </w:tc>
      </w:tr>
      <w:tr w:rsidR="00D52D26" w:rsidRPr="0043215C" w14:paraId="47F856A4" w14:textId="77777777" w:rsidTr="000C5237">
        <w:trPr>
          <w:trHeight w:val="285"/>
        </w:trPr>
        <w:tc>
          <w:tcPr>
            <w:tcW w:w="2120" w:type="dxa"/>
            <w:shd w:val="clear" w:color="auto" w:fill="auto"/>
            <w:noWrap/>
            <w:vAlign w:val="bottom"/>
            <w:hideMark/>
          </w:tcPr>
          <w:p w14:paraId="5E3D8466"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Emre Acar</w:t>
            </w:r>
          </w:p>
        </w:tc>
        <w:tc>
          <w:tcPr>
            <w:tcW w:w="3640" w:type="dxa"/>
            <w:shd w:val="clear" w:color="auto" w:fill="auto"/>
            <w:noWrap/>
            <w:vAlign w:val="bottom"/>
            <w:hideMark/>
          </w:tcPr>
          <w:p w14:paraId="790D1D2F"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Directorate of Climate Change</w:t>
            </w:r>
          </w:p>
        </w:tc>
        <w:tc>
          <w:tcPr>
            <w:tcW w:w="3400" w:type="dxa"/>
            <w:shd w:val="clear" w:color="auto" w:fill="auto"/>
            <w:noWrap/>
            <w:vAlign w:val="bottom"/>
            <w:hideMark/>
          </w:tcPr>
          <w:p w14:paraId="07259601"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Economist</w:t>
            </w:r>
          </w:p>
        </w:tc>
      </w:tr>
      <w:tr w:rsidR="00D52D26" w:rsidRPr="0043215C" w14:paraId="71BE1052" w14:textId="77777777" w:rsidTr="000C5237">
        <w:trPr>
          <w:trHeight w:val="285"/>
        </w:trPr>
        <w:tc>
          <w:tcPr>
            <w:tcW w:w="2120" w:type="dxa"/>
            <w:shd w:val="clear" w:color="auto" w:fill="auto"/>
            <w:noWrap/>
            <w:vAlign w:val="bottom"/>
            <w:hideMark/>
          </w:tcPr>
          <w:p w14:paraId="1D20A6D9"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Dr. </w:t>
            </w:r>
            <w:proofErr w:type="spellStart"/>
            <w:r w:rsidRPr="0043215C">
              <w:rPr>
                <w:rFonts w:eastAsia="Times New Roman" w:cstheme="minorHAnsi"/>
                <w:color w:val="000000"/>
                <w:sz w:val="20"/>
                <w:szCs w:val="20"/>
              </w:rPr>
              <w:t>Bengu</w:t>
            </w:r>
            <w:proofErr w:type="spellEnd"/>
            <w:r w:rsidRPr="0043215C">
              <w:rPr>
                <w:rFonts w:eastAsia="Times New Roman" w:cstheme="minorHAnsi"/>
                <w:color w:val="000000"/>
                <w:sz w:val="20"/>
                <w:szCs w:val="20"/>
              </w:rPr>
              <w:t xml:space="preserve"> Ozge </w:t>
            </w:r>
            <w:proofErr w:type="spellStart"/>
            <w:r w:rsidRPr="0043215C">
              <w:rPr>
                <w:rFonts w:eastAsia="Times New Roman" w:cstheme="minorHAnsi"/>
                <w:color w:val="000000"/>
                <w:sz w:val="20"/>
                <w:szCs w:val="20"/>
              </w:rPr>
              <w:t>Akyurek</w:t>
            </w:r>
            <w:proofErr w:type="spellEnd"/>
          </w:p>
        </w:tc>
        <w:tc>
          <w:tcPr>
            <w:tcW w:w="3640" w:type="dxa"/>
            <w:shd w:val="clear" w:color="auto" w:fill="auto"/>
            <w:noWrap/>
            <w:vAlign w:val="bottom"/>
            <w:hideMark/>
          </w:tcPr>
          <w:p w14:paraId="08ADA16F"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Directorate of Climate Change</w:t>
            </w:r>
          </w:p>
        </w:tc>
        <w:tc>
          <w:tcPr>
            <w:tcW w:w="3400" w:type="dxa"/>
            <w:shd w:val="clear" w:color="auto" w:fill="auto"/>
            <w:noWrap/>
            <w:vAlign w:val="bottom"/>
            <w:hideMark/>
          </w:tcPr>
          <w:p w14:paraId="0816E78F"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Specialist</w:t>
            </w:r>
          </w:p>
        </w:tc>
      </w:tr>
      <w:tr w:rsidR="00D52D26" w:rsidRPr="0043215C" w14:paraId="24D4E1A8" w14:textId="77777777" w:rsidTr="000C5237">
        <w:trPr>
          <w:trHeight w:val="285"/>
        </w:trPr>
        <w:tc>
          <w:tcPr>
            <w:tcW w:w="2120" w:type="dxa"/>
            <w:shd w:val="clear" w:color="auto" w:fill="auto"/>
            <w:noWrap/>
            <w:vAlign w:val="bottom"/>
            <w:hideMark/>
          </w:tcPr>
          <w:p w14:paraId="2384FC8C"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Ece </w:t>
            </w:r>
            <w:proofErr w:type="spellStart"/>
            <w:r w:rsidRPr="0043215C">
              <w:rPr>
                <w:rFonts w:eastAsia="Times New Roman" w:cstheme="minorHAnsi"/>
                <w:color w:val="000000"/>
                <w:sz w:val="20"/>
                <w:szCs w:val="20"/>
              </w:rPr>
              <w:t>Coşkuntürk</w:t>
            </w:r>
            <w:proofErr w:type="spellEnd"/>
          </w:p>
        </w:tc>
        <w:tc>
          <w:tcPr>
            <w:tcW w:w="3640" w:type="dxa"/>
            <w:shd w:val="clear" w:color="auto" w:fill="auto"/>
            <w:noWrap/>
            <w:vAlign w:val="bottom"/>
            <w:hideMark/>
          </w:tcPr>
          <w:p w14:paraId="3FD949EC"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Industrial Development Bank of Türkiye</w:t>
            </w:r>
          </w:p>
        </w:tc>
        <w:tc>
          <w:tcPr>
            <w:tcW w:w="3400" w:type="dxa"/>
            <w:shd w:val="clear" w:color="auto" w:fill="auto"/>
            <w:noWrap/>
            <w:vAlign w:val="bottom"/>
            <w:hideMark/>
          </w:tcPr>
          <w:p w14:paraId="0DF5AC05"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Director</w:t>
            </w:r>
          </w:p>
        </w:tc>
      </w:tr>
      <w:tr w:rsidR="00D52D26" w:rsidRPr="0043215C" w14:paraId="3EF9BAC5" w14:textId="77777777" w:rsidTr="000C5237">
        <w:trPr>
          <w:trHeight w:val="285"/>
        </w:trPr>
        <w:tc>
          <w:tcPr>
            <w:tcW w:w="2120" w:type="dxa"/>
            <w:shd w:val="clear" w:color="auto" w:fill="auto"/>
            <w:noWrap/>
            <w:vAlign w:val="bottom"/>
            <w:hideMark/>
          </w:tcPr>
          <w:p w14:paraId="15E1B975"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Bahadır </w:t>
            </w:r>
            <w:proofErr w:type="spellStart"/>
            <w:r w:rsidRPr="0043215C">
              <w:rPr>
                <w:rFonts w:eastAsia="Times New Roman" w:cstheme="minorHAnsi"/>
                <w:color w:val="000000"/>
                <w:sz w:val="20"/>
                <w:szCs w:val="20"/>
              </w:rPr>
              <w:t>Koçaker</w:t>
            </w:r>
            <w:proofErr w:type="spellEnd"/>
          </w:p>
        </w:tc>
        <w:tc>
          <w:tcPr>
            <w:tcW w:w="3640" w:type="dxa"/>
            <w:shd w:val="clear" w:color="auto" w:fill="auto"/>
            <w:noWrap/>
            <w:vAlign w:val="bottom"/>
            <w:hideMark/>
          </w:tcPr>
          <w:p w14:paraId="0F9485AA"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Industrial Development Bank of Türkiye</w:t>
            </w:r>
          </w:p>
        </w:tc>
        <w:tc>
          <w:tcPr>
            <w:tcW w:w="3400" w:type="dxa"/>
            <w:shd w:val="clear" w:color="auto" w:fill="auto"/>
            <w:noWrap/>
            <w:vAlign w:val="bottom"/>
            <w:hideMark/>
          </w:tcPr>
          <w:p w14:paraId="4FD87B29"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Group Executive</w:t>
            </w:r>
          </w:p>
        </w:tc>
      </w:tr>
      <w:tr w:rsidR="00D52D26" w:rsidRPr="0043215C" w14:paraId="35E42B63" w14:textId="77777777" w:rsidTr="000C5237">
        <w:trPr>
          <w:trHeight w:val="285"/>
        </w:trPr>
        <w:tc>
          <w:tcPr>
            <w:tcW w:w="2120" w:type="dxa"/>
            <w:shd w:val="clear" w:color="auto" w:fill="auto"/>
            <w:noWrap/>
            <w:vAlign w:val="bottom"/>
            <w:hideMark/>
          </w:tcPr>
          <w:p w14:paraId="0D7F0078"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Tulu </w:t>
            </w:r>
            <w:proofErr w:type="spellStart"/>
            <w:r w:rsidRPr="0043215C">
              <w:rPr>
                <w:rFonts w:eastAsia="Times New Roman" w:cstheme="minorHAnsi"/>
                <w:color w:val="000000"/>
                <w:sz w:val="20"/>
                <w:szCs w:val="20"/>
              </w:rPr>
              <w:t>Ertem</w:t>
            </w:r>
            <w:proofErr w:type="spellEnd"/>
          </w:p>
        </w:tc>
        <w:tc>
          <w:tcPr>
            <w:tcW w:w="3640" w:type="dxa"/>
            <w:shd w:val="clear" w:color="auto" w:fill="auto"/>
            <w:noWrap/>
            <w:vAlign w:val="bottom"/>
            <w:hideMark/>
          </w:tcPr>
          <w:p w14:paraId="5C41BA75"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Industrial Development Bank of Türkiye</w:t>
            </w:r>
          </w:p>
        </w:tc>
        <w:tc>
          <w:tcPr>
            <w:tcW w:w="3400" w:type="dxa"/>
            <w:shd w:val="clear" w:color="auto" w:fill="auto"/>
            <w:noWrap/>
            <w:vAlign w:val="bottom"/>
            <w:hideMark/>
          </w:tcPr>
          <w:p w14:paraId="609B038D"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Director</w:t>
            </w:r>
          </w:p>
        </w:tc>
      </w:tr>
      <w:tr w:rsidR="00D52D26" w:rsidRPr="0043215C" w14:paraId="6D27D87A" w14:textId="77777777" w:rsidTr="000C5237">
        <w:trPr>
          <w:trHeight w:val="285"/>
        </w:trPr>
        <w:tc>
          <w:tcPr>
            <w:tcW w:w="2120" w:type="dxa"/>
            <w:shd w:val="clear" w:color="auto" w:fill="auto"/>
            <w:noWrap/>
            <w:vAlign w:val="bottom"/>
            <w:hideMark/>
          </w:tcPr>
          <w:p w14:paraId="0D6155C7" w14:textId="77777777" w:rsidR="00D52D26" w:rsidRPr="0043215C" w:rsidRDefault="00D52D26" w:rsidP="00CC4A89">
            <w:pPr>
              <w:spacing w:after="0" w:line="240" w:lineRule="auto"/>
              <w:jc w:val="left"/>
              <w:rPr>
                <w:rFonts w:eastAsia="Times New Roman" w:cstheme="minorHAnsi"/>
                <w:color w:val="000000"/>
                <w:sz w:val="20"/>
                <w:szCs w:val="20"/>
              </w:rPr>
            </w:pPr>
            <w:proofErr w:type="spellStart"/>
            <w:r w:rsidRPr="0043215C">
              <w:rPr>
                <w:rFonts w:eastAsia="Times New Roman" w:cstheme="minorHAnsi"/>
                <w:color w:val="000000"/>
                <w:sz w:val="20"/>
                <w:szCs w:val="20"/>
              </w:rPr>
              <w:t>Orçun</w:t>
            </w:r>
            <w:proofErr w:type="spellEnd"/>
            <w:r w:rsidRPr="0043215C">
              <w:rPr>
                <w:rFonts w:eastAsia="Times New Roman" w:cstheme="minorHAnsi"/>
                <w:color w:val="000000"/>
                <w:sz w:val="20"/>
                <w:szCs w:val="20"/>
              </w:rPr>
              <w:t xml:space="preserve"> </w:t>
            </w:r>
            <w:proofErr w:type="spellStart"/>
            <w:r w:rsidRPr="0043215C">
              <w:rPr>
                <w:rFonts w:eastAsia="Times New Roman" w:cstheme="minorHAnsi"/>
                <w:color w:val="000000"/>
                <w:sz w:val="20"/>
                <w:szCs w:val="20"/>
              </w:rPr>
              <w:t>Yıldızca</w:t>
            </w:r>
            <w:proofErr w:type="spellEnd"/>
          </w:p>
        </w:tc>
        <w:tc>
          <w:tcPr>
            <w:tcW w:w="3640" w:type="dxa"/>
            <w:shd w:val="clear" w:color="auto" w:fill="auto"/>
            <w:noWrap/>
            <w:vAlign w:val="bottom"/>
            <w:hideMark/>
          </w:tcPr>
          <w:p w14:paraId="6A245A7A"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Industrial Development Bank of Türkiye</w:t>
            </w:r>
          </w:p>
        </w:tc>
        <w:tc>
          <w:tcPr>
            <w:tcW w:w="3400" w:type="dxa"/>
            <w:shd w:val="clear" w:color="auto" w:fill="auto"/>
            <w:noWrap/>
            <w:vAlign w:val="bottom"/>
            <w:hideMark/>
          </w:tcPr>
          <w:p w14:paraId="0FAFFA73"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Manager</w:t>
            </w:r>
          </w:p>
        </w:tc>
      </w:tr>
      <w:tr w:rsidR="00D52D26" w:rsidRPr="0043215C" w14:paraId="23EF0828" w14:textId="77777777" w:rsidTr="000C5237">
        <w:trPr>
          <w:trHeight w:val="285"/>
        </w:trPr>
        <w:tc>
          <w:tcPr>
            <w:tcW w:w="2120" w:type="dxa"/>
            <w:shd w:val="clear" w:color="auto" w:fill="auto"/>
            <w:noWrap/>
            <w:vAlign w:val="bottom"/>
            <w:hideMark/>
          </w:tcPr>
          <w:p w14:paraId="2CA8C432"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Faruk CİRİT</w:t>
            </w:r>
          </w:p>
        </w:tc>
        <w:tc>
          <w:tcPr>
            <w:tcW w:w="3640" w:type="dxa"/>
            <w:shd w:val="clear" w:color="auto" w:fill="auto"/>
            <w:noWrap/>
            <w:vAlign w:val="bottom"/>
            <w:hideMark/>
          </w:tcPr>
          <w:p w14:paraId="617B8003"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Presidency of Strategy and Budget</w:t>
            </w:r>
          </w:p>
        </w:tc>
        <w:tc>
          <w:tcPr>
            <w:tcW w:w="3400" w:type="dxa"/>
            <w:shd w:val="clear" w:color="auto" w:fill="auto"/>
            <w:noWrap/>
            <w:vAlign w:val="bottom"/>
            <w:hideMark/>
          </w:tcPr>
          <w:p w14:paraId="59EAE8BA"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Assistant General Manager</w:t>
            </w:r>
          </w:p>
        </w:tc>
      </w:tr>
      <w:tr w:rsidR="00D52D26" w:rsidRPr="0043215C" w14:paraId="2E316BA2" w14:textId="77777777" w:rsidTr="000C5237">
        <w:trPr>
          <w:trHeight w:val="285"/>
        </w:trPr>
        <w:tc>
          <w:tcPr>
            <w:tcW w:w="2120" w:type="dxa"/>
            <w:shd w:val="clear" w:color="auto" w:fill="auto"/>
            <w:noWrap/>
            <w:vAlign w:val="bottom"/>
            <w:hideMark/>
          </w:tcPr>
          <w:p w14:paraId="24189F2E" w14:textId="77777777" w:rsidR="00D52D26" w:rsidRPr="0043215C" w:rsidRDefault="00D52D26" w:rsidP="00CC4A89">
            <w:pPr>
              <w:spacing w:after="0" w:line="240" w:lineRule="auto"/>
              <w:jc w:val="left"/>
              <w:rPr>
                <w:rFonts w:eastAsia="Times New Roman" w:cstheme="minorHAnsi"/>
                <w:color w:val="000000"/>
                <w:sz w:val="20"/>
                <w:szCs w:val="20"/>
              </w:rPr>
            </w:pPr>
            <w:proofErr w:type="spellStart"/>
            <w:r w:rsidRPr="0043215C">
              <w:rPr>
                <w:rFonts w:eastAsia="Times New Roman" w:cstheme="minorHAnsi"/>
                <w:color w:val="000000"/>
                <w:sz w:val="20"/>
                <w:szCs w:val="20"/>
              </w:rPr>
              <w:t>Feyza</w:t>
            </w:r>
            <w:proofErr w:type="spellEnd"/>
            <w:r w:rsidRPr="0043215C">
              <w:rPr>
                <w:rFonts w:eastAsia="Times New Roman" w:cstheme="minorHAnsi"/>
                <w:color w:val="000000"/>
                <w:sz w:val="20"/>
                <w:szCs w:val="20"/>
              </w:rPr>
              <w:t xml:space="preserve"> ELDENİZ</w:t>
            </w:r>
          </w:p>
        </w:tc>
        <w:tc>
          <w:tcPr>
            <w:tcW w:w="3640" w:type="dxa"/>
            <w:shd w:val="clear" w:color="auto" w:fill="auto"/>
            <w:noWrap/>
            <w:vAlign w:val="bottom"/>
            <w:hideMark/>
          </w:tcPr>
          <w:p w14:paraId="5F9F6779"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Presidency of Strategy and Budget</w:t>
            </w:r>
          </w:p>
        </w:tc>
        <w:tc>
          <w:tcPr>
            <w:tcW w:w="3400" w:type="dxa"/>
            <w:shd w:val="clear" w:color="auto" w:fill="auto"/>
            <w:noWrap/>
            <w:vAlign w:val="bottom"/>
            <w:hideMark/>
          </w:tcPr>
          <w:p w14:paraId="01517CE7"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Head of Department</w:t>
            </w:r>
          </w:p>
        </w:tc>
      </w:tr>
      <w:tr w:rsidR="00D52D26" w:rsidRPr="0043215C" w14:paraId="14EEF76B" w14:textId="77777777" w:rsidTr="000C5237">
        <w:trPr>
          <w:trHeight w:val="285"/>
        </w:trPr>
        <w:tc>
          <w:tcPr>
            <w:tcW w:w="2120" w:type="dxa"/>
            <w:shd w:val="clear" w:color="auto" w:fill="auto"/>
            <w:noWrap/>
            <w:vAlign w:val="bottom"/>
            <w:hideMark/>
          </w:tcPr>
          <w:p w14:paraId="38FAE4CB"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Hatice Hilal ŞEN</w:t>
            </w:r>
          </w:p>
        </w:tc>
        <w:tc>
          <w:tcPr>
            <w:tcW w:w="3640" w:type="dxa"/>
            <w:shd w:val="clear" w:color="auto" w:fill="auto"/>
            <w:noWrap/>
            <w:vAlign w:val="bottom"/>
            <w:hideMark/>
          </w:tcPr>
          <w:p w14:paraId="0C2814E8"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Presidency of Strategy and Budget</w:t>
            </w:r>
          </w:p>
        </w:tc>
        <w:tc>
          <w:tcPr>
            <w:tcW w:w="3400" w:type="dxa"/>
            <w:shd w:val="clear" w:color="auto" w:fill="auto"/>
            <w:noWrap/>
            <w:vAlign w:val="bottom"/>
            <w:hideMark/>
          </w:tcPr>
          <w:p w14:paraId="78B6B948"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Head of Department</w:t>
            </w:r>
          </w:p>
        </w:tc>
      </w:tr>
      <w:tr w:rsidR="00D52D26" w:rsidRPr="0043215C" w14:paraId="5E63EFE5" w14:textId="77777777" w:rsidTr="000C5237">
        <w:trPr>
          <w:trHeight w:val="285"/>
        </w:trPr>
        <w:tc>
          <w:tcPr>
            <w:tcW w:w="2120" w:type="dxa"/>
            <w:shd w:val="clear" w:color="auto" w:fill="auto"/>
            <w:noWrap/>
            <w:vAlign w:val="bottom"/>
            <w:hideMark/>
          </w:tcPr>
          <w:p w14:paraId="2E968BE1"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Emre ÇALIŞKAN</w:t>
            </w:r>
          </w:p>
        </w:tc>
        <w:tc>
          <w:tcPr>
            <w:tcW w:w="3640" w:type="dxa"/>
            <w:shd w:val="clear" w:color="auto" w:fill="auto"/>
            <w:noWrap/>
            <w:vAlign w:val="bottom"/>
            <w:hideMark/>
          </w:tcPr>
          <w:p w14:paraId="6080FF91"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Presidency of Strategy and Budget</w:t>
            </w:r>
          </w:p>
        </w:tc>
        <w:tc>
          <w:tcPr>
            <w:tcW w:w="3400" w:type="dxa"/>
            <w:shd w:val="clear" w:color="auto" w:fill="auto"/>
            <w:noWrap/>
            <w:vAlign w:val="bottom"/>
            <w:hideMark/>
          </w:tcPr>
          <w:p w14:paraId="4FD94CCB"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Strategy and Budget Expert</w:t>
            </w:r>
          </w:p>
        </w:tc>
      </w:tr>
      <w:tr w:rsidR="00D52D26" w:rsidRPr="0043215C" w14:paraId="5F6383A3" w14:textId="77777777" w:rsidTr="000C5237">
        <w:trPr>
          <w:trHeight w:val="285"/>
        </w:trPr>
        <w:tc>
          <w:tcPr>
            <w:tcW w:w="2120" w:type="dxa"/>
            <w:shd w:val="clear" w:color="auto" w:fill="auto"/>
            <w:noWrap/>
            <w:vAlign w:val="bottom"/>
            <w:hideMark/>
          </w:tcPr>
          <w:p w14:paraId="3AF71077" w14:textId="77777777" w:rsidR="00D52D26" w:rsidRPr="0043215C" w:rsidRDefault="00D52D26" w:rsidP="00CC4A89">
            <w:pPr>
              <w:spacing w:after="0" w:line="240" w:lineRule="auto"/>
              <w:jc w:val="left"/>
              <w:rPr>
                <w:rFonts w:eastAsia="Times New Roman" w:cstheme="minorHAnsi"/>
                <w:color w:val="000000"/>
                <w:sz w:val="20"/>
                <w:szCs w:val="20"/>
              </w:rPr>
            </w:pPr>
            <w:proofErr w:type="spellStart"/>
            <w:r w:rsidRPr="0043215C">
              <w:rPr>
                <w:rFonts w:eastAsia="Times New Roman" w:cstheme="minorHAnsi"/>
                <w:color w:val="000000"/>
                <w:sz w:val="20"/>
                <w:szCs w:val="20"/>
              </w:rPr>
              <w:t>Tülay</w:t>
            </w:r>
            <w:proofErr w:type="spellEnd"/>
            <w:r w:rsidRPr="0043215C">
              <w:rPr>
                <w:rFonts w:eastAsia="Times New Roman" w:cstheme="minorHAnsi"/>
                <w:color w:val="000000"/>
                <w:sz w:val="20"/>
                <w:szCs w:val="20"/>
              </w:rPr>
              <w:t xml:space="preserve"> MORSÜNBÜL PARMAKSIZ</w:t>
            </w:r>
          </w:p>
        </w:tc>
        <w:tc>
          <w:tcPr>
            <w:tcW w:w="3640" w:type="dxa"/>
            <w:shd w:val="clear" w:color="auto" w:fill="auto"/>
            <w:noWrap/>
            <w:vAlign w:val="bottom"/>
            <w:hideMark/>
          </w:tcPr>
          <w:p w14:paraId="333F6AC4"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Presidency of Strategy and Budget</w:t>
            </w:r>
          </w:p>
        </w:tc>
        <w:tc>
          <w:tcPr>
            <w:tcW w:w="3400" w:type="dxa"/>
            <w:shd w:val="clear" w:color="auto" w:fill="auto"/>
            <w:noWrap/>
            <w:vAlign w:val="bottom"/>
            <w:hideMark/>
          </w:tcPr>
          <w:p w14:paraId="22EFAA43"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Strategy and Budget Expert</w:t>
            </w:r>
          </w:p>
        </w:tc>
      </w:tr>
      <w:tr w:rsidR="00D52D26" w:rsidRPr="0043215C" w14:paraId="55A7A725" w14:textId="77777777" w:rsidTr="000C5237">
        <w:trPr>
          <w:trHeight w:val="285"/>
        </w:trPr>
        <w:tc>
          <w:tcPr>
            <w:tcW w:w="2120" w:type="dxa"/>
            <w:shd w:val="clear" w:color="auto" w:fill="auto"/>
            <w:noWrap/>
            <w:vAlign w:val="bottom"/>
            <w:hideMark/>
          </w:tcPr>
          <w:p w14:paraId="07BDE001"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Berna TUNCER</w:t>
            </w:r>
          </w:p>
        </w:tc>
        <w:tc>
          <w:tcPr>
            <w:tcW w:w="3640" w:type="dxa"/>
            <w:shd w:val="clear" w:color="auto" w:fill="auto"/>
            <w:noWrap/>
            <w:vAlign w:val="bottom"/>
            <w:hideMark/>
          </w:tcPr>
          <w:p w14:paraId="1A474D66"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Presidency of Strategy and Budget</w:t>
            </w:r>
          </w:p>
        </w:tc>
        <w:tc>
          <w:tcPr>
            <w:tcW w:w="3400" w:type="dxa"/>
            <w:shd w:val="clear" w:color="auto" w:fill="auto"/>
            <w:noWrap/>
            <w:vAlign w:val="bottom"/>
            <w:hideMark/>
          </w:tcPr>
          <w:p w14:paraId="3C70FD06"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Assistant Strategy and Budget Expert</w:t>
            </w:r>
          </w:p>
        </w:tc>
      </w:tr>
      <w:tr w:rsidR="00D52D26" w:rsidRPr="0043215C" w14:paraId="78A1468D" w14:textId="77777777" w:rsidTr="000C5237">
        <w:trPr>
          <w:trHeight w:val="285"/>
        </w:trPr>
        <w:tc>
          <w:tcPr>
            <w:tcW w:w="2120" w:type="dxa"/>
            <w:shd w:val="clear" w:color="auto" w:fill="auto"/>
            <w:noWrap/>
            <w:vAlign w:val="bottom"/>
            <w:hideMark/>
          </w:tcPr>
          <w:p w14:paraId="1BC419B9"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Mustafa İMAMOĞLU</w:t>
            </w:r>
          </w:p>
        </w:tc>
        <w:tc>
          <w:tcPr>
            <w:tcW w:w="3640" w:type="dxa"/>
            <w:shd w:val="clear" w:color="auto" w:fill="auto"/>
            <w:noWrap/>
            <w:vAlign w:val="bottom"/>
            <w:hideMark/>
          </w:tcPr>
          <w:p w14:paraId="4D1B9B88"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Ministry of Transport and Infrastructure       </w:t>
            </w:r>
          </w:p>
        </w:tc>
        <w:tc>
          <w:tcPr>
            <w:tcW w:w="3400" w:type="dxa"/>
            <w:shd w:val="clear" w:color="auto" w:fill="auto"/>
            <w:noWrap/>
            <w:vAlign w:val="bottom"/>
            <w:hideMark/>
          </w:tcPr>
          <w:p w14:paraId="372A9BA1"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Head of Department</w:t>
            </w:r>
          </w:p>
        </w:tc>
      </w:tr>
      <w:tr w:rsidR="00D52D26" w:rsidRPr="0043215C" w14:paraId="2E094184" w14:textId="77777777" w:rsidTr="000C5237">
        <w:trPr>
          <w:trHeight w:val="285"/>
        </w:trPr>
        <w:tc>
          <w:tcPr>
            <w:tcW w:w="2120" w:type="dxa"/>
            <w:shd w:val="clear" w:color="auto" w:fill="auto"/>
            <w:noWrap/>
            <w:vAlign w:val="bottom"/>
            <w:hideMark/>
          </w:tcPr>
          <w:p w14:paraId="5E1C91F9"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Hayrettin BEYHAN</w:t>
            </w:r>
          </w:p>
        </w:tc>
        <w:tc>
          <w:tcPr>
            <w:tcW w:w="3640" w:type="dxa"/>
            <w:shd w:val="clear" w:color="auto" w:fill="auto"/>
            <w:noWrap/>
            <w:vAlign w:val="bottom"/>
            <w:hideMark/>
          </w:tcPr>
          <w:p w14:paraId="0918D5F3"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Ministry of Transport and Infrastructure       </w:t>
            </w:r>
          </w:p>
        </w:tc>
        <w:tc>
          <w:tcPr>
            <w:tcW w:w="3400" w:type="dxa"/>
            <w:shd w:val="clear" w:color="auto" w:fill="auto"/>
            <w:noWrap/>
            <w:vAlign w:val="bottom"/>
            <w:hideMark/>
          </w:tcPr>
          <w:p w14:paraId="18D4929D"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Branch Manager</w:t>
            </w:r>
          </w:p>
        </w:tc>
      </w:tr>
      <w:tr w:rsidR="00D52D26" w:rsidRPr="0043215C" w14:paraId="01344BE4" w14:textId="77777777" w:rsidTr="000C5237">
        <w:trPr>
          <w:trHeight w:val="285"/>
        </w:trPr>
        <w:tc>
          <w:tcPr>
            <w:tcW w:w="2120" w:type="dxa"/>
            <w:shd w:val="clear" w:color="auto" w:fill="auto"/>
            <w:noWrap/>
            <w:vAlign w:val="bottom"/>
            <w:hideMark/>
          </w:tcPr>
          <w:p w14:paraId="34232C70"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Ufuk KOCA</w:t>
            </w:r>
          </w:p>
        </w:tc>
        <w:tc>
          <w:tcPr>
            <w:tcW w:w="3640" w:type="dxa"/>
            <w:shd w:val="clear" w:color="auto" w:fill="auto"/>
            <w:noWrap/>
            <w:vAlign w:val="bottom"/>
            <w:hideMark/>
          </w:tcPr>
          <w:p w14:paraId="446C831A"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Ministry of Transport and Infrastructure       </w:t>
            </w:r>
          </w:p>
        </w:tc>
        <w:tc>
          <w:tcPr>
            <w:tcW w:w="3400" w:type="dxa"/>
            <w:shd w:val="clear" w:color="auto" w:fill="auto"/>
            <w:noWrap/>
            <w:vAlign w:val="bottom"/>
            <w:hideMark/>
          </w:tcPr>
          <w:p w14:paraId="11EE620D"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Engineer</w:t>
            </w:r>
          </w:p>
        </w:tc>
      </w:tr>
      <w:tr w:rsidR="00D52D26" w:rsidRPr="0043215C" w14:paraId="156C4730" w14:textId="77777777" w:rsidTr="000C5237">
        <w:trPr>
          <w:trHeight w:val="285"/>
        </w:trPr>
        <w:tc>
          <w:tcPr>
            <w:tcW w:w="2120" w:type="dxa"/>
            <w:shd w:val="clear" w:color="auto" w:fill="auto"/>
            <w:noWrap/>
            <w:vAlign w:val="bottom"/>
            <w:hideMark/>
          </w:tcPr>
          <w:p w14:paraId="4E502206"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Sinan OĞUZ</w:t>
            </w:r>
          </w:p>
        </w:tc>
        <w:tc>
          <w:tcPr>
            <w:tcW w:w="3640" w:type="dxa"/>
            <w:shd w:val="clear" w:color="auto" w:fill="auto"/>
            <w:noWrap/>
            <w:vAlign w:val="bottom"/>
            <w:hideMark/>
          </w:tcPr>
          <w:p w14:paraId="733622DC"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Ministry of Transport and Infrastructure       </w:t>
            </w:r>
          </w:p>
        </w:tc>
        <w:tc>
          <w:tcPr>
            <w:tcW w:w="3400" w:type="dxa"/>
            <w:shd w:val="clear" w:color="auto" w:fill="auto"/>
            <w:noWrap/>
            <w:vAlign w:val="bottom"/>
            <w:hideMark/>
          </w:tcPr>
          <w:p w14:paraId="7EE43FB0"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Head of Department</w:t>
            </w:r>
          </w:p>
        </w:tc>
      </w:tr>
      <w:tr w:rsidR="00D52D26" w:rsidRPr="0043215C" w14:paraId="6C745937" w14:textId="77777777" w:rsidTr="000C5237">
        <w:trPr>
          <w:trHeight w:val="285"/>
        </w:trPr>
        <w:tc>
          <w:tcPr>
            <w:tcW w:w="2120" w:type="dxa"/>
            <w:shd w:val="clear" w:color="auto" w:fill="auto"/>
            <w:noWrap/>
            <w:vAlign w:val="bottom"/>
            <w:hideMark/>
          </w:tcPr>
          <w:p w14:paraId="75F3C6D7"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Dr. Banu YAĞCI</w:t>
            </w:r>
          </w:p>
        </w:tc>
        <w:tc>
          <w:tcPr>
            <w:tcW w:w="3640" w:type="dxa"/>
            <w:shd w:val="clear" w:color="auto" w:fill="auto"/>
            <w:noWrap/>
            <w:vAlign w:val="bottom"/>
            <w:hideMark/>
          </w:tcPr>
          <w:p w14:paraId="24200E1C"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Ministry of Transport and Infrastructure       </w:t>
            </w:r>
          </w:p>
        </w:tc>
        <w:tc>
          <w:tcPr>
            <w:tcW w:w="3400" w:type="dxa"/>
            <w:shd w:val="clear" w:color="auto" w:fill="auto"/>
            <w:noWrap/>
            <w:vAlign w:val="bottom"/>
            <w:hideMark/>
          </w:tcPr>
          <w:p w14:paraId="7CCA0024"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Statistician</w:t>
            </w:r>
          </w:p>
        </w:tc>
      </w:tr>
      <w:tr w:rsidR="00D52D26" w:rsidRPr="0043215C" w14:paraId="56D28E5E" w14:textId="77777777" w:rsidTr="000C5237">
        <w:trPr>
          <w:trHeight w:val="285"/>
        </w:trPr>
        <w:tc>
          <w:tcPr>
            <w:tcW w:w="2120" w:type="dxa"/>
            <w:shd w:val="clear" w:color="auto" w:fill="auto"/>
            <w:noWrap/>
            <w:vAlign w:val="bottom"/>
            <w:hideMark/>
          </w:tcPr>
          <w:p w14:paraId="468F81CD"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Merve ŞİMŞEK</w:t>
            </w:r>
          </w:p>
        </w:tc>
        <w:tc>
          <w:tcPr>
            <w:tcW w:w="3640" w:type="dxa"/>
            <w:shd w:val="clear" w:color="auto" w:fill="auto"/>
            <w:noWrap/>
            <w:vAlign w:val="bottom"/>
            <w:hideMark/>
          </w:tcPr>
          <w:p w14:paraId="0A7361D4"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Ministry of Transport and Infrastructure       </w:t>
            </w:r>
          </w:p>
        </w:tc>
        <w:tc>
          <w:tcPr>
            <w:tcW w:w="3400" w:type="dxa"/>
            <w:shd w:val="clear" w:color="auto" w:fill="auto"/>
            <w:noWrap/>
            <w:vAlign w:val="bottom"/>
            <w:hideMark/>
          </w:tcPr>
          <w:p w14:paraId="077CB904"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Engineer</w:t>
            </w:r>
          </w:p>
        </w:tc>
      </w:tr>
      <w:tr w:rsidR="00D52D26" w:rsidRPr="0043215C" w14:paraId="0582CB43" w14:textId="77777777" w:rsidTr="000C5237">
        <w:trPr>
          <w:trHeight w:val="285"/>
        </w:trPr>
        <w:tc>
          <w:tcPr>
            <w:tcW w:w="2120" w:type="dxa"/>
            <w:shd w:val="clear" w:color="auto" w:fill="auto"/>
            <w:noWrap/>
            <w:vAlign w:val="bottom"/>
            <w:hideMark/>
          </w:tcPr>
          <w:p w14:paraId="66AC83AA" w14:textId="77777777" w:rsidR="00D52D26" w:rsidRPr="0043215C" w:rsidRDefault="00D52D26" w:rsidP="00CC4A89">
            <w:pPr>
              <w:spacing w:after="0" w:line="240" w:lineRule="auto"/>
              <w:jc w:val="left"/>
              <w:rPr>
                <w:rFonts w:eastAsia="Times New Roman" w:cstheme="minorHAnsi"/>
                <w:color w:val="000000"/>
                <w:sz w:val="20"/>
                <w:szCs w:val="20"/>
              </w:rPr>
            </w:pPr>
            <w:proofErr w:type="spellStart"/>
            <w:r w:rsidRPr="0043215C">
              <w:rPr>
                <w:rFonts w:eastAsia="Times New Roman" w:cstheme="minorHAnsi"/>
                <w:color w:val="000000"/>
                <w:sz w:val="20"/>
                <w:szCs w:val="20"/>
              </w:rPr>
              <w:t>Eylem</w:t>
            </w:r>
            <w:proofErr w:type="spellEnd"/>
            <w:r w:rsidRPr="0043215C">
              <w:rPr>
                <w:rFonts w:eastAsia="Times New Roman" w:cstheme="minorHAnsi"/>
                <w:color w:val="000000"/>
                <w:sz w:val="20"/>
                <w:szCs w:val="20"/>
              </w:rPr>
              <w:t xml:space="preserve"> CEYLAN</w:t>
            </w:r>
          </w:p>
        </w:tc>
        <w:tc>
          <w:tcPr>
            <w:tcW w:w="3640" w:type="dxa"/>
            <w:shd w:val="clear" w:color="auto" w:fill="auto"/>
            <w:noWrap/>
            <w:vAlign w:val="bottom"/>
            <w:hideMark/>
          </w:tcPr>
          <w:p w14:paraId="0343F098"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Ministry of Transport and Infrastructure       </w:t>
            </w:r>
          </w:p>
        </w:tc>
        <w:tc>
          <w:tcPr>
            <w:tcW w:w="3400" w:type="dxa"/>
            <w:shd w:val="clear" w:color="auto" w:fill="auto"/>
            <w:noWrap/>
            <w:vAlign w:val="bottom"/>
            <w:hideMark/>
          </w:tcPr>
          <w:p w14:paraId="6071B6E8"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Transportation and Communication Specialist</w:t>
            </w:r>
          </w:p>
        </w:tc>
      </w:tr>
      <w:tr w:rsidR="00D52D26" w:rsidRPr="0043215C" w14:paraId="648E7BCA" w14:textId="77777777" w:rsidTr="000C5237">
        <w:trPr>
          <w:trHeight w:val="285"/>
        </w:trPr>
        <w:tc>
          <w:tcPr>
            <w:tcW w:w="2120" w:type="dxa"/>
            <w:shd w:val="clear" w:color="auto" w:fill="auto"/>
            <w:noWrap/>
            <w:vAlign w:val="bottom"/>
            <w:hideMark/>
          </w:tcPr>
          <w:p w14:paraId="05BC7FD1" w14:textId="77777777" w:rsidR="00D52D26" w:rsidRPr="0043215C" w:rsidRDefault="00D52D26" w:rsidP="00CC4A89">
            <w:pPr>
              <w:spacing w:after="0" w:line="240" w:lineRule="auto"/>
              <w:jc w:val="left"/>
              <w:rPr>
                <w:rFonts w:eastAsia="Times New Roman" w:cstheme="minorHAnsi"/>
                <w:color w:val="000000"/>
                <w:sz w:val="20"/>
                <w:szCs w:val="20"/>
              </w:rPr>
            </w:pPr>
            <w:proofErr w:type="spellStart"/>
            <w:r w:rsidRPr="0043215C">
              <w:rPr>
                <w:rFonts w:eastAsia="Times New Roman" w:cstheme="minorHAnsi"/>
                <w:color w:val="000000"/>
                <w:sz w:val="20"/>
                <w:szCs w:val="20"/>
              </w:rPr>
              <w:t>Alperen</w:t>
            </w:r>
            <w:proofErr w:type="spellEnd"/>
            <w:r w:rsidRPr="0043215C">
              <w:rPr>
                <w:rFonts w:eastAsia="Times New Roman" w:cstheme="minorHAnsi"/>
                <w:color w:val="000000"/>
                <w:sz w:val="20"/>
                <w:szCs w:val="20"/>
              </w:rPr>
              <w:t xml:space="preserve"> AKAR</w:t>
            </w:r>
          </w:p>
        </w:tc>
        <w:tc>
          <w:tcPr>
            <w:tcW w:w="3640" w:type="dxa"/>
            <w:shd w:val="clear" w:color="auto" w:fill="auto"/>
            <w:noWrap/>
            <w:vAlign w:val="bottom"/>
            <w:hideMark/>
          </w:tcPr>
          <w:p w14:paraId="2B802A6D"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Ministry of Transport and Infrastructure       </w:t>
            </w:r>
          </w:p>
        </w:tc>
        <w:tc>
          <w:tcPr>
            <w:tcW w:w="3400" w:type="dxa"/>
            <w:shd w:val="clear" w:color="auto" w:fill="auto"/>
            <w:noWrap/>
            <w:vAlign w:val="bottom"/>
            <w:hideMark/>
          </w:tcPr>
          <w:p w14:paraId="6EE86598"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Engineer</w:t>
            </w:r>
          </w:p>
        </w:tc>
      </w:tr>
      <w:tr w:rsidR="00D52D26" w:rsidRPr="0043215C" w14:paraId="18DDEE7A" w14:textId="77777777" w:rsidTr="000C5237">
        <w:trPr>
          <w:trHeight w:val="285"/>
        </w:trPr>
        <w:tc>
          <w:tcPr>
            <w:tcW w:w="2120" w:type="dxa"/>
            <w:shd w:val="clear" w:color="auto" w:fill="auto"/>
            <w:noWrap/>
            <w:vAlign w:val="bottom"/>
            <w:hideMark/>
          </w:tcPr>
          <w:p w14:paraId="492FF316"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AHMET BERKAN KORKMAZ</w:t>
            </w:r>
          </w:p>
        </w:tc>
        <w:tc>
          <w:tcPr>
            <w:tcW w:w="3640" w:type="dxa"/>
            <w:shd w:val="clear" w:color="auto" w:fill="auto"/>
            <w:noWrap/>
            <w:vAlign w:val="bottom"/>
            <w:hideMark/>
          </w:tcPr>
          <w:p w14:paraId="4F8D72C0"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Director General of Civil Aviation</w:t>
            </w:r>
          </w:p>
        </w:tc>
        <w:tc>
          <w:tcPr>
            <w:tcW w:w="3400" w:type="dxa"/>
            <w:shd w:val="clear" w:color="auto" w:fill="auto"/>
            <w:noWrap/>
            <w:vAlign w:val="bottom"/>
            <w:hideMark/>
          </w:tcPr>
          <w:p w14:paraId="00780ED7"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Coordinator</w:t>
            </w:r>
          </w:p>
        </w:tc>
      </w:tr>
      <w:tr w:rsidR="00D52D26" w:rsidRPr="0043215C" w14:paraId="3A588378" w14:textId="77777777" w:rsidTr="000C5237">
        <w:trPr>
          <w:trHeight w:val="285"/>
        </w:trPr>
        <w:tc>
          <w:tcPr>
            <w:tcW w:w="2120" w:type="dxa"/>
            <w:shd w:val="clear" w:color="auto" w:fill="auto"/>
            <w:noWrap/>
            <w:vAlign w:val="bottom"/>
            <w:hideMark/>
          </w:tcPr>
          <w:p w14:paraId="151283C8"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EMRE ZAİMOĞLU</w:t>
            </w:r>
          </w:p>
        </w:tc>
        <w:tc>
          <w:tcPr>
            <w:tcW w:w="3640" w:type="dxa"/>
            <w:shd w:val="clear" w:color="auto" w:fill="auto"/>
            <w:noWrap/>
            <w:vAlign w:val="bottom"/>
            <w:hideMark/>
          </w:tcPr>
          <w:p w14:paraId="02565D40"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Director General of Civil Aviation</w:t>
            </w:r>
          </w:p>
        </w:tc>
        <w:tc>
          <w:tcPr>
            <w:tcW w:w="3400" w:type="dxa"/>
            <w:shd w:val="clear" w:color="auto" w:fill="auto"/>
            <w:noWrap/>
            <w:vAlign w:val="bottom"/>
            <w:hideMark/>
          </w:tcPr>
          <w:p w14:paraId="464403F4"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Aviation Specialist</w:t>
            </w:r>
          </w:p>
        </w:tc>
      </w:tr>
      <w:tr w:rsidR="00D52D26" w:rsidRPr="0043215C" w14:paraId="3612D29E" w14:textId="77777777" w:rsidTr="000C5237">
        <w:trPr>
          <w:trHeight w:val="285"/>
        </w:trPr>
        <w:tc>
          <w:tcPr>
            <w:tcW w:w="2120" w:type="dxa"/>
            <w:shd w:val="clear" w:color="auto" w:fill="auto"/>
            <w:noWrap/>
            <w:vAlign w:val="bottom"/>
            <w:hideMark/>
          </w:tcPr>
          <w:p w14:paraId="70B860E4"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Adnan KÜCE</w:t>
            </w:r>
          </w:p>
        </w:tc>
        <w:tc>
          <w:tcPr>
            <w:tcW w:w="3640" w:type="dxa"/>
            <w:shd w:val="clear" w:color="auto" w:fill="auto"/>
            <w:noWrap/>
            <w:vAlign w:val="bottom"/>
            <w:hideMark/>
          </w:tcPr>
          <w:p w14:paraId="6C6A03E9"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Ministry of Transport and Infrastructure       </w:t>
            </w:r>
          </w:p>
        </w:tc>
        <w:tc>
          <w:tcPr>
            <w:tcW w:w="3400" w:type="dxa"/>
            <w:shd w:val="clear" w:color="auto" w:fill="auto"/>
            <w:noWrap/>
            <w:vAlign w:val="bottom"/>
            <w:hideMark/>
          </w:tcPr>
          <w:p w14:paraId="3A24EFDD"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Environmental Engineer </w:t>
            </w:r>
          </w:p>
        </w:tc>
      </w:tr>
      <w:tr w:rsidR="00D52D26" w:rsidRPr="0043215C" w14:paraId="603A24B9" w14:textId="77777777" w:rsidTr="000C5237">
        <w:trPr>
          <w:trHeight w:val="285"/>
        </w:trPr>
        <w:tc>
          <w:tcPr>
            <w:tcW w:w="2120" w:type="dxa"/>
            <w:shd w:val="clear" w:color="auto" w:fill="auto"/>
            <w:noWrap/>
            <w:vAlign w:val="bottom"/>
            <w:hideMark/>
          </w:tcPr>
          <w:p w14:paraId="0B26CF5E"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Osman PEMPECİ</w:t>
            </w:r>
          </w:p>
        </w:tc>
        <w:tc>
          <w:tcPr>
            <w:tcW w:w="3640" w:type="dxa"/>
            <w:shd w:val="clear" w:color="auto" w:fill="auto"/>
            <w:noWrap/>
            <w:vAlign w:val="bottom"/>
            <w:hideMark/>
          </w:tcPr>
          <w:p w14:paraId="6AEE0610"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Ministry of Transport and Infrastructure       </w:t>
            </w:r>
          </w:p>
        </w:tc>
        <w:tc>
          <w:tcPr>
            <w:tcW w:w="3400" w:type="dxa"/>
            <w:shd w:val="clear" w:color="auto" w:fill="auto"/>
            <w:noWrap/>
            <w:vAlign w:val="bottom"/>
            <w:hideMark/>
          </w:tcPr>
          <w:p w14:paraId="486B8780"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Environmental Engineer </w:t>
            </w:r>
          </w:p>
        </w:tc>
      </w:tr>
      <w:tr w:rsidR="00D52D26" w:rsidRPr="0043215C" w14:paraId="4DA94755" w14:textId="77777777" w:rsidTr="000C5237">
        <w:trPr>
          <w:trHeight w:val="285"/>
        </w:trPr>
        <w:tc>
          <w:tcPr>
            <w:tcW w:w="2120" w:type="dxa"/>
            <w:shd w:val="clear" w:color="auto" w:fill="auto"/>
            <w:noWrap/>
            <w:vAlign w:val="bottom"/>
            <w:hideMark/>
          </w:tcPr>
          <w:p w14:paraId="319FA446"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Büşra </w:t>
            </w:r>
            <w:proofErr w:type="spellStart"/>
            <w:r w:rsidRPr="0043215C">
              <w:rPr>
                <w:rFonts w:eastAsia="Times New Roman" w:cstheme="minorHAnsi"/>
                <w:color w:val="000000"/>
                <w:sz w:val="20"/>
                <w:szCs w:val="20"/>
              </w:rPr>
              <w:t>Günaydın</w:t>
            </w:r>
            <w:proofErr w:type="spellEnd"/>
          </w:p>
        </w:tc>
        <w:tc>
          <w:tcPr>
            <w:tcW w:w="3640" w:type="dxa"/>
            <w:shd w:val="clear" w:color="auto" w:fill="auto"/>
            <w:noWrap/>
            <w:vAlign w:val="bottom"/>
            <w:hideMark/>
          </w:tcPr>
          <w:p w14:paraId="546DEDD1"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Ministry of Transport and Infrastructure       </w:t>
            </w:r>
          </w:p>
        </w:tc>
        <w:tc>
          <w:tcPr>
            <w:tcW w:w="3400" w:type="dxa"/>
            <w:shd w:val="clear" w:color="auto" w:fill="auto"/>
            <w:noWrap/>
            <w:vAlign w:val="bottom"/>
            <w:hideMark/>
          </w:tcPr>
          <w:p w14:paraId="18494358"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Engineer</w:t>
            </w:r>
          </w:p>
        </w:tc>
      </w:tr>
      <w:tr w:rsidR="00D52D26" w:rsidRPr="0043215C" w14:paraId="4954771B" w14:textId="77777777" w:rsidTr="000C5237">
        <w:trPr>
          <w:trHeight w:val="285"/>
        </w:trPr>
        <w:tc>
          <w:tcPr>
            <w:tcW w:w="2120" w:type="dxa"/>
            <w:shd w:val="clear" w:color="auto" w:fill="auto"/>
            <w:noWrap/>
            <w:vAlign w:val="bottom"/>
            <w:hideMark/>
          </w:tcPr>
          <w:p w14:paraId="722262D7" w14:textId="77777777" w:rsidR="00D52D26" w:rsidRPr="0043215C" w:rsidRDefault="00D52D26" w:rsidP="00CC4A89">
            <w:pPr>
              <w:spacing w:after="0" w:line="240" w:lineRule="auto"/>
              <w:jc w:val="left"/>
              <w:rPr>
                <w:rFonts w:eastAsia="Times New Roman" w:cstheme="minorHAnsi"/>
                <w:color w:val="000000"/>
                <w:sz w:val="20"/>
                <w:szCs w:val="20"/>
              </w:rPr>
            </w:pPr>
            <w:proofErr w:type="spellStart"/>
            <w:r w:rsidRPr="0043215C">
              <w:rPr>
                <w:rFonts w:eastAsia="Times New Roman" w:cstheme="minorHAnsi"/>
                <w:color w:val="000000"/>
                <w:sz w:val="20"/>
                <w:szCs w:val="20"/>
              </w:rPr>
              <w:t>Açelya</w:t>
            </w:r>
            <w:proofErr w:type="spellEnd"/>
            <w:r w:rsidRPr="0043215C">
              <w:rPr>
                <w:rFonts w:eastAsia="Times New Roman" w:cstheme="minorHAnsi"/>
                <w:color w:val="000000"/>
                <w:sz w:val="20"/>
                <w:szCs w:val="20"/>
              </w:rPr>
              <w:t xml:space="preserve"> </w:t>
            </w:r>
            <w:proofErr w:type="spellStart"/>
            <w:r w:rsidRPr="0043215C">
              <w:rPr>
                <w:rFonts w:eastAsia="Times New Roman" w:cstheme="minorHAnsi"/>
                <w:color w:val="000000"/>
                <w:sz w:val="20"/>
                <w:szCs w:val="20"/>
              </w:rPr>
              <w:t>Yenilmez</w:t>
            </w:r>
            <w:proofErr w:type="spellEnd"/>
          </w:p>
        </w:tc>
        <w:tc>
          <w:tcPr>
            <w:tcW w:w="3640" w:type="dxa"/>
            <w:shd w:val="clear" w:color="auto" w:fill="auto"/>
            <w:noWrap/>
            <w:vAlign w:val="bottom"/>
            <w:hideMark/>
          </w:tcPr>
          <w:p w14:paraId="2C36BF94"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Ministry of Transport and Infrastructure       </w:t>
            </w:r>
          </w:p>
        </w:tc>
        <w:tc>
          <w:tcPr>
            <w:tcW w:w="3400" w:type="dxa"/>
            <w:shd w:val="clear" w:color="auto" w:fill="auto"/>
            <w:noWrap/>
            <w:vAlign w:val="bottom"/>
            <w:hideMark/>
          </w:tcPr>
          <w:p w14:paraId="4B6052C7"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Stakeholder Engagement Specialist</w:t>
            </w:r>
          </w:p>
        </w:tc>
      </w:tr>
      <w:tr w:rsidR="00D52D26" w:rsidRPr="0043215C" w14:paraId="553B5E40" w14:textId="77777777" w:rsidTr="000C5237">
        <w:trPr>
          <w:trHeight w:val="285"/>
        </w:trPr>
        <w:tc>
          <w:tcPr>
            <w:tcW w:w="2120" w:type="dxa"/>
            <w:shd w:val="clear" w:color="auto" w:fill="auto"/>
            <w:noWrap/>
            <w:vAlign w:val="bottom"/>
            <w:hideMark/>
          </w:tcPr>
          <w:p w14:paraId="486A2658"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Defne </w:t>
            </w:r>
            <w:proofErr w:type="spellStart"/>
            <w:r w:rsidRPr="0043215C">
              <w:rPr>
                <w:rFonts w:eastAsia="Times New Roman" w:cstheme="minorHAnsi"/>
                <w:color w:val="000000"/>
                <w:sz w:val="20"/>
                <w:szCs w:val="20"/>
              </w:rPr>
              <w:t>Arısoy</w:t>
            </w:r>
            <w:proofErr w:type="spellEnd"/>
          </w:p>
        </w:tc>
        <w:tc>
          <w:tcPr>
            <w:tcW w:w="3640" w:type="dxa"/>
            <w:shd w:val="clear" w:color="auto" w:fill="auto"/>
            <w:noWrap/>
            <w:vAlign w:val="bottom"/>
            <w:hideMark/>
          </w:tcPr>
          <w:p w14:paraId="2B4DC826"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Ministry of Transport and Infrastructure       </w:t>
            </w:r>
          </w:p>
        </w:tc>
        <w:tc>
          <w:tcPr>
            <w:tcW w:w="3400" w:type="dxa"/>
            <w:shd w:val="clear" w:color="auto" w:fill="auto"/>
            <w:noWrap/>
            <w:vAlign w:val="bottom"/>
            <w:hideMark/>
          </w:tcPr>
          <w:p w14:paraId="62042CE6"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Environmental Specialist</w:t>
            </w:r>
          </w:p>
        </w:tc>
      </w:tr>
      <w:tr w:rsidR="00D52D26" w:rsidRPr="0043215C" w14:paraId="3C5F6B2E" w14:textId="77777777" w:rsidTr="000C5237">
        <w:trPr>
          <w:trHeight w:val="285"/>
        </w:trPr>
        <w:tc>
          <w:tcPr>
            <w:tcW w:w="2120" w:type="dxa"/>
            <w:shd w:val="clear" w:color="auto" w:fill="auto"/>
            <w:noWrap/>
            <w:vAlign w:val="bottom"/>
            <w:hideMark/>
          </w:tcPr>
          <w:p w14:paraId="619BB043"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Özlem MULUN AKPINAR</w:t>
            </w:r>
          </w:p>
        </w:tc>
        <w:tc>
          <w:tcPr>
            <w:tcW w:w="3640" w:type="dxa"/>
            <w:shd w:val="clear" w:color="auto" w:fill="auto"/>
            <w:noWrap/>
            <w:vAlign w:val="bottom"/>
            <w:hideMark/>
          </w:tcPr>
          <w:p w14:paraId="2CC5F393"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Ministry of Transport and Infrastructure       </w:t>
            </w:r>
          </w:p>
        </w:tc>
        <w:tc>
          <w:tcPr>
            <w:tcW w:w="3400" w:type="dxa"/>
            <w:shd w:val="clear" w:color="auto" w:fill="auto"/>
            <w:noWrap/>
            <w:vAlign w:val="bottom"/>
            <w:hideMark/>
          </w:tcPr>
          <w:p w14:paraId="411E2432"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EU Expert</w:t>
            </w:r>
          </w:p>
        </w:tc>
      </w:tr>
      <w:tr w:rsidR="00D52D26" w:rsidRPr="0043215C" w14:paraId="1E66A175" w14:textId="77777777" w:rsidTr="000C5237">
        <w:trPr>
          <w:trHeight w:val="285"/>
        </w:trPr>
        <w:tc>
          <w:tcPr>
            <w:tcW w:w="2120" w:type="dxa"/>
            <w:shd w:val="clear" w:color="auto" w:fill="auto"/>
            <w:noWrap/>
            <w:vAlign w:val="bottom"/>
            <w:hideMark/>
          </w:tcPr>
          <w:p w14:paraId="339F9575"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Mustafa </w:t>
            </w:r>
            <w:proofErr w:type="spellStart"/>
            <w:r w:rsidRPr="0043215C">
              <w:rPr>
                <w:rFonts w:eastAsia="Times New Roman" w:cstheme="minorHAnsi"/>
                <w:color w:val="000000"/>
                <w:sz w:val="20"/>
                <w:szCs w:val="20"/>
              </w:rPr>
              <w:t>İnsel</w:t>
            </w:r>
            <w:proofErr w:type="spellEnd"/>
          </w:p>
        </w:tc>
        <w:tc>
          <w:tcPr>
            <w:tcW w:w="3640" w:type="dxa"/>
            <w:shd w:val="clear" w:color="auto" w:fill="auto"/>
            <w:noWrap/>
            <w:vAlign w:val="bottom"/>
            <w:hideMark/>
          </w:tcPr>
          <w:p w14:paraId="0C3589DD"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The Port Operators Association</w:t>
            </w:r>
          </w:p>
        </w:tc>
        <w:tc>
          <w:tcPr>
            <w:tcW w:w="3400" w:type="dxa"/>
            <w:shd w:val="clear" w:color="auto" w:fill="auto"/>
            <w:noWrap/>
            <w:vAlign w:val="bottom"/>
            <w:hideMark/>
          </w:tcPr>
          <w:p w14:paraId="7CF6AD63" w14:textId="77777777" w:rsidR="00D52D26" w:rsidRPr="0043215C" w:rsidRDefault="00D52D26" w:rsidP="00CC4A89">
            <w:pPr>
              <w:spacing w:after="0" w:line="240" w:lineRule="auto"/>
              <w:jc w:val="left"/>
              <w:rPr>
                <w:rFonts w:eastAsia="Times New Roman" w:cstheme="minorHAnsi"/>
                <w:color w:val="000000"/>
                <w:sz w:val="20"/>
                <w:szCs w:val="20"/>
              </w:rPr>
            </w:pPr>
            <w:proofErr w:type="spellStart"/>
            <w:r w:rsidRPr="0043215C">
              <w:rPr>
                <w:rFonts w:eastAsia="Times New Roman" w:cstheme="minorHAnsi"/>
                <w:color w:val="000000"/>
                <w:sz w:val="20"/>
                <w:szCs w:val="20"/>
              </w:rPr>
              <w:t>Prof.Dr</w:t>
            </w:r>
            <w:proofErr w:type="spellEnd"/>
            <w:r w:rsidRPr="0043215C">
              <w:rPr>
                <w:rFonts w:eastAsia="Times New Roman" w:cstheme="minorHAnsi"/>
                <w:color w:val="000000"/>
                <w:sz w:val="20"/>
                <w:szCs w:val="20"/>
              </w:rPr>
              <w:t>.</w:t>
            </w:r>
          </w:p>
        </w:tc>
      </w:tr>
      <w:tr w:rsidR="00D52D26" w:rsidRPr="0043215C" w14:paraId="0889A948" w14:textId="77777777" w:rsidTr="000C5237">
        <w:trPr>
          <w:trHeight w:val="285"/>
        </w:trPr>
        <w:tc>
          <w:tcPr>
            <w:tcW w:w="2120" w:type="dxa"/>
            <w:shd w:val="clear" w:color="auto" w:fill="auto"/>
            <w:noWrap/>
            <w:vAlign w:val="bottom"/>
            <w:hideMark/>
          </w:tcPr>
          <w:p w14:paraId="624CCDF5"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lastRenderedPageBreak/>
              <w:t>Tuba YENİLMEZ</w:t>
            </w:r>
          </w:p>
        </w:tc>
        <w:tc>
          <w:tcPr>
            <w:tcW w:w="3640" w:type="dxa"/>
            <w:shd w:val="clear" w:color="auto" w:fill="auto"/>
            <w:noWrap/>
            <w:vAlign w:val="bottom"/>
            <w:hideMark/>
          </w:tcPr>
          <w:p w14:paraId="378622A5"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General Directorate of Highways</w:t>
            </w:r>
          </w:p>
        </w:tc>
        <w:tc>
          <w:tcPr>
            <w:tcW w:w="3400" w:type="dxa"/>
            <w:shd w:val="clear" w:color="auto" w:fill="auto"/>
            <w:noWrap/>
            <w:vAlign w:val="bottom"/>
            <w:hideMark/>
          </w:tcPr>
          <w:p w14:paraId="2FEBEA56"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Environmental Management Chief</w:t>
            </w:r>
          </w:p>
        </w:tc>
      </w:tr>
      <w:tr w:rsidR="00D52D26" w:rsidRPr="0043215C" w14:paraId="60F5F177" w14:textId="77777777" w:rsidTr="000C5237">
        <w:trPr>
          <w:trHeight w:val="285"/>
        </w:trPr>
        <w:tc>
          <w:tcPr>
            <w:tcW w:w="2120" w:type="dxa"/>
            <w:shd w:val="clear" w:color="auto" w:fill="auto"/>
            <w:noWrap/>
            <w:vAlign w:val="bottom"/>
            <w:hideMark/>
          </w:tcPr>
          <w:p w14:paraId="242FDFF0" w14:textId="77777777" w:rsidR="00D52D26" w:rsidRPr="0043215C" w:rsidRDefault="00D52D26" w:rsidP="00CC4A89">
            <w:pPr>
              <w:spacing w:after="0" w:line="240" w:lineRule="auto"/>
              <w:jc w:val="left"/>
              <w:rPr>
                <w:rFonts w:eastAsia="Times New Roman" w:cstheme="minorHAnsi"/>
                <w:color w:val="000000"/>
                <w:sz w:val="20"/>
                <w:szCs w:val="20"/>
              </w:rPr>
            </w:pPr>
            <w:proofErr w:type="spellStart"/>
            <w:r w:rsidRPr="0043215C">
              <w:rPr>
                <w:rFonts w:eastAsia="Times New Roman" w:cstheme="minorHAnsi"/>
                <w:color w:val="000000"/>
                <w:sz w:val="20"/>
                <w:szCs w:val="20"/>
              </w:rPr>
              <w:t>Hatun</w:t>
            </w:r>
            <w:proofErr w:type="spellEnd"/>
            <w:r w:rsidRPr="0043215C">
              <w:rPr>
                <w:rFonts w:eastAsia="Times New Roman" w:cstheme="minorHAnsi"/>
                <w:color w:val="000000"/>
                <w:sz w:val="20"/>
                <w:szCs w:val="20"/>
              </w:rPr>
              <w:t xml:space="preserve"> ÖKSÜZTEPE</w:t>
            </w:r>
          </w:p>
        </w:tc>
        <w:tc>
          <w:tcPr>
            <w:tcW w:w="3640" w:type="dxa"/>
            <w:shd w:val="clear" w:color="auto" w:fill="auto"/>
            <w:noWrap/>
            <w:vAlign w:val="bottom"/>
            <w:hideMark/>
          </w:tcPr>
          <w:p w14:paraId="5BAEB72E"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General Directorate of Highways</w:t>
            </w:r>
          </w:p>
        </w:tc>
        <w:tc>
          <w:tcPr>
            <w:tcW w:w="3400" w:type="dxa"/>
            <w:shd w:val="clear" w:color="auto" w:fill="auto"/>
            <w:noWrap/>
            <w:vAlign w:val="bottom"/>
            <w:hideMark/>
          </w:tcPr>
          <w:p w14:paraId="58B63401"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Environmental Engineer </w:t>
            </w:r>
          </w:p>
        </w:tc>
      </w:tr>
      <w:tr w:rsidR="00D52D26" w:rsidRPr="0043215C" w14:paraId="4D997176" w14:textId="77777777" w:rsidTr="000C5237">
        <w:trPr>
          <w:trHeight w:val="323"/>
        </w:trPr>
        <w:tc>
          <w:tcPr>
            <w:tcW w:w="2120" w:type="dxa"/>
            <w:shd w:val="clear" w:color="auto" w:fill="auto"/>
            <w:noWrap/>
            <w:vAlign w:val="bottom"/>
            <w:hideMark/>
          </w:tcPr>
          <w:p w14:paraId="563D39AC" w14:textId="77777777" w:rsidR="00D52D26" w:rsidRPr="0043215C" w:rsidRDefault="00D52D26" w:rsidP="00CC4A89">
            <w:pPr>
              <w:spacing w:after="0" w:line="240" w:lineRule="auto"/>
              <w:jc w:val="left"/>
              <w:rPr>
                <w:rFonts w:eastAsia="Times New Roman" w:cstheme="minorHAnsi"/>
                <w:color w:val="000000"/>
                <w:sz w:val="20"/>
                <w:szCs w:val="20"/>
              </w:rPr>
            </w:pPr>
            <w:proofErr w:type="spellStart"/>
            <w:r w:rsidRPr="0043215C">
              <w:rPr>
                <w:rFonts w:eastAsia="Times New Roman" w:cstheme="minorHAnsi"/>
                <w:color w:val="000000"/>
                <w:sz w:val="20"/>
                <w:szCs w:val="20"/>
              </w:rPr>
              <w:t>Elçin</w:t>
            </w:r>
            <w:proofErr w:type="spellEnd"/>
            <w:r w:rsidRPr="0043215C">
              <w:rPr>
                <w:rFonts w:eastAsia="Times New Roman" w:cstheme="minorHAnsi"/>
                <w:color w:val="000000"/>
                <w:sz w:val="20"/>
                <w:szCs w:val="20"/>
              </w:rPr>
              <w:t xml:space="preserve"> </w:t>
            </w:r>
            <w:proofErr w:type="spellStart"/>
            <w:r w:rsidRPr="0043215C">
              <w:rPr>
                <w:rFonts w:eastAsia="Times New Roman" w:cstheme="minorHAnsi"/>
                <w:color w:val="000000"/>
                <w:sz w:val="20"/>
                <w:szCs w:val="20"/>
              </w:rPr>
              <w:t>Soyhan</w:t>
            </w:r>
            <w:proofErr w:type="spellEnd"/>
            <w:r w:rsidRPr="0043215C">
              <w:rPr>
                <w:rFonts w:eastAsia="Times New Roman" w:cstheme="minorHAnsi"/>
                <w:color w:val="000000"/>
                <w:sz w:val="20"/>
                <w:szCs w:val="20"/>
              </w:rPr>
              <w:t xml:space="preserve"> KURTULMUŞOĞLU</w:t>
            </w:r>
          </w:p>
        </w:tc>
        <w:tc>
          <w:tcPr>
            <w:tcW w:w="3640" w:type="dxa"/>
            <w:shd w:val="clear" w:color="auto" w:fill="auto"/>
            <w:vAlign w:val="bottom"/>
            <w:hideMark/>
          </w:tcPr>
          <w:p w14:paraId="05DA545A"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br/>
              <w:t>General Directorate of State Airports Authority</w:t>
            </w:r>
          </w:p>
        </w:tc>
        <w:tc>
          <w:tcPr>
            <w:tcW w:w="3400" w:type="dxa"/>
            <w:shd w:val="clear" w:color="auto" w:fill="auto"/>
            <w:noWrap/>
            <w:vAlign w:val="bottom"/>
            <w:hideMark/>
          </w:tcPr>
          <w:p w14:paraId="23E2C482"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Specialist</w:t>
            </w:r>
          </w:p>
        </w:tc>
      </w:tr>
      <w:tr w:rsidR="00D52D26" w:rsidRPr="0043215C" w14:paraId="5B8A0B57" w14:textId="77777777" w:rsidTr="000C5237">
        <w:trPr>
          <w:trHeight w:val="248"/>
        </w:trPr>
        <w:tc>
          <w:tcPr>
            <w:tcW w:w="2120" w:type="dxa"/>
            <w:shd w:val="clear" w:color="auto" w:fill="auto"/>
            <w:noWrap/>
            <w:vAlign w:val="bottom"/>
            <w:hideMark/>
          </w:tcPr>
          <w:p w14:paraId="12A2AB97"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Songül KOCADAYI ESEN</w:t>
            </w:r>
          </w:p>
        </w:tc>
        <w:tc>
          <w:tcPr>
            <w:tcW w:w="3640" w:type="dxa"/>
            <w:shd w:val="clear" w:color="auto" w:fill="auto"/>
            <w:vAlign w:val="bottom"/>
            <w:hideMark/>
          </w:tcPr>
          <w:p w14:paraId="059D6CAB"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br/>
              <w:t>General Directorate of State Airports Authority</w:t>
            </w:r>
          </w:p>
        </w:tc>
        <w:tc>
          <w:tcPr>
            <w:tcW w:w="3400" w:type="dxa"/>
            <w:shd w:val="clear" w:color="auto" w:fill="auto"/>
            <w:noWrap/>
            <w:vAlign w:val="bottom"/>
            <w:hideMark/>
          </w:tcPr>
          <w:p w14:paraId="035E8111"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Economist </w:t>
            </w:r>
          </w:p>
        </w:tc>
      </w:tr>
      <w:tr w:rsidR="00D52D26" w:rsidRPr="0043215C" w14:paraId="02DA8DCE" w14:textId="77777777" w:rsidTr="000C5237">
        <w:trPr>
          <w:trHeight w:val="263"/>
        </w:trPr>
        <w:tc>
          <w:tcPr>
            <w:tcW w:w="2120" w:type="dxa"/>
            <w:shd w:val="clear" w:color="auto" w:fill="auto"/>
            <w:noWrap/>
            <w:vAlign w:val="bottom"/>
            <w:hideMark/>
          </w:tcPr>
          <w:p w14:paraId="59E20236" w14:textId="77777777" w:rsidR="00D52D26" w:rsidRPr="0043215C" w:rsidRDefault="00D52D26" w:rsidP="00CC4A89">
            <w:pPr>
              <w:spacing w:after="0" w:line="240" w:lineRule="auto"/>
              <w:jc w:val="left"/>
              <w:rPr>
                <w:rFonts w:eastAsia="Times New Roman" w:cstheme="minorHAnsi"/>
                <w:color w:val="000000"/>
                <w:sz w:val="20"/>
                <w:szCs w:val="20"/>
              </w:rPr>
            </w:pPr>
            <w:proofErr w:type="spellStart"/>
            <w:r w:rsidRPr="0043215C">
              <w:rPr>
                <w:rFonts w:eastAsia="Times New Roman" w:cstheme="minorHAnsi"/>
                <w:color w:val="000000"/>
                <w:sz w:val="20"/>
                <w:szCs w:val="20"/>
              </w:rPr>
              <w:t>Gülhan</w:t>
            </w:r>
            <w:proofErr w:type="spellEnd"/>
            <w:r w:rsidRPr="0043215C">
              <w:rPr>
                <w:rFonts w:eastAsia="Times New Roman" w:cstheme="minorHAnsi"/>
                <w:color w:val="000000"/>
                <w:sz w:val="20"/>
                <w:szCs w:val="20"/>
              </w:rPr>
              <w:t xml:space="preserve"> KARAKULAK</w:t>
            </w:r>
          </w:p>
        </w:tc>
        <w:tc>
          <w:tcPr>
            <w:tcW w:w="3640" w:type="dxa"/>
            <w:shd w:val="clear" w:color="auto" w:fill="auto"/>
            <w:vAlign w:val="bottom"/>
            <w:hideMark/>
          </w:tcPr>
          <w:p w14:paraId="4E7BCA40"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br/>
              <w:t>General Directorate of State Airports Authority</w:t>
            </w:r>
          </w:p>
        </w:tc>
        <w:tc>
          <w:tcPr>
            <w:tcW w:w="3400" w:type="dxa"/>
            <w:shd w:val="clear" w:color="auto" w:fill="auto"/>
            <w:noWrap/>
            <w:vAlign w:val="bottom"/>
            <w:hideMark/>
          </w:tcPr>
          <w:p w14:paraId="7E0AE405"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Electrical Engineer</w:t>
            </w:r>
          </w:p>
        </w:tc>
      </w:tr>
      <w:tr w:rsidR="00D52D26" w:rsidRPr="0043215C" w14:paraId="3EC1CE73" w14:textId="77777777" w:rsidTr="000C5237">
        <w:trPr>
          <w:trHeight w:val="278"/>
        </w:trPr>
        <w:tc>
          <w:tcPr>
            <w:tcW w:w="2120" w:type="dxa"/>
            <w:shd w:val="clear" w:color="auto" w:fill="auto"/>
            <w:noWrap/>
            <w:vAlign w:val="bottom"/>
            <w:hideMark/>
          </w:tcPr>
          <w:p w14:paraId="157EC03A"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Aykut KARAKOCA</w:t>
            </w:r>
          </w:p>
        </w:tc>
        <w:tc>
          <w:tcPr>
            <w:tcW w:w="3640" w:type="dxa"/>
            <w:shd w:val="clear" w:color="auto" w:fill="auto"/>
            <w:vAlign w:val="bottom"/>
            <w:hideMark/>
          </w:tcPr>
          <w:p w14:paraId="3AA120E1"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br/>
              <w:t>General Directorate of State Airports Authority</w:t>
            </w:r>
          </w:p>
        </w:tc>
        <w:tc>
          <w:tcPr>
            <w:tcW w:w="3400" w:type="dxa"/>
            <w:shd w:val="clear" w:color="auto" w:fill="auto"/>
            <w:noWrap/>
            <w:vAlign w:val="bottom"/>
            <w:hideMark/>
          </w:tcPr>
          <w:p w14:paraId="52771DDF"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Electrical Engineer</w:t>
            </w:r>
          </w:p>
        </w:tc>
      </w:tr>
      <w:tr w:rsidR="00D52D26" w:rsidRPr="0043215C" w14:paraId="23A6CEA1" w14:textId="77777777" w:rsidTr="000C5237">
        <w:trPr>
          <w:trHeight w:val="285"/>
        </w:trPr>
        <w:tc>
          <w:tcPr>
            <w:tcW w:w="2120" w:type="dxa"/>
            <w:shd w:val="clear" w:color="auto" w:fill="auto"/>
            <w:noWrap/>
            <w:vAlign w:val="bottom"/>
            <w:hideMark/>
          </w:tcPr>
          <w:p w14:paraId="2C19F4D6" w14:textId="77777777" w:rsidR="00D52D26" w:rsidRPr="0043215C" w:rsidRDefault="00D52D26" w:rsidP="00CC4A89">
            <w:pPr>
              <w:spacing w:after="0" w:line="240" w:lineRule="auto"/>
              <w:jc w:val="left"/>
              <w:rPr>
                <w:rFonts w:eastAsia="Times New Roman" w:cstheme="minorHAnsi"/>
                <w:color w:val="000000"/>
                <w:sz w:val="20"/>
                <w:szCs w:val="20"/>
              </w:rPr>
            </w:pPr>
            <w:proofErr w:type="spellStart"/>
            <w:r w:rsidRPr="0043215C">
              <w:rPr>
                <w:rFonts w:eastAsia="Times New Roman" w:cstheme="minorHAnsi"/>
                <w:color w:val="000000"/>
                <w:sz w:val="20"/>
                <w:szCs w:val="20"/>
              </w:rPr>
              <w:t>Emine</w:t>
            </w:r>
            <w:proofErr w:type="spellEnd"/>
            <w:r w:rsidRPr="0043215C">
              <w:rPr>
                <w:rFonts w:eastAsia="Times New Roman" w:cstheme="minorHAnsi"/>
                <w:color w:val="000000"/>
                <w:sz w:val="20"/>
                <w:szCs w:val="20"/>
              </w:rPr>
              <w:t xml:space="preserve"> Zeynep BİLGİLİ</w:t>
            </w:r>
          </w:p>
        </w:tc>
        <w:tc>
          <w:tcPr>
            <w:tcW w:w="3640" w:type="dxa"/>
            <w:shd w:val="clear" w:color="auto" w:fill="auto"/>
            <w:noWrap/>
            <w:vAlign w:val="bottom"/>
            <w:hideMark/>
          </w:tcPr>
          <w:p w14:paraId="7AD26E29"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General Directorate of Turkish State Railways</w:t>
            </w:r>
          </w:p>
        </w:tc>
        <w:tc>
          <w:tcPr>
            <w:tcW w:w="3400" w:type="dxa"/>
            <w:shd w:val="clear" w:color="auto" w:fill="auto"/>
            <w:noWrap/>
            <w:vAlign w:val="bottom"/>
            <w:hideMark/>
          </w:tcPr>
          <w:p w14:paraId="75D9127A"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Certified Engineer </w:t>
            </w:r>
          </w:p>
        </w:tc>
      </w:tr>
      <w:tr w:rsidR="00D52D26" w:rsidRPr="0043215C" w14:paraId="289AA91D" w14:textId="77777777" w:rsidTr="000C5237">
        <w:trPr>
          <w:trHeight w:val="285"/>
        </w:trPr>
        <w:tc>
          <w:tcPr>
            <w:tcW w:w="2120" w:type="dxa"/>
            <w:shd w:val="clear" w:color="auto" w:fill="auto"/>
            <w:noWrap/>
            <w:vAlign w:val="bottom"/>
            <w:hideMark/>
          </w:tcPr>
          <w:p w14:paraId="5151B727"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Coşkun BİLGİN</w:t>
            </w:r>
          </w:p>
        </w:tc>
        <w:tc>
          <w:tcPr>
            <w:tcW w:w="3640" w:type="dxa"/>
            <w:shd w:val="clear" w:color="auto" w:fill="auto"/>
            <w:noWrap/>
            <w:vAlign w:val="bottom"/>
            <w:hideMark/>
          </w:tcPr>
          <w:p w14:paraId="46EC23A4"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General Directorate of Turkish State Railways</w:t>
            </w:r>
          </w:p>
        </w:tc>
        <w:tc>
          <w:tcPr>
            <w:tcW w:w="3400" w:type="dxa"/>
            <w:shd w:val="clear" w:color="auto" w:fill="auto"/>
            <w:noWrap/>
            <w:vAlign w:val="bottom"/>
            <w:hideMark/>
          </w:tcPr>
          <w:p w14:paraId="6C202790" w14:textId="77777777" w:rsidR="00D52D26" w:rsidRPr="0043215C" w:rsidRDefault="00D52D26" w:rsidP="00CC4A89">
            <w:pPr>
              <w:spacing w:after="0" w:line="240" w:lineRule="auto"/>
              <w:jc w:val="left"/>
              <w:rPr>
                <w:rFonts w:eastAsia="Times New Roman" w:cstheme="minorHAnsi"/>
                <w:color w:val="000000"/>
                <w:sz w:val="20"/>
                <w:szCs w:val="20"/>
              </w:rPr>
            </w:pPr>
            <w:r w:rsidRPr="0043215C">
              <w:rPr>
                <w:rFonts w:eastAsia="Times New Roman" w:cstheme="minorHAnsi"/>
                <w:color w:val="000000"/>
                <w:sz w:val="20"/>
                <w:szCs w:val="20"/>
              </w:rPr>
              <w:t xml:space="preserve">Environmental Engineer </w:t>
            </w:r>
          </w:p>
        </w:tc>
      </w:tr>
    </w:tbl>
    <w:p w14:paraId="5056834B" w14:textId="77777777" w:rsidR="00D52D26" w:rsidRPr="0043215C" w:rsidRDefault="00D52D26" w:rsidP="00D52D26">
      <w:pPr>
        <w:spacing w:after="0"/>
        <w:rPr>
          <w:rFonts w:eastAsia="Times New Roman" w:cstheme="minorHAnsi"/>
          <w:sz w:val="20"/>
          <w:szCs w:val="20"/>
        </w:rPr>
      </w:pPr>
    </w:p>
    <w:p w14:paraId="21F7B235" w14:textId="77777777" w:rsidR="00D52D26" w:rsidRPr="0043215C" w:rsidRDefault="00D52D26" w:rsidP="00D52D26">
      <w:pPr>
        <w:jc w:val="left"/>
        <w:rPr>
          <w:rFonts w:cstheme="minorHAnsi"/>
          <w:sz w:val="20"/>
          <w:szCs w:val="20"/>
        </w:rPr>
      </w:pPr>
      <w:r w:rsidRPr="0043215C">
        <w:rPr>
          <w:rFonts w:cstheme="minorHAnsi"/>
          <w:sz w:val="20"/>
          <w:szCs w:val="20"/>
        </w:rPr>
        <w:br w:type="page"/>
      </w:r>
    </w:p>
    <w:p w14:paraId="0F58AA98" w14:textId="77777777" w:rsidR="00182F4F" w:rsidRPr="0043215C" w:rsidRDefault="00182F4F" w:rsidP="00D52D26">
      <w:pPr>
        <w:spacing w:after="0"/>
        <w:rPr>
          <w:rFonts w:cstheme="minorHAnsi"/>
          <w:sz w:val="20"/>
          <w:szCs w:val="20"/>
        </w:rPr>
        <w:sectPr w:rsidR="00182F4F" w:rsidRPr="0043215C" w:rsidSect="00945D18">
          <w:pgSz w:w="12240" w:h="15840"/>
          <w:pgMar w:top="1440" w:right="1440" w:bottom="1526" w:left="1440" w:header="720" w:footer="720" w:gutter="0"/>
          <w:cols w:space="720"/>
          <w:docGrid w:linePitch="360"/>
        </w:sectPr>
      </w:pPr>
    </w:p>
    <w:p w14:paraId="367C6C8D" w14:textId="77777777" w:rsidR="00D52D26" w:rsidRPr="0043215C" w:rsidRDefault="00D52D26" w:rsidP="00D52D26">
      <w:pPr>
        <w:spacing w:after="0"/>
        <w:rPr>
          <w:rFonts w:cstheme="minorHAnsi"/>
          <w:sz w:val="20"/>
          <w:szCs w:val="20"/>
        </w:rPr>
      </w:pPr>
    </w:p>
    <w:p w14:paraId="3CE65B2E" w14:textId="0213794A" w:rsidR="000C5237" w:rsidRPr="0043215C" w:rsidRDefault="000C5237" w:rsidP="000C5237">
      <w:pPr>
        <w:spacing w:after="0"/>
        <w:rPr>
          <w:rFonts w:cstheme="minorHAnsi"/>
          <w:b/>
          <w:sz w:val="20"/>
          <w:szCs w:val="20"/>
        </w:rPr>
      </w:pPr>
      <w:r w:rsidRPr="0043215C">
        <w:rPr>
          <w:rFonts w:cstheme="minorHAnsi"/>
          <w:b/>
          <w:sz w:val="20"/>
          <w:szCs w:val="20"/>
        </w:rPr>
        <w:t xml:space="preserve">Table 10. </w:t>
      </w:r>
      <w:r w:rsidRPr="00F22B68">
        <w:rPr>
          <w:rFonts w:cstheme="minorHAnsi"/>
          <w:b/>
          <w:sz w:val="20"/>
          <w:szCs w:val="20"/>
        </w:rPr>
        <w:t>Participants of the Joint Mission</w:t>
      </w:r>
      <w:r w:rsidR="00B56180" w:rsidRPr="00F22B68">
        <w:rPr>
          <w:rFonts w:cstheme="minorHAnsi"/>
          <w:b/>
          <w:sz w:val="20"/>
          <w:szCs w:val="20"/>
        </w:rPr>
        <w:t>s</w:t>
      </w:r>
      <w:r w:rsidR="00AE37B0" w:rsidRPr="00F22B68">
        <w:rPr>
          <w:rFonts w:cstheme="minorHAnsi"/>
          <w:b/>
          <w:sz w:val="20"/>
          <w:szCs w:val="20"/>
        </w:rPr>
        <w:t xml:space="preserve"> (</w:t>
      </w:r>
      <w:r w:rsidRPr="00F22B68">
        <w:rPr>
          <w:rFonts w:cstheme="minorHAnsi"/>
          <w:b/>
          <w:sz w:val="20"/>
          <w:szCs w:val="20"/>
        </w:rPr>
        <w:t>1</w:t>
      </w:r>
      <w:r w:rsidR="003B1D86" w:rsidRPr="00F22B68">
        <w:rPr>
          <w:rFonts w:cstheme="minorHAnsi"/>
          <w:b/>
          <w:sz w:val="20"/>
          <w:szCs w:val="20"/>
        </w:rPr>
        <w:t>,2</w:t>
      </w:r>
      <w:r w:rsidR="003B1D86" w:rsidRPr="0043215C">
        <w:rPr>
          <w:rFonts w:cstheme="minorHAnsi"/>
          <w:b/>
          <w:sz w:val="20"/>
          <w:szCs w:val="20"/>
        </w:rPr>
        <w:t xml:space="preserve"> and 3</w:t>
      </w:r>
      <w:r w:rsidR="00AE37B0" w:rsidRPr="0043215C">
        <w:rPr>
          <w:rFonts w:cstheme="minorHAnsi"/>
          <w:b/>
          <w:sz w:val="20"/>
          <w:szCs w:val="20"/>
        </w:rPr>
        <w:t>)</w:t>
      </w:r>
      <w:r w:rsidRPr="0043215C">
        <w:rPr>
          <w:rFonts w:cstheme="minorHAnsi"/>
          <w:b/>
          <w:sz w:val="20"/>
          <w:szCs w:val="20"/>
        </w:rPr>
        <w:t xml:space="preserve"> </w:t>
      </w:r>
      <w:r w:rsidR="005903CC" w:rsidRPr="0043215C">
        <w:rPr>
          <w:rFonts w:cstheme="minorHAnsi"/>
          <w:b/>
          <w:sz w:val="20"/>
          <w:szCs w:val="20"/>
        </w:rPr>
        <w:t>dated</w:t>
      </w:r>
      <w:r w:rsidRPr="0043215C">
        <w:rPr>
          <w:rFonts w:cstheme="minorHAnsi"/>
          <w:b/>
          <w:sz w:val="20"/>
          <w:szCs w:val="20"/>
        </w:rPr>
        <w:t xml:space="preserve"> January 17-19, </w:t>
      </w:r>
      <w:r w:rsidR="000C6631" w:rsidRPr="0043215C">
        <w:rPr>
          <w:rFonts w:cstheme="minorHAnsi"/>
          <w:b/>
          <w:sz w:val="20"/>
          <w:szCs w:val="20"/>
        </w:rPr>
        <w:t xml:space="preserve">April </w:t>
      </w:r>
      <w:proofErr w:type="gramStart"/>
      <w:r w:rsidR="000C6631" w:rsidRPr="0043215C">
        <w:rPr>
          <w:rFonts w:cstheme="minorHAnsi"/>
          <w:b/>
          <w:sz w:val="20"/>
          <w:szCs w:val="20"/>
        </w:rPr>
        <w:t>3</w:t>
      </w:r>
      <w:proofErr w:type="gramEnd"/>
      <w:r w:rsidR="000C6631" w:rsidRPr="0043215C">
        <w:rPr>
          <w:rFonts w:cstheme="minorHAnsi"/>
          <w:b/>
          <w:sz w:val="20"/>
          <w:szCs w:val="20"/>
        </w:rPr>
        <w:t xml:space="preserve"> and May 21, </w:t>
      </w:r>
      <w:r w:rsidRPr="0043215C">
        <w:rPr>
          <w:rFonts w:cstheme="minorHAnsi"/>
          <w:b/>
          <w:sz w:val="20"/>
          <w:szCs w:val="20"/>
        </w:rPr>
        <w:t>2024</w:t>
      </w:r>
    </w:p>
    <w:p w14:paraId="6C44B7D2" w14:textId="77777777" w:rsidR="000C5237" w:rsidRPr="0043215C" w:rsidRDefault="000C5237" w:rsidP="000C5237">
      <w:pPr>
        <w:spacing w:after="0"/>
        <w:rPr>
          <w:rFonts w:cstheme="minorHAnsi"/>
          <w:sz w:val="20"/>
          <w:szCs w:val="20"/>
        </w:rPr>
      </w:pPr>
    </w:p>
    <w:tbl>
      <w:tblPr>
        <w:tblW w:w="13016" w:type="dxa"/>
        <w:tblLayout w:type="fixed"/>
        <w:tblLook w:val="04A0" w:firstRow="1" w:lastRow="0" w:firstColumn="1" w:lastColumn="0" w:noHBand="0" w:noVBand="1"/>
      </w:tblPr>
      <w:tblGrid>
        <w:gridCol w:w="1605"/>
        <w:gridCol w:w="1838"/>
        <w:gridCol w:w="2227"/>
        <w:gridCol w:w="7346"/>
      </w:tblGrid>
      <w:tr w:rsidR="000C5237" w:rsidRPr="0043215C" w14:paraId="1F0001C0" w14:textId="77777777" w:rsidTr="00691A10">
        <w:trPr>
          <w:trHeight w:val="300"/>
          <w:tblHeader/>
        </w:trPr>
        <w:tc>
          <w:tcPr>
            <w:tcW w:w="1605" w:type="dxa"/>
            <w:tcBorders>
              <w:top w:val="single" w:sz="8" w:space="0" w:color="auto"/>
              <w:left w:val="nil"/>
              <w:bottom w:val="single" w:sz="8" w:space="0" w:color="auto"/>
              <w:right w:val="nil"/>
            </w:tcBorders>
            <w:tcMar>
              <w:left w:w="108" w:type="dxa"/>
              <w:right w:w="108" w:type="dxa"/>
            </w:tcMar>
            <w:vAlign w:val="center"/>
          </w:tcPr>
          <w:p w14:paraId="234CD167" w14:textId="77777777" w:rsidR="000C5237" w:rsidRPr="0043215C" w:rsidRDefault="000C5237" w:rsidP="00691A10">
            <w:pPr>
              <w:spacing w:after="0"/>
              <w:rPr>
                <w:rFonts w:cstheme="minorHAnsi"/>
                <w:sz w:val="20"/>
                <w:szCs w:val="20"/>
              </w:rPr>
            </w:pPr>
            <w:r w:rsidRPr="0043215C">
              <w:rPr>
                <w:rFonts w:eastAsia="Aptos" w:cstheme="minorHAnsi"/>
                <w:b/>
                <w:bCs/>
                <w:color w:val="000000" w:themeColor="text1"/>
                <w:sz w:val="20"/>
                <w:szCs w:val="20"/>
              </w:rPr>
              <w:t xml:space="preserve">Name </w:t>
            </w:r>
          </w:p>
        </w:tc>
        <w:tc>
          <w:tcPr>
            <w:tcW w:w="1838" w:type="dxa"/>
            <w:tcBorders>
              <w:top w:val="single" w:sz="8" w:space="0" w:color="auto"/>
              <w:left w:val="nil"/>
              <w:bottom w:val="single" w:sz="8" w:space="0" w:color="auto"/>
              <w:right w:val="nil"/>
            </w:tcBorders>
            <w:tcMar>
              <w:left w:w="108" w:type="dxa"/>
              <w:right w:w="108" w:type="dxa"/>
            </w:tcMar>
            <w:vAlign w:val="center"/>
          </w:tcPr>
          <w:p w14:paraId="550A154A" w14:textId="77777777" w:rsidR="000C5237" w:rsidRPr="0043215C" w:rsidRDefault="000C5237" w:rsidP="00691A10">
            <w:pPr>
              <w:spacing w:after="0"/>
              <w:rPr>
                <w:rFonts w:cstheme="minorHAnsi"/>
                <w:sz w:val="20"/>
                <w:szCs w:val="20"/>
              </w:rPr>
            </w:pPr>
            <w:r w:rsidRPr="0043215C">
              <w:rPr>
                <w:rFonts w:eastAsia="Aptos" w:cstheme="minorHAnsi"/>
                <w:b/>
                <w:bCs/>
                <w:color w:val="000000" w:themeColor="text1"/>
                <w:sz w:val="20"/>
                <w:szCs w:val="20"/>
              </w:rPr>
              <w:t>Surname</w:t>
            </w:r>
          </w:p>
        </w:tc>
        <w:tc>
          <w:tcPr>
            <w:tcW w:w="2227" w:type="dxa"/>
            <w:tcBorders>
              <w:top w:val="single" w:sz="8" w:space="0" w:color="auto"/>
              <w:left w:val="nil"/>
              <w:bottom w:val="single" w:sz="8" w:space="0" w:color="auto"/>
              <w:right w:val="nil"/>
            </w:tcBorders>
            <w:tcMar>
              <w:left w:w="108" w:type="dxa"/>
              <w:right w:w="108" w:type="dxa"/>
            </w:tcMar>
            <w:vAlign w:val="center"/>
          </w:tcPr>
          <w:p w14:paraId="7EDF8C8C" w14:textId="77777777" w:rsidR="000C5237" w:rsidRPr="0043215C" w:rsidRDefault="000C5237" w:rsidP="00691A10">
            <w:pPr>
              <w:spacing w:after="0"/>
              <w:jc w:val="center"/>
              <w:rPr>
                <w:rFonts w:cstheme="minorHAnsi"/>
                <w:sz w:val="20"/>
                <w:szCs w:val="20"/>
              </w:rPr>
            </w:pPr>
            <w:r w:rsidRPr="0043215C">
              <w:rPr>
                <w:rFonts w:eastAsia="Aptos" w:cstheme="minorHAnsi"/>
                <w:b/>
                <w:bCs/>
                <w:color w:val="000000" w:themeColor="text1"/>
                <w:sz w:val="20"/>
                <w:szCs w:val="20"/>
              </w:rPr>
              <w:t>Institution Name</w:t>
            </w:r>
          </w:p>
        </w:tc>
        <w:tc>
          <w:tcPr>
            <w:tcW w:w="7346" w:type="dxa"/>
            <w:tcBorders>
              <w:top w:val="single" w:sz="8" w:space="0" w:color="auto"/>
              <w:left w:val="nil"/>
              <w:bottom w:val="single" w:sz="8" w:space="0" w:color="auto"/>
              <w:right w:val="single" w:sz="8" w:space="0" w:color="auto"/>
            </w:tcBorders>
            <w:tcMar>
              <w:left w:w="108" w:type="dxa"/>
              <w:right w:w="108" w:type="dxa"/>
            </w:tcMar>
            <w:vAlign w:val="center"/>
          </w:tcPr>
          <w:p w14:paraId="611FE0CD" w14:textId="77777777" w:rsidR="000C5237" w:rsidRPr="0043215C" w:rsidRDefault="000C5237" w:rsidP="00691A10">
            <w:pPr>
              <w:spacing w:after="0"/>
              <w:rPr>
                <w:rFonts w:cstheme="minorHAnsi"/>
                <w:sz w:val="20"/>
                <w:szCs w:val="20"/>
              </w:rPr>
            </w:pPr>
            <w:r w:rsidRPr="0043215C">
              <w:rPr>
                <w:rFonts w:eastAsia="Aptos" w:cstheme="minorHAnsi"/>
                <w:b/>
                <w:bCs/>
                <w:color w:val="000000" w:themeColor="text1"/>
                <w:sz w:val="20"/>
                <w:szCs w:val="20"/>
              </w:rPr>
              <w:t>Position/Title</w:t>
            </w:r>
          </w:p>
        </w:tc>
      </w:tr>
      <w:tr w:rsidR="000C5237" w:rsidRPr="0043215C" w14:paraId="4AEBDFCB" w14:textId="77777777" w:rsidTr="00691A10">
        <w:trPr>
          <w:trHeight w:val="375"/>
        </w:trPr>
        <w:tc>
          <w:tcPr>
            <w:tcW w:w="1605" w:type="dxa"/>
            <w:tcMar>
              <w:left w:w="108" w:type="dxa"/>
              <w:right w:w="108" w:type="dxa"/>
            </w:tcMar>
            <w:vAlign w:val="center"/>
          </w:tcPr>
          <w:p w14:paraId="5E4FDE17"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Stephan</w:t>
            </w:r>
          </w:p>
        </w:tc>
        <w:tc>
          <w:tcPr>
            <w:tcW w:w="1838" w:type="dxa"/>
            <w:tcMar>
              <w:left w:w="108" w:type="dxa"/>
              <w:right w:w="108" w:type="dxa"/>
            </w:tcMar>
            <w:vAlign w:val="center"/>
          </w:tcPr>
          <w:p w14:paraId="3908132A"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Garnier</w:t>
            </w:r>
          </w:p>
        </w:tc>
        <w:tc>
          <w:tcPr>
            <w:tcW w:w="2227" w:type="dxa"/>
            <w:tcMar>
              <w:left w:w="108" w:type="dxa"/>
              <w:right w:w="108" w:type="dxa"/>
            </w:tcMar>
            <w:vAlign w:val="center"/>
          </w:tcPr>
          <w:p w14:paraId="05D400F0"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WB</w:t>
            </w:r>
          </w:p>
        </w:tc>
        <w:tc>
          <w:tcPr>
            <w:tcW w:w="7346" w:type="dxa"/>
            <w:tcMar>
              <w:left w:w="108" w:type="dxa"/>
              <w:right w:w="108" w:type="dxa"/>
            </w:tcMar>
            <w:vAlign w:val="center"/>
          </w:tcPr>
          <w:p w14:paraId="3134A006"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Deputy Country Director, Lead Energy Specialist</w:t>
            </w:r>
          </w:p>
        </w:tc>
      </w:tr>
      <w:tr w:rsidR="000C5237" w:rsidRPr="0043215C" w14:paraId="21713CEB" w14:textId="77777777" w:rsidTr="00691A10">
        <w:trPr>
          <w:trHeight w:val="300"/>
        </w:trPr>
        <w:tc>
          <w:tcPr>
            <w:tcW w:w="1605" w:type="dxa"/>
            <w:tcMar>
              <w:left w:w="108" w:type="dxa"/>
              <w:right w:w="108" w:type="dxa"/>
            </w:tcMar>
            <w:vAlign w:val="center"/>
          </w:tcPr>
          <w:p w14:paraId="55F551E0"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Yesim </w:t>
            </w:r>
          </w:p>
        </w:tc>
        <w:tc>
          <w:tcPr>
            <w:tcW w:w="1838" w:type="dxa"/>
            <w:tcMar>
              <w:left w:w="108" w:type="dxa"/>
              <w:right w:w="108" w:type="dxa"/>
            </w:tcMar>
            <w:vAlign w:val="center"/>
          </w:tcPr>
          <w:p w14:paraId="3F52E421"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Akcollu</w:t>
            </w:r>
          </w:p>
        </w:tc>
        <w:tc>
          <w:tcPr>
            <w:tcW w:w="2227" w:type="dxa"/>
            <w:tcMar>
              <w:left w:w="108" w:type="dxa"/>
              <w:right w:w="108" w:type="dxa"/>
            </w:tcMar>
            <w:vAlign w:val="center"/>
          </w:tcPr>
          <w:p w14:paraId="6A069316"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WB</w:t>
            </w:r>
          </w:p>
        </w:tc>
        <w:tc>
          <w:tcPr>
            <w:tcW w:w="7346" w:type="dxa"/>
            <w:tcMar>
              <w:left w:w="108" w:type="dxa"/>
              <w:right w:w="108" w:type="dxa"/>
            </w:tcMar>
            <w:vAlign w:val="center"/>
          </w:tcPr>
          <w:p w14:paraId="1945AFAD" w14:textId="052CCA8C"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Team Leader for </w:t>
            </w:r>
            <w:r w:rsidR="00265D33" w:rsidRPr="0043215C">
              <w:rPr>
                <w:rFonts w:eastAsia="Aptos" w:cstheme="minorHAnsi"/>
                <w:color w:val="000000" w:themeColor="text1"/>
                <w:sz w:val="20"/>
                <w:szCs w:val="20"/>
              </w:rPr>
              <w:t>Türkiye</w:t>
            </w:r>
            <w:r w:rsidRPr="0043215C">
              <w:rPr>
                <w:rFonts w:eastAsia="Aptos" w:cstheme="minorHAnsi"/>
                <w:color w:val="000000" w:themeColor="text1"/>
                <w:sz w:val="20"/>
                <w:szCs w:val="20"/>
              </w:rPr>
              <w:t xml:space="preserve"> CIF/CTF Program, Senior Energy Specialist</w:t>
            </w:r>
          </w:p>
        </w:tc>
      </w:tr>
      <w:tr w:rsidR="000C5237" w:rsidRPr="0043215C" w14:paraId="1D64E0DF" w14:textId="77777777" w:rsidTr="00691A10">
        <w:trPr>
          <w:trHeight w:val="285"/>
        </w:trPr>
        <w:tc>
          <w:tcPr>
            <w:tcW w:w="1605" w:type="dxa"/>
            <w:tcMar>
              <w:left w:w="108" w:type="dxa"/>
              <w:right w:w="108" w:type="dxa"/>
            </w:tcMar>
            <w:vAlign w:val="center"/>
          </w:tcPr>
          <w:p w14:paraId="103AB846"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Alan David</w:t>
            </w:r>
          </w:p>
        </w:tc>
        <w:tc>
          <w:tcPr>
            <w:tcW w:w="1838" w:type="dxa"/>
            <w:tcMar>
              <w:left w:w="108" w:type="dxa"/>
              <w:right w:w="108" w:type="dxa"/>
            </w:tcMar>
            <w:vAlign w:val="center"/>
          </w:tcPr>
          <w:p w14:paraId="37BC120C"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Lee</w:t>
            </w:r>
          </w:p>
        </w:tc>
        <w:tc>
          <w:tcPr>
            <w:tcW w:w="2227" w:type="dxa"/>
            <w:tcMar>
              <w:left w:w="108" w:type="dxa"/>
              <w:right w:w="108" w:type="dxa"/>
            </w:tcMar>
            <w:vAlign w:val="center"/>
          </w:tcPr>
          <w:p w14:paraId="450D2E2D"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WB</w:t>
            </w:r>
          </w:p>
        </w:tc>
        <w:tc>
          <w:tcPr>
            <w:tcW w:w="7346" w:type="dxa"/>
            <w:tcMar>
              <w:left w:w="108" w:type="dxa"/>
              <w:right w:w="108" w:type="dxa"/>
            </w:tcMar>
            <w:vAlign w:val="center"/>
          </w:tcPr>
          <w:p w14:paraId="25B149B1"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Senior Energy Specialist</w:t>
            </w:r>
          </w:p>
        </w:tc>
      </w:tr>
      <w:tr w:rsidR="000C5237" w:rsidRPr="0043215C" w14:paraId="6FBDA1AA" w14:textId="77777777" w:rsidTr="00691A10">
        <w:trPr>
          <w:trHeight w:val="285"/>
        </w:trPr>
        <w:tc>
          <w:tcPr>
            <w:tcW w:w="1605" w:type="dxa"/>
            <w:tcMar>
              <w:left w:w="108" w:type="dxa"/>
              <w:right w:w="108" w:type="dxa"/>
            </w:tcMar>
            <w:vAlign w:val="center"/>
          </w:tcPr>
          <w:p w14:paraId="42138F1F"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Frank</w:t>
            </w:r>
          </w:p>
        </w:tc>
        <w:tc>
          <w:tcPr>
            <w:tcW w:w="1838" w:type="dxa"/>
            <w:tcMar>
              <w:left w:w="108" w:type="dxa"/>
              <w:right w:w="108" w:type="dxa"/>
            </w:tcMar>
            <w:vAlign w:val="center"/>
          </w:tcPr>
          <w:p w14:paraId="03667660"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Van der Vleuten</w:t>
            </w:r>
          </w:p>
        </w:tc>
        <w:tc>
          <w:tcPr>
            <w:tcW w:w="2227" w:type="dxa"/>
            <w:tcMar>
              <w:left w:w="108" w:type="dxa"/>
              <w:right w:w="108" w:type="dxa"/>
            </w:tcMar>
            <w:vAlign w:val="center"/>
          </w:tcPr>
          <w:p w14:paraId="0CD7F9C0"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WB</w:t>
            </w:r>
          </w:p>
        </w:tc>
        <w:tc>
          <w:tcPr>
            <w:tcW w:w="7346" w:type="dxa"/>
            <w:tcMar>
              <w:left w:w="108" w:type="dxa"/>
              <w:right w:w="108" w:type="dxa"/>
            </w:tcMar>
            <w:vAlign w:val="center"/>
          </w:tcPr>
          <w:p w14:paraId="5494E90E"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Advisor</w:t>
            </w:r>
          </w:p>
        </w:tc>
      </w:tr>
      <w:tr w:rsidR="000C5237" w:rsidRPr="0043215C" w14:paraId="3F77A141" w14:textId="77777777" w:rsidTr="00691A10">
        <w:trPr>
          <w:trHeight w:val="285"/>
        </w:trPr>
        <w:tc>
          <w:tcPr>
            <w:tcW w:w="1605" w:type="dxa"/>
            <w:tcMar>
              <w:left w:w="108" w:type="dxa"/>
              <w:right w:w="108" w:type="dxa"/>
            </w:tcMar>
            <w:vAlign w:val="center"/>
          </w:tcPr>
          <w:p w14:paraId="58EFDFF5"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Megan</w:t>
            </w:r>
          </w:p>
        </w:tc>
        <w:tc>
          <w:tcPr>
            <w:tcW w:w="1838" w:type="dxa"/>
            <w:tcMar>
              <w:left w:w="108" w:type="dxa"/>
              <w:right w:w="108" w:type="dxa"/>
            </w:tcMar>
            <w:vAlign w:val="center"/>
          </w:tcPr>
          <w:p w14:paraId="056F94BF"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Meyer</w:t>
            </w:r>
          </w:p>
        </w:tc>
        <w:tc>
          <w:tcPr>
            <w:tcW w:w="2227" w:type="dxa"/>
            <w:tcMar>
              <w:left w:w="108" w:type="dxa"/>
              <w:right w:w="108" w:type="dxa"/>
            </w:tcMar>
            <w:vAlign w:val="center"/>
          </w:tcPr>
          <w:p w14:paraId="24AA1597"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WB</w:t>
            </w:r>
          </w:p>
        </w:tc>
        <w:tc>
          <w:tcPr>
            <w:tcW w:w="7346" w:type="dxa"/>
            <w:tcMar>
              <w:left w:w="108" w:type="dxa"/>
              <w:right w:w="108" w:type="dxa"/>
            </w:tcMar>
            <w:vAlign w:val="center"/>
          </w:tcPr>
          <w:p w14:paraId="2C0B1028"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Senior Energy Specialist</w:t>
            </w:r>
          </w:p>
        </w:tc>
      </w:tr>
      <w:tr w:rsidR="000C5237" w:rsidRPr="0043215C" w14:paraId="0CF498A0" w14:textId="77777777" w:rsidTr="00691A10">
        <w:trPr>
          <w:trHeight w:val="285"/>
        </w:trPr>
        <w:tc>
          <w:tcPr>
            <w:tcW w:w="1605" w:type="dxa"/>
            <w:tcMar>
              <w:left w:w="108" w:type="dxa"/>
              <w:right w:w="108" w:type="dxa"/>
            </w:tcMar>
            <w:vAlign w:val="center"/>
          </w:tcPr>
          <w:p w14:paraId="6B720278"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Eyup </w:t>
            </w:r>
          </w:p>
        </w:tc>
        <w:tc>
          <w:tcPr>
            <w:tcW w:w="1838" w:type="dxa"/>
            <w:tcMar>
              <w:left w:w="108" w:type="dxa"/>
              <w:right w:w="108" w:type="dxa"/>
            </w:tcMar>
            <w:vAlign w:val="center"/>
          </w:tcPr>
          <w:p w14:paraId="0FD596DB"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Mermer</w:t>
            </w:r>
          </w:p>
        </w:tc>
        <w:tc>
          <w:tcPr>
            <w:tcW w:w="2227" w:type="dxa"/>
            <w:tcMar>
              <w:left w:w="108" w:type="dxa"/>
              <w:right w:w="108" w:type="dxa"/>
            </w:tcMar>
            <w:vAlign w:val="center"/>
          </w:tcPr>
          <w:p w14:paraId="1008FA59"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WB</w:t>
            </w:r>
          </w:p>
        </w:tc>
        <w:tc>
          <w:tcPr>
            <w:tcW w:w="7346" w:type="dxa"/>
            <w:tcMar>
              <w:left w:w="108" w:type="dxa"/>
              <w:right w:w="108" w:type="dxa"/>
            </w:tcMar>
            <w:vAlign w:val="center"/>
          </w:tcPr>
          <w:p w14:paraId="4378D0F1"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Program Assistant</w:t>
            </w:r>
          </w:p>
        </w:tc>
      </w:tr>
      <w:tr w:rsidR="000C5237" w:rsidRPr="0043215C" w14:paraId="6502D910" w14:textId="77777777" w:rsidTr="00691A10">
        <w:trPr>
          <w:trHeight w:val="285"/>
        </w:trPr>
        <w:tc>
          <w:tcPr>
            <w:tcW w:w="1605" w:type="dxa"/>
            <w:tcMar>
              <w:left w:w="108" w:type="dxa"/>
              <w:right w:w="108" w:type="dxa"/>
            </w:tcMar>
            <w:vAlign w:val="bottom"/>
          </w:tcPr>
          <w:p w14:paraId="1E8FFB42"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Sedef </w:t>
            </w:r>
          </w:p>
        </w:tc>
        <w:tc>
          <w:tcPr>
            <w:tcW w:w="1838" w:type="dxa"/>
            <w:tcMar>
              <w:left w:w="108" w:type="dxa"/>
              <w:right w:w="108" w:type="dxa"/>
            </w:tcMar>
            <w:vAlign w:val="bottom"/>
          </w:tcPr>
          <w:p w14:paraId="14A6D13F"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Kaynarkan</w:t>
            </w:r>
          </w:p>
        </w:tc>
        <w:tc>
          <w:tcPr>
            <w:tcW w:w="2227" w:type="dxa"/>
            <w:tcMar>
              <w:left w:w="108" w:type="dxa"/>
              <w:right w:w="108" w:type="dxa"/>
            </w:tcMar>
            <w:vAlign w:val="center"/>
          </w:tcPr>
          <w:p w14:paraId="5EB60F30"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WB</w:t>
            </w:r>
          </w:p>
        </w:tc>
        <w:tc>
          <w:tcPr>
            <w:tcW w:w="7346" w:type="dxa"/>
            <w:tcMar>
              <w:left w:w="108" w:type="dxa"/>
              <w:right w:w="108" w:type="dxa"/>
            </w:tcMar>
            <w:vAlign w:val="center"/>
          </w:tcPr>
          <w:p w14:paraId="09719236"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Program Assistant</w:t>
            </w:r>
          </w:p>
        </w:tc>
      </w:tr>
      <w:tr w:rsidR="000C5237" w:rsidRPr="0043215C" w14:paraId="60F4B643" w14:textId="77777777" w:rsidTr="00691A10">
        <w:trPr>
          <w:trHeight w:val="285"/>
        </w:trPr>
        <w:tc>
          <w:tcPr>
            <w:tcW w:w="1605" w:type="dxa"/>
            <w:tcMar>
              <w:left w:w="108" w:type="dxa"/>
              <w:right w:w="108" w:type="dxa"/>
            </w:tcMar>
            <w:vAlign w:val="center"/>
          </w:tcPr>
          <w:p w14:paraId="394E2489"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Andrey </w:t>
            </w:r>
          </w:p>
        </w:tc>
        <w:tc>
          <w:tcPr>
            <w:tcW w:w="1838" w:type="dxa"/>
            <w:tcMar>
              <w:left w:w="108" w:type="dxa"/>
              <w:right w:w="108" w:type="dxa"/>
            </w:tcMar>
            <w:vAlign w:val="center"/>
          </w:tcPr>
          <w:p w14:paraId="05DC80ED"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Shlyakhtenko</w:t>
            </w:r>
          </w:p>
        </w:tc>
        <w:tc>
          <w:tcPr>
            <w:tcW w:w="2227" w:type="dxa"/>
            <w:tcMar>
              <w:left w:w="108" w:type="dxa"/>
              <w:right w:w="108" w:type="dxa"/>
            </w:tcMar>
            <w:vAlign w:val="center"/>
          </w:tcPr>
          <w:p w14:paraId="774ABFD0"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IFC</w:t>
            </w:r>
          </w:p>
        </w:tc>
        <w:tc>
          <w:tcPr>
            <w:tcW w:w="7346" w:type="dxa"/>
            <w:tcMar>
              <w:left w:w="108" w:type="dxa"/>
              <w:right w:w="108" w:type="dxa"/>
            </w:tcMar>
            <w:vAlign w:val="center"/>
          </w:tcPr>
          <w:p w14:paraId="09AD85DA"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Senior Operations Officer, Blended Finance</w:t>
            </w:r>
          </w:p>
        </w:tc>
      </w:tr>
      <w:tr w:rsidR="000C5237" w:rsidRPr="0043215C" w14:paraId="46F3E701" w14:textId="77777777" w:rsidTr="00691A10">
        <w:trPr>
          <w:trHeight w:val="285"/>
        </w:trPr>
        <w:tc>
          <w:tcPr>
            <w:tcW w:w="1605" w:type="dxa"/>
            <w:tcMar>
              <w:left w:w="108" w:type="dxa"/>
              <w:right w:w="108" w:type="dxa"/>
            </w:tcMar>
            <w:vAlign w:val="center"/>
          </w:tcPr>
          <w:p w14:paraId="27011FC7"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Tendai</w:t>
            </w:r>
          </w:p>
        </w:tc>
        <w:tc>
          <w:tcPr>
            <w:tcW w:w="1838" w:type="dxa"/>
            <w:tcMar>
              <w:left w:w="108" w:type="dxa"/>
              <w:right w:w="108" w:type="dxa"/>
            </w:tcMar>
            <w:vAlign w:val="center"/>
          </w:tcPr>
          <w:p w14:paraId="712CDD4C"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Madenyika</w:t>
            </w:r>
          </w:p>
        </w:tc>
        <w:tc>
          <w:tcPr>
            <w:tcW w:w="2227" w:type="dxa"/>
            <w:tcMar>
              <w:left w:w="108" w:type="dxa"/>
              <w:right w:w="108" w:type="dxa"/>
            </w:tcMar>
            <w:vAlign w:val="center"/>
          </w:tcPr>
          <w:p w14:paraId="61329BCD"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IFC</w:t>
            </w:r>
          </w:p>
        </w:tc>
        <w:tc>
          <w:tcPr>
            <w:tcW w:w="7346" w:type="dxa"/>
            <w:tcMar>
              <w:left w:w="108" w:type="dxa"/>
              <w:right w:w="108" w:type="dxa"/>
            </w:tcMar>
            <w:vAlign w:val="bottom"/>
          </w:tcPr>
          <w:p w14:paraId="6D8FF697" w14:textId="77777777" w:rsidR="000C5237" w:rsidRPr="0043215C" w:rsidRDefault="000C5237" w:rsidP="00691A10">
            <w:pPr>
              <w:spacing w:after="0"/>
              <w:rPr>
                <w:rFonts w:cstheme="minorHAnsi"/>
                <w:sz w:val="20"/>
                <w:szCs w:val="20"/>
              </w:rPr>
            </w:pPr>
            <w:r w:rsidRPr="0043215C">
              <w:rPr>
                <w:rFonts w:eastAsia="Aptos" w:cstheme="minorHAnsi"/>
                <w:sz w:val="20"/>
                <w:szCs w:val="20"/>
              </w:rPr>
              <w:t>Operations Officer, Blended Finance</w:t>
            </w:r>
          </w:p>
        </w:tc>
      </w:tr>
      <w:tr w:rsidR="000C5237" w:rsidRPr="0043215C" w14:paraId="2CCAC39C" w14:textId="77777777" w:rsidTr="00691A10">
        <w:trPr>
          <w:trHeight w:val="285"/>
        </w:trPr>
        <w:tc>
          <w:tcPr>
            <w:tcW w:w="1605" w:type="dxa"/>
            <w:tcMar>
              <w:left w:w="108" w:type="dxa"/>
              <w:right w:w="108" w:type="dxa"/>
            </w:tcMar>
            <w:vAlign w:val="center"/>
          </w:tcPr>
          <w:p w14:paraId="15F1FDCA"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Sule</w:t>
            </w:r>
          </w:p>
        </w:tc>
        <w:tc>
          <w:tcPr>
            <w:tcW w:w="1838" w:type="dxa"/>
            <w:tcMar>
              <w:left w:w="108" w:type="dxa"/>
              <w:right w:w="108" w:type="dxa"/>
            </w:tcMar>
            <w:vAlign w:val="center"/>
          </w:tcPr>
          <w:p w14:paraId="7FA1DB7C"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Kilic</w:t>
            </w:r>
          </w:p>
        </w:tc>
        <w:tc>
          <w:tcPr>
            <w:tcW w:w="2227" w:type="dxa"/>
            <w:tcMar>
              <w:left w:w="108" w:type="dxa"/>
              <w:right w:w="108" w:type="dxa"/>
            </w:tcMar>
            <w:vAlign w:val="center"/>
          </w:tcPr>
          <w:p w14:paraId="7F6E3195"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EBRD</w:t>
            </w:r>
          </w:p>
        </w:tc>
        <w:tc>
          <w:tcPr>
            <w:tcW w:w="7346" w:type="dxa"/>
            <w:tcMar>
              <w:left w:w="108" w:type="dxa"/>
              <w:right w:w="108" w:type="dxa"/>
            </w:tcMar>
            <w:vAlign w:val="center"/>
          </w:tcPr>
          <w:p w14:paraId="417125FA" w14:textId="4B45FE22"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Associate Director, Deputy Head </w:t>
            </w:r>
            <w:r w:rsidR="00265D33" w:rsidRPr="0043215C">
              <w:rPr>
                <w:rFonts w:eastAsia="Aptos" w:cstheme="minorHAnsi"/>
                <w:color w:val="000000" w:themeColor="text1"/>
                <w:sz w:val="20"/>
                <w:szCs w:val="20"/>
              </w:rPr>
              <w:t>Türkiye</w:t>
            </w:r>
          </w:p>
        </w:tc>
      </w:tr>
      <w:tr w:rsidR="000C5237" w:rsidRPr="0043215C" w14:paraId="0DD09013" w14:textId="77777777" w:rsidTr="00691A10">
        <w:trPr>
          <w:trHeight w:val="285"/>
        </w:trPr>
        <w:tc>
          <w:tcPr>
            <w:tcW w:w="1605" w:type="dxa"/>
            <w:tcMar>
              <w:left w:w="108" w:type="dxa"/>
              <w:right w:w="108" w:type="dxa"/>
            </w:tcMar>
            <w:vAlign w:val="center"/>
          </w:tcPr>
          <w:p w14:paraId="79BEFEB3"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Andrea</w:t>
            </w:r>
          </w:p>
        </w:tc>
        <w:tc>
          <w:tcPr>
            <w:tcW w:w="1838" w:type="dxa"/>
            <w:tcMar>
              <w:left w:w="108" w:type="dxa"/>
              <w:right w:w="108" w:type="dxa"/>
            </w:tcMar>
            <w:vAlign w:val="center"/>
          </w:tcPr>
          <w:p w14:paraId="2F3E20B9"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Iro</w:t>
            </w:r>
          </w:p>
        </w:tc>
        <w:tc>
          <w:tcPr>
            <w:tcW w:w="2227" w:type="dxa"/>
            <w:tcMar>
              <w:left w:w="108" w:type="dxa"/>
              <w:right w:w="108" w:type="dxa"/>
            </w:tcMar>
            <w:vAlign w:val="center"/>
          </w:tcPr>
          <w:p w14:paraId="7D7A313F"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EBRD</w:t>
            </w:r>
          </w:p>
        </w:tc>
        <w:tc>
          <w:tcPr>
            <w:tcW w:w="7346" w:type="dxa"/>
            <w:tcMar>
              <w:left w:w="108" w:type="dxa"/>
              <w:right w:w="108" w:type="dxa"/>
            </w:tcMar>
            <w:vAlign w:val="center"/>
          </w:tcPr>
          <w:p w14:paraId="53C02822"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Associate Manager, Donor Partnerships </w:t>
            </w:r>
          </w:p>
        </w:tc>
      </w:tr>
      <w:tr w:rsidR="000C5237" w:rsidRPr="0043215C" w14:paraId="540B6C83" w14:textId="77777777" w:rsidTr="00691A10">
        <w:trPr>
          <w:trHeight w:val="285"/>
        </w:trPr>
        <w:tc>
          <w:tcPr>
            <w:tcW w:w="1605" w:type="dxa"/>
            <w:tcMar>
              <w:left w:w="108" w:type="dxa"/>
              <w:right w:w="108" w:type="dxa"/>
            </w:tcMar>
            <w:vAlign w:val="center"/>
          </w:tcPr>
          <w:p w14:paraId="1533D5B6"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Gianpiero</w:t>
            </w:r>
            <w:proofErr w:type="spellEnd"/>
          </w:p>
        </w:tc>
        <w:tc>
          <w:tcPr>
            <w:tcW w:w="1838" w:type="dxa"/>
            <w:tcMar>
              <w:left w:w="108" w:type="dxa"/>
              <w:right w:w="108" w:type="dxa"/>
            </w:tcMar>
            <w:vAlign w:val="center"/>
          </w:tcPr>
          <w:p w14:paraId="009A726D"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roofErr w:type="spellStart"/>
            <w:r w:rsidRPr="0043215C">
              <w:rPr>
                <w:rFonts w:eastAsia="Aptos" w:cstheme="minorHAnsi"/>
                <w:color w:val="000000" w:themeColor="text1"/>
                <w:sz w:val="20"/>
                <w:szCs w:val="20"/>
              </w:rPr>
              <w:t>Nacci</w:t>
            </w:r>
            <w:proofErr w:type="spellEnd"/>
          </w:p>
        </w:tc>
        <w:tc>
          <w:tcPr>
            <w:tcW w:w="2227" w:type="dxa"/>
            <w:tcMar>
              <w:left w:w="108" w:type="dxa"/>
              <w:right w:w="108" w:type="dxa"/>
            </w:tcMar>
            <w:vAlign w:val="center"/>
          </w:tcPr>
          <w:p w14:paraId="402461C4"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EBRD</w:t>
            </w:r>
          </w:p>
        </w:tc>
        <w:tc>
          <w:tcPr>
            <w:tcW w:w="7346" w:type="dxa"/>
            <w:tcMar>
              <w:left w:w="108" w:type="dxa"/>
              <w:right w:w="108" w:type="dxa"/>
            </w:tcMar>
            <w:vAlign w:val="center"/>
          </w:tcPr>
          <w:p w14:paraId="4EC76F73"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Director, Climate Strategy and Delivery</w:t>
            </w:r>
          </w:p>
        </w:tc>
      </w:tr>
      <w:tr w:rsidR="000C5237" w:rsidRPr="0043215C" w14:paraId="7AE96E69" w14:textId="77777777" w:rsidTr="00691A10">
        <w:trPr>
          <w:trHeight w:val="285"/>
        </w:trPr>
        <w:tc>
          <w:tcPr>
            <w:tcW w:w="1605" w:type="dxa"/>
            <w:tcMar>
              <w:left w:w="108" w:type="dxa"/>
              <w:right w:w="108" w:type="dxa"/>
            </w:tcMar>
            <w:vAlign w:val="center"/>
          </w:tcPr>
          <w:p w14:paraId="554EC058"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Cristian</w:t>
            </w:r>
          </w:p>
        </w:tc>
        <w:tc>
          <w:tcPr>
            <w:tcW w:w="1838" w:type="dxa"/>
            <w:tcMar>
              <w:left w:w="108" w:type="dxa"/>
              <w:right w:w="108" w:type="dxa"/>
            </w:tcMar>
            <w:vAlign w:val="center"/>
          </w:tcPr>
          <w:p w14:paraId="4935D93E"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Carraretto</w:t>
            </w:r>
          </w:p>
        </w:tc>
        <w:tc>
          <w:tcPr>
            <w:tcW w:w="2227" w:type="dxa"/>
            <w:tcMar>
              <w:left w:w="108" w:type="dxa"/>
              <w:right w:w="108" w:type="dxa"/>
            </w:tcMar>
            <w:vAlign w:val="center"/>
          </w:tcPr>
          <w:p w14:paraId="31DC013B"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EBRD</w:t>
            </w:r>
          </w:p>
        </w:tc>
        <w:tc>
          <w:tcPr>
            <w:tcW w:w="7346" w:type="dxa"/>
            <w:tcMar>
              <w:left w:w="108" w:type="dxa"/>
              <w:right w:w="108" w:type="dxa"/>
            </w:tcMar>
            <w:vAlign w:val="center"/>
          </w:tcPr>
          <w:p w14:paraId="602808E0"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Associate Director, Climate Strategy and Delivery </w:t>
            </w:r>
          </w:p>
        </w:tc>
      </w:tr>
      <w:tr w:rsidR="000C5237" w:rsidRPr="0043215C" w14:paraId="3329922A" w14:textId="77777777" w:rsidTr="00691A10">
        <w:trPr>
          <w:trHeight w:val="285"/>
        </w:trPr>
        <w:tc>
          <w:tcPr>
            <w:tcW w:w="1605" w:type="dxa"/>
            <w:tcMar>
              <w:left w:w="108" w:type="dxa"/>
              <w:right w:w="108" w:type="dxa"/>
            </w:tcMar>
            <w:vAlign w:val="center"/>
          </w:tcPr>
          <w:p w14:paraId="683DA7B4"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Muharrem</w:t>
            </w:r>
          </w:p>
        </w:tc>
        <w:tc>
          <w:tcPr>
            <w:tcW w:w="1838" w:type="dxa"/>
            <w:tcMar>
              <w:left w:w="108" w:type="dxa"/>
              <w:right w:w="108" w:type="dxa"/>
            </w:tcMar>
            <w:vAlign w:val="center"/>
          </w:tcPr>
          <w:p w14:paraId="2057A472"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Askin</w:t>
            </w:r>
          </w:p>
        </w:tc>
        <w:tc>
          <w:tcPr>
            <w:tcW w:w="2227" w:type="dxa"/>
            <w:tcMar>
              <w:left w:w="108" w:type="dxa"/>
              <w:right w:w="108" w:type="dxa"/>
            </w:tcMar>
            <w:vAlign w:val="center"/>
          </w:tcPr>
          <w:p w14:paraId="5D4C6D26"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EBRD</w:t>
            </w:r>
          </w:p>
        </w:tc>
        <w:tc>
          <w:tcPr>
            <w:tcW w:w="7346" w:type="dxa"/>
            <w:tcMar>
              <w:left w:w="108" w:type="dxa"/>
              <w:right w:w="108" w:type="dxa"/>
            </w:tcMar>
            <w:vAlign w:val="center"/>
          </w:tcPr>
          <w:p w14:paraId="58042C6F"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Principal, Climate Strategy and Delivery </w:t>
            </w:r>
          </w:p>
        </w:tc>
      </w:tr>
      <w:tr w:rsidR="000C5237" w:rsidRPr="0043215C" w14:paraId="2827BC6D" w14:textId="77777777" w:rsidTr="00691A10">
        <w:trPr>
          <w:trHeight w:val="285"/>
        </w:trPr>
        <w:tc>
          <w:tcPr>
            <w:tcW w:w="1605" w:type="dxa"/>
            <w:tcMar>
              <w:left w:w="108" w:type="dxa"/>
              <w:right w:w="108" w:type="dxa"/>
            </w:tcMar>
            <w:vAlign w:val="center"/>
          </w:tcPr>
          <w:p w14:paraId="5CD9280D"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David</w:t>
            </w:r>
          </w:p>
        </w:tc>
        <w:tc>
          <w:tcPr>
            <w:tcW w:w="1838" w:type="dxa"/>
            <w:tcMar>
              <w:left w:w="108" w:type="dxa"/>
              <w:right w:w="108" w:type="dxa"/>
            </w:tcMar>
            <w:vAlign w:val="center"/>
          </w:tcPr>
          <w:p w14:paraId="11E26FEA"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Managadze</w:t>
            </w:r>
          </w:p>
        </w:tc>
        <w:tc>
          <w:tcPr>
            <w:tcW w:w="2227" w:type="dxa"/>
            <w:tcMar>
              <w:left w:w="108" w:type="dxa"/>
              <w:right w:w="108" w:type="dxa"/>
            </w:tcMar>
            <w:vAlign w:val="center"/>
          </w:tcPr>
          <w:p w14:paraId="36EC1AC8"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EBRD</w:t>
            </w:r>
          </w:p>
        </w:tc>
        <w:tc>
          <w:tcPr>
            <w:tcW w:w="7346" w:type="dxa"/>
            <w:tcMar>
              <w:left w:w="108" w:type="dxa"/>
              <w:right w:w="108" w:type="dxa"/>
            </w:tcMar>
            <w:vAlign w:val="center"/>
          </w:tcPr>
          <w:p w14:paraId="1ACC3C08"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Associate Director, Sustainable Infrastructure Group </w:t>
            </w:r>
          </w:p>
        </w:tc>
      </w:tr>
      <w:tr w:rsidR="000C5237" w:rsidRPr="0043215C" w14:paraId="373F1745" w14:textId="77777777" w:rsidTr="00691A10">
        <w:trPr>
          <w:trHeight w:val="300"/>
        </w:trPr>
        <w:tc>
          <w:tcPr>
            <w:tcW w:w="1605" w:type="dxa"/>
            <w:tcMar>
              <w:left w:w="108" w:type="dxa"/>
              <w:right w:w="108" w:type="dxa"/>
            </w:tcMar>
            <w:vAlign w:val="center"/>
          </w:tcPr>
          <w:p w14:paraId="177459F2"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Sumeet</w:t>
            </w:r>
          </w:p>
        </w:tc>
        <w:tc>
          <w:tcPr>
            <w:tcW w:w="1838" w:type="dxa"/>
            <w:tcMar>
              <w:left w:w="108" w:type="dxa"/>
              <w:right w:w="108" w:type="dxa"/>
            </w:tcMar>
            <w:vAlign w:val="center"/>
          </w:tcPr>
          <w:p w14:paraId="65AB632B"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Manchans</w:t>
            </w:r>
            <w:proofErr w:type="spellEnd"/>
          </w:p>
        </w:tc>
        <w:tc>
          <w:tcPr>
            <w:tcW w:w="2227" w:type="dxa"/>
            <w:tcMar>
              <w:left w:w="108" w:type="dxa"/>
              <w:right w:w="108" w:type="dxa"/>
            </w:tcMar>
            <w:vAlign w:val="center"/>
          </w:tcPr>
          <w:p w14:paraId="7B0842AE"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EBRD</w:t>
            </w:r>
          </w:p>
        </w:tc>
        <w:tc>
          <w:tcPr>
            <w:tcW w:w="7346" w:type="dxa"/>
            <w:tcMar>
              <w:left w:w="108" w:type="dxa"/>
              <w:right w:w="108" w:type="dxa"/>
            </w:tcMar>
            <w:vAlign w:val="center"/>
          </w:tcPr>
          <w:p w14:paraId="06F31A28"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Associate Director, Climate Strategy and Delivery</w:t>
            </w:r>
          </w:p>
        </w:tc>
      </w:tr>
      <w:tr w:rsidR="000C5237" w:rsidRPr="0043215C" w14:paraId="48B5603A" w14:textId="77777777" w:rsidTr="00691A10">
        <w:trPr>
          <w:trHeight w:val="285"/>
        </w:trPr>
        <w:tc>
          <w:tcPr>
            <w:tcW w:w="1605" w:type="dxa"/>
            <w:tcMar>
              <w:left w:w="108" w:type="dxa"/>
              <w:right w:w="108" w:type="dxa"/>
            </w:tcMar>
            <w:vAlign w:val="center"/>
          </w:tcPr>
          <w:p w14:paraId="0A6C8863"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Tatevik  </w:t>
            </w:r>
          </w:p>
        </w:tc>
        <w:tc>
          <w:tcPr>
            <w:tcW w:w="1838" w:type="dxa"/>
            <w:tcMar>
              <w:left w:w="108" w:type="dxa"/>
              <w:right w:w="108" w:type="dxa"/>
            </w:tcMar>
            <w:vAlign w:val="center"/>
          </w:tcPr>
          <w:p w14:paraId="00B8FB09"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Dadivanyan</w:t>
            </w:r>
          </w:p>
        </w:tc>
        <w:tc>
          <w:tcPr>
            <w:tcW w:w="2227" w:type="dxa"/>
            <w:tcMar>
              <w:left w:w="108" w:type="dxa"/>
              <w:right w:w="108" w:type="dxa"/>
            </w:tcMar>
            <w:vAlign w:val="center"/>
          </w:tcPr>
          <w:p w14:paraId="53833D2B"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EBRD</w:t>
            </w:r>
          </w:p>
        </w:tc>
        <w:tc>
          <w:tcPr>
            <w:tcW w:w="7346" w:type="dxa"/>
            <w:shd w:val="clear" w:color="auto" w:fill="FFFFFF" w:themeFill="background1"/>
            <w:tcMar>
              <w:left w:w="108" w:type="dxa"/>
              <w:right w:w="108" w:type="dxa"/>
            </w:tcMar>
            <w:vAlign w:val="center"/>
          </w:tcPr>
          <w:p w14:paraId="6CCE7D9A"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Climate Finance Specialist, Climate Strategy and Delivery </w:t>
            </w:r>
          </w:p>
        </w:tc>
      </w:tr>
      <w:tr w:rsidR="000C5237" w:rsidRPr="0043215C" w14:paraId="078CAED2" w14:textId="77777777" w:rsidTr="00691A10">
        <w:trPr>
          <w:trHeight w:val="285"/>
        </w:trPr>
        <w:tc>
          <w:tcPr>
            <w:tcW w:w="1605" w:type="dxa"/>
            <w:tcMar>
              <w:left w:w="108" w:type="dxa"/>
              <w:right w:w="108" w:type="dxa"/>
            </w:tcMar>
            <w:vAlign w:val="center"/>
          </w:tcPr>
          <w:p w14:paraId="71395E78"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Mehmet Erdem</w:t>
            </w:r>
          </w:p>
        </w:tc>
        <w:tc>
          <w:tcPr>
            <w:tcW w:w="1838" w:type="dxa"/>
            <w:tcMar>
              <w:left w:w="108" w:type="dxa"/>
              <w:right w:w="108" w:type="dxa"/>
            </w:tcMar>
            <w:vAlign w:val="center"/>
          </w:tcPr>
          <w:p w14:paraId="40EA13C9"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Yasar</w:t>
            </w:r>
          </w:p>
        </w:tc>
        <w:tc>
          <w:tcPr>
            <w:tcW w:w="2227" w:type="dxa"/>
            <w:tcMar>
              <w:left w:w="108" w:type="dxa"/>
              <w:right w:w="108" w:type="dxa"/>
            </w:tcMar>
            <w:vAlign w:val="center"/>
          </w:tcPr>
          <w:p w14:paraId="6F05D8F6"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EBRD</w:t>
            </w:r>
          </w:p>
        </w:tc>
        <w:tc>
          <w:tcPr>
            <w:tcW w:w="7346" w:type="dxa"/>
            <w:shd w:val="clear" w:color="auto" w:fill="FFFFFF" w:themeFill="background1"/>
            <w:tcMar>
              <w:left w:w="108" w:type="dxa"/>
              <w:right w:w="108" w:type="dxa"/>
            </w:tcMar>
            <w:vAlign w:val="center"/>
          </w:tcPr>
          <w:p w14:paraId="4E61587E"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Associate Director</w:t>
            </w:r>
          </w:p>
        </w:tc>
      </w:tr>
      <w:tr w:rsidR="000C5237" w:rsidRPr="0043215C" w14:paraId="06AACF6B" w14:textId="77777777" w:rsidTr="00691A10">
        <w:trPr>
          <w:trHeight w:val="285"/>
        </w:trPr>
        <w:tc>
          <w:tcPr>
            <w:tcW w:w="1605" w:type="dxa"/>
            <w:tcMar>
              <w:left w:w="108" w:type="dxa"/>
              <w:right w:w="108" w:type="dxa"/>
            </w:tcMar>
            <w:vAlign w:val="center"/>
          </w:tcPr>
          <w:p w14:paraId="3B1B67FC"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Jimmy </w:t>
            </w:r>
          </w:p>
        </w:tc>
        <w:tc>
          <w:tcPr>
            <w:tcW w:w="1838" w:type="dxa"/>
            <w:tcMar>
              <w:left w:w="108" w:type="dxa"/>
              <w:right w:w="108" w:type="dxa"/>
            </w:tcMar>
            <w:vAlign w:val="center"/>
          </w:tcPr>
          <w:p w14:paraId="25710325"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Pannett</w:t>
            </w:r>
          </w:p>
        </w:tc>
        <w:tc>
          <w:tcPr>
            <w:tcW w:w="2227" w:type="dxa"/>
            <w:tcMar>
              <w:left w:w="108" w:type="dxa"/>
              <w:right w:w="108" w:type="dxa"/>
            </w:tcMar>
            <w:vAlign w:val="center"/>
          </w:tcPr>
          <w:p w14:paraId="7B9258B0"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CIF Secretariat</w:t>
            </w:r>
          </w:p>
        </w:tc>
        <w:tc>
          <w:tcPr>
            <w:tcW w:w="7346" w:type="dxa"/>
            <w:tcMar>
              <w:left w:w="108" w:type="dxa"/>
              <w:right w:w="108" w:type="dxa"/>
            </w:tcMar>
            <w:vAlign w:val="bottom"/>
          </w:tcPr>
          <w:p w14:paraId="38614542" w14:textId="77777777" w:rsidR="000C5237" w:rsidRPr="0043215C" w:rsidRDefault="000C5237" w:rsidP="00691A10">
            <w:pPr>
              <w:spacing w:after="0"/>
              <w:rPr>
                <w:rFonts w:cstheme="minorHAnsi"/>
                <w:sz w:val="20"/>
                <w:szCs w:val="20"/>
              </w:rPr>
            </w:pPr>
            <w:r w:rsidRPr="0043215C">
              <w:rPr>
                <w:rFonts w:eastAsia="Aptos" w:cstheme="minorHAnsi"/>
                <w:color w:val="262626" w:themeColor="text1" w:themeTint="D9"/>
                <w:sz w:val="20"/>
                <w:szCs w:val="20"/>
              </w:rPr>
              <w:t xml:space="preserve">Energy Specialist </w:t>
            </w:r>
          </w:p>
        </w:tc>
      </w:tr>
      <w:tr w:rsidR="000C5237" w:rsidRPr="0043215C" w14:paraId="5F9F16BF" w14:textId="77777777" w:rsidTr="00691A10">
        <w:trPr>
          <w:trHeight w:val="285"/>
        </w:trPr>
        <w:tc>
          <w:tcPr>
            <w:tcW w:w="1605" w:type="dxa"/>
            <w:tcMar>
              <w:left w:w="108" w:type="dxa"/>
              <w:right w:w="108" w:type="dxa"/>
            </w:tcMar>
            <w:vAlign w:val="center"/>
          </w:tcPr>
          <w:p w14:paraId="61E3F890"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Daniel </w:t>
            </w:r>
          </w:p>
        </w:tc>
        <w:tc>
          <w:tcPr>
            <w:tcW w:w="1838" w:type="dxa"/>
            <w:tcMar>
              <w:left w:w="108" w:type="dxa"/>
              <w:right w:w="108" w:type="dxa"/>
            </w:tcMar>
            <w:vAlign w:val="center"/>
          </w:tcPr>
          <w:p w14:paraId="01C38B1A"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Morris</w:t>
            </w:r>
          </w:p>
        </w:tc>
        <w:tc>
          <w:tcPr>
            <w:tcW w:w="2227" w:type="dxa"/>
            <w:tcMar>
              <w:left w:w="108" w:type="dxa"/>
              <w:right w:w="108" w:type="dxa"/>
            </w:tcMar>
            <w:vAlign w:val="center"/>
          </w:tcPr>
          <w:p w14:paraId="45BC0F4E"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CIF Secretariat</w:t>
            </w:r>
          </w:p>
        </w:tc>
        <w:tc>
          <w:tcPr>
            <w:tcW w:w="7346" w:type="dxa"/>
            <w:tcMar>
              <w:left w:w="108" w:type="dxa"/>
              <w:right w:w="108" w:type="dxa"/>
            </w:tcMar>
            <w:vAlign w:val="bottom"/>
          </w:tcPr>
          <w:p w14:paraId="5AA3F948" w14:textId="77777777" w:rsidR="000C5237" w:rsidRPr="0043215C" w:rsidRDefault="000C5237" w:rsidP="00691A10">
            <w:pPr>
              <w:spacing w:after="0"/>
              <w:rPr>
                <w:rFonts w:cstheme="minorHAnsi"/>
                <w:sz w:val="20"/>
                <w:szCs w:val="20"/>
              </w:rPr>
            </w:pPr>
            <w:r w:rsidRPr="0043215C">
              <w:rPr>
                <w:rFonts w:eastAsia="Aptos" w:cstheme="minorHAnsi"/>
                <w:color w:val="262626" w:themeColor="text1" w:themeTint="D9"/>
                <w:sz w:val="20"/>
                <w:szCs w:val="20"/>
              </w:rPr>
              <w:t xml:space="preserve">Senior Climate Change Specialist </w:t>
            </w:r>
          </w:p>
        </w:tc>
      </w:tr>
      <w:tr w:rsidR="000C5237" w:rsidRPr="0043215C" w14:paraId="689DEFC6" w14:textId="77777777" w:rsidTr="00691A10">
        <w:trPr>
          <w:trHeight w:val="285"/>
        </w:trPr>
        <w:tc>
          <w:tcPr>
            <w:tcW w:w="1605" w:type="dxa"/>
            <w:tcMar>
              <w:left w:w="108" w:type="dxa"/>
              <w:right w:w="108" w:type="dxa"/>
            </w:tcMar>
            <w:vAlign w:val="center"/>
          </w:tcPr>
          <w:p w14:paraId="7538842F"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Maria Ann </w:t>
            </w:r>
          </w:p>
        </w:tc>
        <w:tc>
          <w:tcPr>
            <w:tcW w:w="1838" w:type="dxa"/>
            <w:tcMar>
              <w:left w:w="108" w:type="dxa"/>
              <w:right w:w="108" w:type="dxa"/>
            </w:tcMar>
            <w:vAlign w:val="center"/>
          </w:tcPr>
          <w:p w14:paraId="1434075F"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Dumpert</w:t>
            </w:r>
            <w:proofErr w:type="spellEnd"/>
          </w:p>
        </w:tc>
        <w:tc>
          <w:tcPr>
            <w:tcW w:w="2227" w:type="dxa"/>
            <w:tcMar>
              <w:left w:w="108" w:type="dxa"/>
              <w:right w:w="108" w:type="dxa"/>
            </w:tcMar>
            <w:vAlign w:val="center"/>
          </w:tcPr>
          <w:p w14:paraId="2B0B8A93"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CIF Secretariat</w:t>
            </w:r>
          </w:p>
        </w:tc>
        <w:tc>
          <w:tcPr>
            <w:tcW w:w="7346" w:type="dxa"/>
            <w:tcMar>
              <w:left w:w="108" w:type="dxa"/>
              <w:right w:w="108" w:type="dxa"/>
            </w:tcMar>
            <w:vAlign w:val="center"/>
          </w:tcPr>
          <w:p w14:paraId="74CFF2AE" w14:textId="77777777" w:rsidR="000C5237" w:rsidRPr="0043215C" w:rsidRDefault="000C5237" w:rsidP="00691A10">
            <w:pPr>
              <w:spacing w:after="0"/>
              <w:rPr>
                <w:rFonts w:cstheme="minorHAnsi"/>
                <w:sz w:val="20"/>
                <w:szCs w:val="20"/>
              </w:rPr>
            </w:pPr>
            <w:r w:rsidRPr="0043215C">
              <w:rPr>
                <w:rFonts w:eastAsia="Aptos" w:cstheme="minorHAnsi"/>
                <w:color w:val="262626" w:themeColor="text1" w:themeTint="D9"/>
                <w:sz w:val="20"/>
                <w:szCs w:val="20"/>
              </w:rPr>
              <w:t>ET Consultant</w:t>
            </w:r>
          </w:p>
        </w:tc>
      </w:tr>
      <w:tr w:rsidR="000C5237" w:rsidRPr="0043215C" w14:paraId="73B2AE88" w14:textId="77777777" w:rsidTr="00691A10">
        <w:trPr>
          <w:trHeight w:val="285"/>
        </w:trPr>
        <w:tc>
          <w:tcPr>
            <w:tcW w:w="1605" w:type="dxa"/>
            <w:shd w:val="clear" w:color="auto" w:fill="D9D9D9" w:themeFill="background1" w:themeFillShade="D9"/>
            <w:tcMar>
              <w:left w:w="108" w:type="dxa"/>
              <w:right w:w="108" w:type="dxa"/>
            </w:tcMar>
            <w:vAlign w:val="center"/>
          </w:tcPr>
          <w:p w14:paraId="0E0474CC"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1838" w:type="dxa"/>
            <w:shd w:val="clear" w:color="auto" w:fill="D9D9D9" w:themeFill="background1" w:themeFillShade="D9"/>
            <w:tcMar>
              <w:left w:w="108" w:type="dxa"/>
              <w:right w:w="108" w:type="dxa"/>
            </w:tcMar>
            <w:vAlign w:val="center"/>
          </w:tcPr>
          <w:p w14:paraId="5C015EDE"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2227" w:type="dxa"/>
            <w:shd w:val="clear" w:color="auto" w:fill="D9D9D9" w:themeFill="background1" w:themeFillShade="D9"/>
            <w:tcMar>
              <w:left w:w="108" w:type="dxa"/>
              <w:right w:w="108" w:type="dxa"/>
            </w:tcMar>
            <w:vAlign w:val="center"/>
          </w:tcPr>
          <w:p w14:paraId="3BA163A9"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 xml:space="preserve"> </w:t>
            </w:r>
          </w:p>
        </w:tc>
        <w:tc>
          <w:tcPr>
            <w:tcW w:w="7346" w:type="dxa"/>
            <w:shd w:val="clear" w:color="auto" w:fill="D9D9D9" w:themeFill="background1" w:themeFillShade="D9"/>
            <w:tcMar>
              <w:left w:w="108" w:type="dxa"/>
              <w:right w:w="108" w:type="dxa"/>
            </w:tcMar>
            <w:vAlign w:val="center"/>
          </w:tcPr>
          <w:p w14:paraId="39790B48"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r>
      <w:tr w:rsidR="000C5237" w:rsidRPr="0043215C" w14:paraId="3F4C1E7D" w14:textId="77777777" w:rsidTr="00691A10">
        <w:trPr>
          <w:trHeight w:val="285"/>
        </w:trPr>
        <w:tc>
          <w:tcPr>
            <w:tcW w:w="1605" w:type="dxa"/>
            <w:tcMar>
              <w:left w:w="108" w:type="dxa"/>
              <w:right w:w="108" w:type="dxa"/>
            </w:tcMar>
            <w:vAlign w:val="center"/>
          </w:tcPr>
          <w:p w14:paraId="28DE8E65"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Dr. </w:t>
            </w:r>
            <w:proofErr w:type="spellStart"/>
            <w:r w:rsidRPr="0043215C">
              <w:rPr>
                <w:rFonts w:eastAsia="Aptos" w:cstheme="minorHAnsi"/>
                <w:color w:val="000000" w:themeColor="text1"/>
                <w:sz w:val="20"/>
                <w:szCs w:val="20"/>
              </w:rPr>
              <w:t>Nurşen</w:t>
            </w:r>
            <w:proofErr w:type="spellEnd"/>
            <w:r w:rsidRPr="0043215C">
              <w:rPr>
                <w:rFonts w:eastAsia="Aptos" w:cstheme="minorHAnsi"/>
                <w:color w:val="000000" w:themeColor="text1"/>
                <w:sz w:val="20"/>
                <w:szCs w:val="20"/>
              </w:rPr>
              <w:t xml:space="preserve"> </w:t>
            </w:r>
          </w:p>
        </w:tc>
        <w:tc>
          <w:tcPr>
            <w:tcW w:w="1838" w:type="dxa"/>
            <w:tcMar>
              <w:left w:w="108" w:type="dxa"/>
              <w:right w:w="108" w:type="dxa"/>
            </w:tcMar>
            <w:vAlign w:val="center"/>
          </w:tcPr>
          <w:p w14:paraId="7D097D3F"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Numanoglu</w:t>
            </w:r>
            <w:proofErr w:type="spellEnd"/>
          </w:p>
        </w:tc>
        <w:tc>
          <w:tcPr>
            <w:tcW w:w="2227" w:type="dxa"/>
            <w:tcMar>
              <w:left w:w="108" w:type="dxa"/>
              <w:right w:w="108" w:type="dxa"/>
            </w:tcMar>
            <w:vAlign w:val="center"/>
          </w:tcPr>
          <w:p w14:paraId="7016E1CE"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TUSIAD</w:t>
            </w:r>
          </w:p>
        </w:tc>
        <w:tc>
          <w:tcPr>
            <w:tcW w:w="7346" w:type="dxa"/>
            <w:shd w:val="clear" w:color="auto" w:fill="FFFFFF" w:themeFill="background1"/>
            <w:tcMar>
              <w:left w:w="108" w:type="dxa"/>
              <w:right w:w="108" w:type="dxa"/>
            </w:tcMar>
            <w:vAlign w:val="center"/>
          </w:tcPr>
          <w:p w14:paraId="38E188DB"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Deputy Secretary General, Industrial Transformation, Sectorial Policies</w:t>
            </w:r>
          </w:p>
        </w:tc>
      </w:tr>
      <w:tr w:rsidR="000C5237" w:rsidRPr="0043215C" w14:paraId="457B8096" w14:textId="77777777" w:rsidTr="00691A10">
        <w:trPr>
          <w:trHeight w:val="285"/>
        </w:trPr>
        <w:tc>
          <w:tcPr>
            <w:tcW w:w="1605" w:type="dxa"/>
            <w:tcMar>
              <w:left w:w="108" w:type="dxa"/>
              <w:right w:w="108" w:type="dxa"/>
            </w:tcMar>
            <w:vAlign w:val="center"/>
          </w:tcPr>
          <w:p w14:paraId="663A6E96"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Hazal</w:t>
            </w:r>
          </w:p>
        </w:tc>
        <w:tc>
          <w:tcPr>
            <w:tcW w:w="1838" w:type="dxa"/>
            <w:tcMar>
              <w:left w:w="108" w:type="dxa"/>
              <w:right w:w="108" w:type="dxa"/>
            </w:tcMar>
            <w:vAlign w:val="center"/>
          </w:tcPr>
          <w:p w14:paraId="6AB14DC7"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İnce </w:t>
            </w:r>
          </w:p>
        </w:tc>
        <w:tc>
          <w:tcPr>
            <w:tcW w:w="2227" w:type="dxa"/>
            <w:tcMar>
              <w:left w:w="108" w:type="dxa"/>
              <w:right w:w="108" w:type="dxa"/>
            </w:tcMar>
            <w:vAlign w:val="center"/>
          </w:tcPr>
          <w:p w14:paraId="2F01AA9A"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TUSIAD</w:t>
            </w:r>
          </w:p>
        </w:tc>
        <w:tc>
          <w:tcPr>
            <w:tcW w:w="7346" w:type="dxa"/>
            <w:shd w:val="clear" w:color="auto" w:fill="FFFFFF" w:themeFill="background1"/>
            <w:tcMar>
              <w:left w:w="108" w:type="dxa"/>
              <w:right w:w="108" w:type="dxa"/>
            </w:tcMar>
            <w:vAlign w:val="center"/>
          </w:tcPr>
          <w:p w14:paraId="6DFAB195"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r>
      <w:tr w:rsidR="000C5237" w:rsidRPr="0043215C" w14:paraId="2EC51544" w14:textId="77777777" w:rsidTr="00691A10">
        <w:trPr>
          <w:trHeight w:val="285"/>
        </w:trPr>
        <w:tc>
          <w:tcPr>
            <w:tcW w:w="1605" w:type="dxa"/>
            <w:tcMar>
              <w:left w:w="108" w:type="dxa"/>
              <w:right w:w="108" w:type="dxa"/>
            </w:tcMar>
            <w:vAlign w:val="center"/>
          </w:tcPr>
          <w:p w14:paraId="2E00E438"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Elif</w:t>
            </w:r>
          </w:p>
        </w:tc>
        <w:tc>
          <w:tcPr>
            <w:tcW w:w="1838" w:type="dxa"/>
            <w:tcMar>
              <w:left w:w="108" w:type="dxa"/>
              <w:right w:w="108" w:type="dxa"/>
            </w:tcMar>
            <w:vAlign w:val="center"/>
          </w:tcPr>
          <w:p w14:paraId="733FF722"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Taşyürek</w:t>
            </w:r>
            <w:proofErr w:type="spellEnd"/>
          </w:p>
        </w:tc>
        <w:tc>
          <w:tcPr>
            <w:tcW w:w="2227" w:type="dxa"/>
            <w:tcMar>
              <w:left w:w="108" w:type="dxa"/>
              <w:right w:w="108" w:type="dxa"/>
            </w:tcMar>
            <w:vAlign w:val="center"/>
          </w:tcPr>
          <w:p w14:paraId="77F8B56E"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TUSIAD</w:t>
            </w:r>
          </w:p>
        </w:tc>
        <w:tc>
          <w:tcPr>
            <w:tcW w:w="7346" w:type="dxa"/>
            <w:shd w:val="clear" w:color="auto" w:fill="FFFFFF" w:themeFill="background1"/>
            <w:tcMar>
              <w:left w:w="108" w:type="dxa"/>
              <w:right w:w="108" w:type="dxa"/>
            </w:tcMar>
            <w:vAlign w:val="center"/>
          </w:tcPr>
          <w:p w14:paraId="1B553453"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r>
      <w:tr w:rsidR="000C5237" w:rsidRPr="0043215C" w14:paraId="647FD207" w14:textId="77777777" w:rsidTr="00691A10">
        <w:trPr>
          <w:trHeight w:val="285"/>
        </w:trPr>
        <w:tc>
          <w:tcPr>
            <w:tcW w:w="1605" w:type="dxa"/>
            <w:tcMar>
              <w:left w:w="108" w:type="dxa"/>
              <w:right w:w="108" w:type="dxa"/>
            </w:tcMar>
            <w:vAlign w:val="center"/>
          </w:tcPr>
          <w:p w14:paraId="59CDA59F"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Hale </w:t>
            </w:r>
          </w:p>
        </w:tc>
        <w:tc>
          <w:tcPr>
            <w:tcW w:w="1838" w:type="dxa"/>
            <w:tcMar>
              <w:left w:w="108" w:type="dxa"/>
              <w:right w:w="108" w:type="dxa"/>
            </w:tcMar>
            <w:vAlign w:val="center"/>
          </w:tcPr>
          <w:p w14:paraId="4157AF63" w14:textId="77777777" w:rsidR="000C5237" w:rsidRPr="0043215C" w:rsidRDefault="000C5237" w:rsidP="00691A10">
            <w:pPr>
              <w:spacing w:after="0"/>
              <w:rPr>
                <w:rFonts w:cstheme="minorHAnsi"/>
                <w:sz w:val="20"/>
                <w:szCs w:val="20"/>
              </w:rPr>
            </w:pPr>
            <w:proofErr w:type="spellStart"/>
            <w:proofErr w:type="gramStart"/>
            <w:r w:rsidRPr="0043215C">
              <w:rPr>
                <w:rFonts w:eastAsia="Aptos" w:cstheme="minorHAnsi"/>
                <w:color w:val="000000" w:themeColor="text1"/>
                <w:sz w:val="20"/>
                <w:szCs w:val="20"/>
              </w:rPr>
              <w:t>Onursal</w:t>
            </w:r>
            <w:proofErr w:type="spellEnd"/>
            <w:r w:rsidRPr="0043215C">
              <w:rPr>
                <w:rFonts w:eastAsia="Aptos" w:cstheme="minorHAnsi"/>
                <w:color w:val="000000" w:themeColor="text1"/>
                <w:sz w:val="20"/>
                <w:szCs w:val="20"/>
              </w:rPr>
              <w:t xml:space="preserve">  </w:t>
            </w:r>
            <w:proofErr w:type="spellStart"/>
            <w:r w:rsidRPr="0043215C">
              <w:rPr>
                <w:rFonts w:eastAsia="Aptos" w:cstheme="minorHAnsi"/>
                <w:color w:val="000000" w:themeColor="text1"/>
                <w:sz w:val="20"/>
                <w:szCs w:val="20"/>
              </w:rPr>
              <w:t>Hatipoğlu</w:t>
            </w:r>
            <w:proofErr w:type="spellEnd"/>
            <w:proofErr w:type="gramEnd"/>
          </w:p>
        </w:tc>
        <w:tc>
          <w:tcPr>
            <w:tcW w:w="2227" w:type="dxa"/>
            <w:tcMar>
              <w:left w:w="108" w:type="dxa"/>
              <w:right w:w="108" w:type="dxa"/>
            </w:tcMar>
            <w:vAlign w:val="center"/>
          </w:tcPr>
          <w:p w14:paraId="5BF02EA6"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TUSIAD</w:t>
            </w:r>
          </w:p>
        </w:tc>
        <w:tc>
          <w:tcPr>
            <w:tcW w:w="7346" w:type="dxa"/>
            <w:shd w:val="clear" w:color="auto" w:fill="FFFFFF" w:themeFill="background1"/>
            <w:tcMar>
              <w:left w:w="108" w:type="dxa"/>
              <w:right w:w="108" w:type="dxa"/>
            </w:tcMar>
            <w:vAlign w:val="center"/>
          </w:tcPr>
          <w:p w14:paraId="283A6D4C" w14:textId="77777777" w:rsidR="000C5237" w:rsidRPr="0043215C" w:rsidRDefault="000C5237" w:rsidP="00691A10">
            <w:pPr>
              <w:spacing w:after="0"/>
              <w:rPr>
                <w:rFonts w:cstheme="minorHAnsi"/>
                <w:sz w:val="20"/>
                <w:szCs w:val="20"/>
              </w:rPr>
            </w:pPr>
            <w:r w:rsidRPr="0043215C">
              <w:rPr>
                <w:rFonts w:eastAsia="Aptos" w:cstheme="minorHAnsi"/>
                <w:sz w:val="20"/>
                <w:szCs w:val="20"/>
              </w:rPr>
              <w:t>Deputy Secretary General - External Relations</w:t>
            </w:r>
          </w:p>
        </w:tc>
      </w:tr>
      <w:tr w:rsidR="000C5237" w:rsidRPr="0043215C" w14:paraId="0ECD65DD" w14:textId="77777777" w:rsidTr="00691A10">
        <w:trPr>
          <w:trHeight w:val="285"/>
        </w:trPr>
        <w:tc>
          <w:tcPr>
            <w:tcW w:w="1605" w:type="dxa"/>
            <w:tcMar>
              <w:left w:w="108" w:type="dxa"/>
              <w:right w:w="108" w:type="dxa"/>
            </w:tcMar>
            <w:vAlign w:val="center"/>
          </w:tcPr>
          <w:p w14:paraId="16A93315"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Mehmet</w:t>
            </w:r>
          </w:p>
        </w:tc>
        <w:tc>
          <w:tcPr>
            <w:tcW w:w="1838" w:type="dxa"/>
            <w:tcMar>
              <w:left w:w="108" w:type="dxa"/>
              <w:right w:w="108" w:type="dxa"/>
            </w:tcMar>
            <w:vAlign w:val="center"/>
          </w:tcPr>
          <w:p w14:paraId="74196C9D"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Acarla</w:t>
            </w:r>
            <w:proofErr w:type="spellEnd"/>
          </w:p>
        </w:tc>
        <w:tc>
          <w:tcPr>
            <w:tcW w:w="2227" w:type="dxa"/>
            <w:tcMar>
              <w:left w:w="108" w:type="dxa"/>
              <w:right w:w="108" w:type="dxa"/>
            </w:tcMar>
            <w:vAlign w:val="center"/>
          </w:tcPr>
          <w:p w14:paraId="0E68C7E3"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TUSIAD</w:t>
            </w:r>
          </w:p>
        </w:tc>
        <w:tc>
          <w:tcPr>
            <w:tcW w:w="7346" w:type="dxa"/>
            <w:shd w:val="clear" w:color="auto" w:fill="FFFFFF" w:themeFill="background1"/>
            <w:tcMar>
              <w:left w:w="108" w:type="dxa"/>
              <w:right w:w="108" w:type="dxa"/>
            </w:tcMar>
            <w:vAlign w:val="center"/>
          </w:tcPr>
          <w:p w14:paraId="64C904E3"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Head of Energy Working Group, </w:t>
            </w:r>
            <w:proofErr w:type="spellStart"/>
            <w:r w:rsidRPr="0043215C">
              <w:rPr>
                <w:rFonts w:eastAsia="Aptos" w:cstheme="minorHAnsi"/>
                <w:color w:val="000000" w:themeColor="text1"/>
                <w:sz w:val="20"/>
                <w:szCs w:val="20"/>
              </w:rPr>
              <w:t>Borusan</w:t>
            </w:r>
            <w:proofErr w:type="spellEnd"/>
          </w:p>
        </w:tc>
      </w:tr>
      <w:tr w:rsidR="000C5237" w:rsidRPr="0043215C" w14:paraId="45B57994" w14:textId="77777777" w:rsidTr="00691A10">
        <w:trPr>
          <w:trHeight w:val="285"/>
        </w:trPr>
        <w:tc>
          <w:tcPr>
            <w:tcW w:w="1605" w:type="dxa"/>
            <w:tcMar>
              <w:left w:w="108" w:type="dxa"/>
              <w:right w:w="108" w:type="dxa"/>
            </w:tcMar>
            <w:vAlign w:val="center"/>
          </w:tcPr>
          <w:p w14:paraId="78C98A40"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Vahit</w:t>
            </w:r>
            <w:proofErr w:type="spellEnd"/>
          </w:p>
        </w:tc>
        <w:tc>
          <w:tcPr>
            <w:tcW w:w="1838" w:type="dxa"/>
            <w:tcMar>
              <w:left w:w="108" w:type="dxa"/>
              <w:right w:w="108" w:type="dxa"/>
            </w:tcMar>
            <w:vAlign w:val="center"/>
          </w:tcPr>
          <w:p w14:paraId="66C9B794"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Yazici</w:t>
            </w:r>
            <w:proofErr w:type="spellEnd"/>
          </w:p>
        </w:tc>
        <w:tc>
          <w:tcPr>
            <w:tcW w:w="2227" w:type="dxa"/>
            <w:tcMar>
              <w:left w:w="108" w:type="dxa"/>
              <w:right w:w="108" w:type="dxa"/>
            </w:tcMar>
            <w:vAlign w:val="center"/>
          </w:tcPr>
          <w:p w14:paraId="63948C32"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TUSIAD</w:t>
            </w:r>
          </w:p>
        </w:tc>
        <w:tc>
          <w:tcPr>
            <w:tcW w:w="7346" w:type="dxa"/>
            <w:tcMar>
              <w:left w:w="108" w:type="dxa"/>
              <w:right w:w="108" w:type="dxa"/>
            </w:tcMar>
            <w:vAlign w:val="center"/>
          </w:tcPr>
          <w:p w14:paraId="54D3356D"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Manager, Government Relations &amp; Sustainability Incentives, Brisa Bridgestone Sabancı</w:t>
            </w:r>
          </w:p>
        </w:tc>
      </w:tr>
      <w:tr w:rsidR="000C5237" w:rsidRPr="0043215C" w14:paraId="01C32F5B" w14:textId="77777777" w:rsidTr="00691A10">
        <w:trPr>
          <w:trHeight w:val="285"/>
        </w:trPr>
        <w:tc>
          <w:tcPr>
            <w:tcW w:w="1605" w:type="dxa"/>
            <w:tcMar>
              <w:left w:w="108" w:type="dxa"/>
              <w:right w:w="108" w:type="dxa"/>
            </w:tcMar>
            <w:vAlign w:val="center"/>
          </w:tcPr>
          <w:p w14:paraId="5E05FA94"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lastRenderedPageBreak/>
              <w:t>Bahar</w:t>
            </w:r>
            <w:proofErr w:type="spellEnd"/>
          </w:p>
        </w:tc>
        <w:tc>
          <w:tcPr>
            <w:tcW w:w="1838" w:type="dxa"/>
            <w:tcMar>
              <w:left w:w="108" w:type="dxa"/>
              <w:right w:w="108" w:type="dxa"/>
            </w:tcMar>
            <w:vAlign w:val="center"/>
          </w:tcPr>
          <w:p w14:paraId="266AFB79"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Arslan </w:t>
            </w:r>
          </w:p>
        </w:tc>
        <w:tc>
          <w:tcPr>
            <w:tcW w:w="2227" w:type="dxa"/>
            <w:tcMar>
              <w:left w:w="108" w:type="dxa"/>
              <w:right w:w="108" w:type="dxa"/>
            </w:tcMar>
            <w:vAlign w:val="center"/>
          </w:tcPr>
          <w:p w14:paraId="713E2686"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TUSIAD</w:t>
            </w:r>
          </w:p>
        </w:tc>
        <w:tc>
          <w:tcPr>
            <w:tcW w:w="7346" w:type="dxa"/>
            <w:tcMar>
              <w:left w:w="108" w:type="dxa"/>
              <w:right w:w="108" w:type="dxa"/>
            </w:tcMar>
            <w:vAlign w:val="center"/>
          </w:tcPr>
          <w:p w14:paraId="7858CD26"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Development Engineer, Brisa Bridgestone Sabancı</w:t>
            </w:r>
          </w:p>
        </w:tc>
      </w:tr>
      <w:tr w:rsidR="000C5237" w:rsidRPr="0043215C" w14:paraId="3C3EF9F9" w14:textId="77777777" w:rsidTr="00691A10">
        <w:trPr>
          <w:trHeight w:val="285"/>
        </w:trPr>
        <w:tc>
          <w:tcPr>
            <w:tcW w:w="1605" w:type="dxa"/>
            <w:tcMar>
              <w:left w:w="108" w:type="dxa"/>
              <w:right w:w="108" w:type="dxa"/>
            </w:tcMar>
            <w:vAlign w:val="center"/>
          </w:tcPr>
          <w:p w14:paraId="37FC75F9"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Volkan </w:t>
            </w:r>
          </w:p>
        </w:tc>
        <w:tc>
          <w:tcPr>
            <w:tcW w:w="1838" w:type="dxa"/>
            <w:tcMar>
              <w:left w:w="108" w:type="dxa"/>
              <w:right w:w="108" w:type="dxa"/>
            </w:tcMar>
            <w:vAlign w:val="center"/>
          </w:tcPr>
          <w:p w14:paraId="6B46A8F9"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Yigit</w:t>
            </w:r>
          </w:p>
        </w:tc>
        <w:tc>
          <w:tcPr>
            <w:tcW w:w="2227" w:type="dxa"/>
            <w:tcMar>
              <w:left w:w="108" w:type="dxa"/>
              <w:right w:w="108" w:type="dxa"/>
            </w:tcMar>
            <w:vAlign w:val="center"/>
          </w:tcPr>
          <w:p w14:paraId="10CD4F4C"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TUSIAD</w:t>
            </w:r>
          </w:p>
        </w:tc>
        <w:tc>
          <w:tcPr>
            <w:tcW w:w="7346" w:type="dxa"/>
            <w:tcMar>
              <w:left w:w="108" w:type="dxa"/>
              <w:right w:w="108" w:type="dxa"/>
            </w:tcMar>
            <w:vAlign w:val="center"/>
          </w:tcPr>
          <w:p w14:paraId="2F67CD62"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Managing Partner, </w:t>
            </w:r>
            <w:proofErr w:type="spellStart"/>
            <w:r w:rsidRPr="0043215C">
              <w:rPr>
                <w:rFonts w:eastAsia="Aptos" w:cstheme="minorHAnsi"/>
                <w:color w:val="000000" w:themeColor="text1"/>
                <w:sz w:val="20"/>
                <w:szCs w:val="20"/>
              </w:rPr>
              <w:t>Aplus</w:t>
            </w:r>
            <w:proofErr w:type="spellEnd"/>
            <w:r w:rsidRPr="0043215C">
              <w:rPr>
                <w:rFonts w:eastAsia="Aptos" w:cstheme="minorHAnsi"/>
                <w:color w:val="000000" w:themeColor="text1"/>
                <w:sz w:val="20"/>
                <w:szCs w:val="20"/>
              </w:rPr>
              <w:t xml:space="preserve"> Enerji </w:t>
            </w:r>
            <w:proofErr w:type="spellStart"/>
            <w:r w:rsidRPr="0043215C">
              <w:rPr>
                <w:rFonts w:eastAsia="Aptos" w:cstheme="minorHAnsi"/>
                <w:color w:val="000000" w:themeColor="text1"/>
                <w:sz w:val="20"/>
                <w:szCs w:val="20"/>
              </w:rPr>
              <w:t>Yatırım</w:t>
            </w:r>
            <w:proofErr w:type="spellEnd"/>
            <w:r w:rsidRPr="0043215C">
              <w:rPr>
                <w:rFonts w:eastAsia="Aptos" w:cstheme="minorHAnsi"/>
                <w:color w:val="000000" w:themeColor="text1"/>
                <w:sz w:val="20"/>
                <w:szCs w:val="20"/>
              </w:rPr>
              <w:t xml:space="preserve"> </w:t>
            </w:r>
            <w:proofErr w:type="spellStart"/>
            <w:r w:rsidRPr="0043215C">
              <w:rPr>
                <w:rFonts w:eastAsia="Aptos" w:cstheme="minorHAnsi"/>
                <w:color w:val="000000" w:themeColor="text1"/>
                <w:sz w:val="20"/>
                <w:szCs w:val="20"/>
              </w:rPr>
              <w:t>Danışmanlık</w:t>
            </w:r>
            <w:proofErr w:type="spellEnd"/>
            <w:r w:rsidRPr="0043215C">
              <w:rPr>
                <w:rFonts w:eastAsia="Aptos" w:cstheme="minorHAnsi"/>
                <w:color w:val="000000" w:themeColor="text1"/>
                <w:sz w:val="20"/>
                <w:szCs w:val="20"/>
              </w:rPr>
              <w:t xml:space="preserve"> </w:t>
            </w:r>
          </w:p>
        </w:tc>
      </w:tr>
      <w:tr w:rsidR="000C5237" w:rsidRPr="0043215C" w14:paraId="4E26C231" w14:textId="77777777" w:rsidTr="00691A10">
        <w:trPr>
          <w:trHeight w:val="285"/>
        </w:trPr>
        <w:tc>
          <w:tcPr>
            <w:tcW w:w="1605" w:type="dxa"/>
            <w:tcMar>
              <w:left w:w="108" w:type="dxa"/>
              <w:right w:w="108" w:type="dxa"/>
            </w:tcMar>
            <w:vAlign w:val="center"/>
          </w:tcPr>
          <w:p w14:paraId="5708A956"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Burak</w:t>
            </w:r>
          </w:p>
        </w:tc>
        <w:tc>
          <w:tcPr>
            <w:tcW w:w="1838" w:type="dxa"/>
            <w:tcMar>
              <w:left w:w="108" w:type="dxa"/>
              <w:right w:w="108" w:type="dxa"/>
            </w:tcMar>
            <w:vAlign w:val="center"/>
          </w:tcPr>
          <w:p w14:paraId="025526F5"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Yitgin</w:t>
            </w:r>
            <w:proofErr w:type="spellEnd"/>
          </w:p>
        </w:tc>
        <w:tc>
          <w:tcPr>
            <w:tcW w:w="2227" w:type="dxa"/>
            <w:tcMar>
              <w:left w:w="108" w:type="dxa"/>
              <w:right w:w="108" w:type="dxa"/>
            </w:tcMar>
            <w:vAlign w:val="center"/>
          </w:tcPr>
          <w:p w14:paraId="17C428E6"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TUSIAD</w:t>
            </w:r>
          </w:p>
        </w:tc>
        <w:tc>
          <w:tcPr>
            <w:tcW w:w="7346" w:type="dxa"/>
            <w:tcMar>
              <w:left w:w="108" w:type="dxa"/>
              <w:right w:w="108" w:type="dxa"/>
            </w:tcMar>
            <w:vAlign w:val="center"/>
          </w:tcPr>
          <w:p w14:paraId="5B61B342"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Business Development Manager, </w:t>
            </w:r>
            <w:proofErr w:type="spellStart"/>
            <w:r w:rsidRPr="0043215C">
              <w:rPr>
                <w:rFonts w:eastAsia="Aptos" w:cstheme="minorHAnsi"/>
                <w:color w:val="000000" w:themeColor="text1"/>
                <w:sz w:val="20"/>
                <w:szCs w:val="20"/>
              </w:rPr>
              <w:t>Aplus</w:t>
            </w:r>
            <w:proofErr w:type="spellEnd"/>
            <w:r w:rsidRPr="0043215C">
              <w:rPr>
                <w:rFonts w:eastAsia="Aptos" w:cstheme="minorHAnsi"/>
                <w:color w:val="000000" w:themeColor="text1"/>
                <w:sz w:val="20"/>
                <w:szCs w:val="20"/>
              </w:rPr>
              <w:t xml:space="preserve"> Energy</w:t>
            </w:r>
          </w:p>
        </w:tc>
      </w:tr>
      <w:tr w:rsidR="000C5237" w:rsidRPr="0043215C" w14:paraId="20DC80C5" w14:textId="77777777" w:rsidTr="00691A10">
        <w:trPr>
          <w:trHeight w:val="285"/>
        </w:trPr>
        <w:tc>
          <w:tcPr>
            <w:tcW w:w="1605" w:type="dxa"/>
            <w:shd w:val="clear" w:color="auto" w:fill="D9D9D9" w:themeFill="background1" w:themeFillShade="D9"/>
            <w:tcMar>
              <w:left w:w="108" w:type="dxa"/>
              <w:right w:w="108" w:type="dxa"/>
            </w:tcMar>
            <w:vAlign w:val="center"/>
          </w:tcPr>
          <w:p w14:paraId="3FF4BC20"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1838" w:type="dxa"/>
            <w:shd w:val="clear" w:color="auto" w:fill="D9D9D9" w:themeFill="background1" w:themeFillShade="D9"/>
            <w:tcMar>
              <w:left w:w="108" w:type="dxa"/>
              <w:right w:w="108" w:type="dxa"/>
            </w:tcMar>
            <w:vAlign w:val="center"/>
          </w:tcPr>
          <w:p w14:paraId="2AE1E7CD"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2227" w:type="dxa"/>
            <w:shd w:val="clear" w:color="auto" w:fill="D9D9D9" w:themeFill="background1" w:themeFillShade="D9"/>
            <w:tcMar>
              <w:left w:w="108" w:type="dxa"/>
              <w:right w:w="108" w:type="dxa"/>
            </w:tcMar>
            <w:vAlign w:val="center"/>
          </w:tcPr>
          <w:p w14:paraId="37866496"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 xml:space="preserve"> </w:t>
            </w:r>
          </w:p>
        </w:tc>
        <w:tc>
          <w:tcPr>
            <w:tcW w:w="7346" w:type="dxa"/>
            <w:shd w:val="clear" w:color="auto" w:fill="D9D9D9" w:themeFill="background1" w:themeFillShade="D9"/>
            <w:tcMar>
              <w:left w:w="108" w:type="dxa"/>
              <w:right w:w="108" w:type="dxa"/>
            </w:tcMar>
            <w:vAlign w:val="center"/>
          </w:tcPr>
          <w:p w14:paraId="39CDA26A" w14:textId="77777777" w:rsidR="000C5237" w:rsidRPr="0043215C" w:rsidRDefault="000C5237" w:rsidP="00691A10">
            <w:pPr>
              <w:spacing w:after="0"/>
              <w:rPr>
                <w:rFonts w:cstheme="minorHAnsi"/>
                <w:sz w:val="20"/>
                <w:szCs w:val="20"/>
              </w:rPr>
            </w:pPr>
            <w:r w:rsidRPr="0043215C">
              <w:rPr>
                <w:rFonts w:eastAsia="Aptos" w:cstheme="minorHAnsi"/>
                <w:color w:val="002060"/>
                <w:sz w:val="20"/>
                <w:szCs w:val="20"/>
              </w:rPr>
              <w:t xml:space="preserve"> </w:t>
            </w:r>
          </w:p>
        </w:tc>
      </w:tr>
      <w:tr w:rsidR="000C5237" w:rsidRPr="0043215C" w14:paraId="1E6F3C59" w14:textId="77777777" w:rsidTr="00691A10">
        <w:trPr>
          <w:trHeight w:val="270"/>
        </w:trPr>
        <w:tc>
          <w:tcPr>
            <w:tcW w:w="1605" w:type="dxa"/>
            <w:tcMar>
              <w:left w:w="108" w:type="dxa"/>
              <w:right w:w="108" w:type="dxa"/>
            </w:tcMar>
            <w:vAlign w:val="center"/>
          </w:tcPr>
          <w:p w14:paraId="4644CB40"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Murat</w:t>
            </w:r>
          </w:p>
        </w:tc>
        <w:tc>
          <w:tcPr>
            <w:tcW w:w="1838" w:type="dxa"/>
            <w:tcMar>
              <w:left w:w="108" w:type="dxa"/>
              <w:right w:w="108" w:type="dxa"/>
            </w:tcMar>
            <w:vAlign w:val="center"/>
          </w:tcPr>
          <w:p w14:paraId="58362D3E"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Gordeslioglu</w:t>
            </w:r>
            <w:proofErr w:type="spellEnd"/>
          </w:p>
        </w:tc>
        <w:tc>
          <w:tcPr>
            <w:tcW w:w="2227" w:type="dxa"/>
            <w:tcMar>
              <w:left w:w="108" w:type="dxa"/>
              <w:right w:w="108" w:type="dxa"/>
            </w:tcMar>
            <w:vAlign w:val="center"/>
          </w:tcPr>
          <w:p w14:paraId="317278F1"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BORUSAN</w:t>
            </w:r>
          </w:p>
        </w:tc>
        <w:tc>
          <w:tcPr>
            <w:tcW w:w="7346" w:type="dxa"/>
            <w:tcMar>
              <w:left w:w="108" w:type="dxa"/>
              <w:right w:w="108" w:type="dxa"/>
            </w:tcMar>
            <w:vAlign w:val="center"/>
          </w:tcPr>
          <w:p w14:paraId="0F969217" w14:textId="77777777" w:rsidR="000C5237" w:rsidRPr="0043215C" w:rsidRDefault="000C5237" w:rsidP="00691A10">
            <w:pPr>
              <w:spacing w:after="0"/>
              <w:rPr>
                <w:rFonts w:cstheme="minorHAnsi"/>
                <w:sz w:val="20"/>
                <w:szCs w:val="20"/>
              </w:rPr>
            </w:pPr>
            <w:r w:rsidRPr="0043215C">
              <w:rPr>
                <w:rFonts w:eastAsia="Aptos" w:cstheme="minorHAnsi"/>
                <w:color w:val="002060"/>
                <w:sz w:val="20"/>
                <w:szCs w:val="20"/>
              </w:rPr>
              <w:t>CFO</w:t>
            </w:r>
          </w:p>
        </w:tc>
      </w:tr>
      <w:tr w:rsidR="000C5237" w:rsidRPr="0043215C" w14:paraId="03E74E93" w14:textId="77777777" w:rsidTr="00691A10">
        <w:trPr>
          <w:trHeight w:val="285"/>
        </w:trPr>
        <w:tc>
          <w:tcPr>
            <w:tcW w:w="1605" w:type="dxa"/>
            <w:shd w:val="clear" w:color="auto" w:fill="D9D9D9" w:themeFill="background1" w:themeFillShade="D9"/>
            <w:tcMar>
              <w:left w:w="108" w:type="dxa"/>
              <w:right w:w="108" w:type="dxa"/>
            </w:tcMar>
            <w:vAlign w:val="center"/>
          </w:tcPr>
          <w:p w14:paraId="2C6ADA74"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1838" w:type="dxa"/>
            <w:shd w:val="clear" w:color="auto" w:fill="D9D9D9" w:themeFill="background1" w:themeFillShade="D9"/>
            <w:tcMar>
              <w:left w:w="108" w:type="dxa"/>
              <w:right w:w="108" w:type="dxa"/>
            </w:tcMar>
            <w:vAlign w:val="center"/>
          </w:tcPr>
          <w:p w14:paraId="1A4B6FDB"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2227" w:type="dxa"/>
            <w:shd w:val="clear" w:color="auto" w:fill="D9D9D9" w:themeFill="background1" w:themeFillShade="D9"/>
            <w:tcMar>
              <w:left w:w="108" w:type="dxa"/>
              <w:right w:w="108" w:type="dxa"/>
            </w:tcMar>
            <w:vAlign w:val="center"/>
          </w:tcPr>
          <w:p w14:paraId="5B0EE49F"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 xml:space="preserve"> </w:t>
            </w:r>
          </w:p>
        </w:tc>
        <w:tc>
          <w:tcPr>
            <w:tcW w:w="7346" w:type="dxa"/>
            <w:shd w:val="clear" w:color="auto" w:fill="D9D9D9" w:themeFill="background1" w:themeFillShade="D9"/>
            <w:tcMar>
              <w:left w:w="108" w:type="dxa"/>
              <w:right w:w="108" w:type="dxa"/>
            </w:tcMar>
            <w:vAlign w:val="center"/>
          </w:tcPr>
          <w:p w14:paraId="65658D36" w14:textId="77777777" w:rsidR="000C5237" w:rsidRPr="0043215C" w:rsidRDefault="000C5237" w:rsidP="00691A10">
            <w:pPr>
              <w:spacing w:after="0"/>
              <w:rPr>
                <w:rFonts w:cstheme="minorHAnsi"/>
                <w:sz w:val="20"/>
                <w:szCs w:val="20"/>
              </w:rPr>
            </w:pPr>
            <w:r w:rsidRPr="0043215C">
              <w:rPr>
                <w:rFonts w:eastAsia="Aptos" w:cstheme="minorHAnsi"/>
                <w:color w:val="002060"/>
                <w:sz w:val="20"/>
                <w:szCs w:val="20"/>
              </w:rPr>
              <w:t xml:space="preserve"> </w:t>
            </w:r>
          </w:p>
        </w:tc>
      </w:tr>
      <w:tr w:rsidR="000C5237" w:rsidRPr="0043215C" w14:paraId="1E9C283A" w14:textId="77777777" w:rsidTr="00691A10">
        <w:trPr>
          <w:trHeight w:val="285"/>
        </w:trPr>
        <w:tc>
          <w:tcPr>
            <w:tcW w:w="1605" w:type="dxa"/>
            <w:tcMar>
              <w:left w:w="108" w:type="dxa"/>
              <w:right w:w="108" w:type="dxa"/>
            </w:tcMar>
            <w:vAlign w:val="center"/>
          </w:tcPr>
          <w:p w14:paraId="5BBE1DD7"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Tuba</w:t>
            </w:r>
          </w:p>
        </w:tc>
        <w:tc>
          <w:tcPr>
            <w:tcW w:w="1838" w:type="dxa"/>
            <w:tcMar>
              <w:left w:w="108" w:type="dxa"/>
              <w:right w:w="108" w:type="dxa"/>
            </w:tcMar>
            <w:vAlign w:val="center"/>
          </w:tcPr>
          <w:p w14:paraId="278BA30A"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Yalim</w:t>
            </w:r>
            <w:proofErr w:type="spellEnd"/>
          </w:p>
        </w:tc>
        <w:tc>
          <w:tcPr>
            <w:tcW w:w="2227" w:type="dxa"/>
            <w:tcMar>
              <w:left w:w="108" w:type="dxa"/>
              <w:right w:w="108" w:type="dxa"/>
            </w:tcMar>
            <w:vAlign w:val="center"/>
          </w:tcPr>
          <w:p w14:paraId="32FA799F"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MOTF</w:t>
            </w:r>
          </w:p>
        </w:tc>
        <w:tc>
          <w:tcPr>
            <w:tcW w:w="7346" w:type="dxa"/>
            <w:tcMar>
              <w:left w:w="108" w:type="dxa"/>
              <w:right w:w="108" w:type="dxa"/>
            </w:tcMar>
            <w:vAlign w:val="center"/>
          </w:tcPr>
          <w:p w14:paraId="4E188B13" w14:textId="77777777" w:rsidR="000C5237" w:rsidRPr="0043215C" w:rsidRDefault="000C5237" w:rsidP="00691A10">
            <w:pPr>
              <w:spacing w:after="0"/>
              <w:rPr>
                <w:rFonts w:cstheme="minorHAnsi"/>
                <w:sz w:val="20"/>
                <w:szCs w:val="20"/>
              </w:rPr>
            </w:pPr>
            <w:r w:rsidRPr="0043215C">
              <w:rPr>
                <w:rFonts w:eastAsia="Aptos" w:cstheme="minorHAnsi"/>
                <w:sz w:val="20"/>
                <w:szCs w:val="20"/>
              </w:rPr>
              <w:t>Head of Department</w:t>
            </w:r>
          </w:p>
        </w:tc>
      </w:tr>
      <w:tr w:rsidR="000C5237" w:rsidRPr="0043215C" w14:paraId="0AE658CA" w14:textId="77777777" w:rsidTr="00691A10">
        <w:trPr>
          <w:trHeight w:val="285"/>
        </w:trPr>
        <w:tc>
          <w:tcPr>
            <w:tcW w:w="1605" w:type="dxa"/>
            <w:tcMar>
              <w:left w:w="108" w:type="dxa"/>
              <w:right w:w="108" w:type="dxa"/>
            </w:tcMar>
            <w:vAlign w:val="center"/>
          </w:tcPr>
          <w:p w14:paraId="67C0081E"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Ozge </w:t>
            </w:r>
          </w:p>
        </w:tc>
        <w:tc>
          <w:tcPr>
            <w:tcW w:w="1838" w:type="dxa"/>
            <w:tcMar>
              <w:left w:w="108" w:type="dxa"/>
              <w:right w:w="108" w:type="dxa"/>
            </w:tcMar>
            <w:vAlign w:val="center"/>
          </w:tcPr>
          <w:p w14:paraId="4D0458F0"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Bilgin</w:t>
            </w:r>
          </w:p>
        </w:tc>
        <w:tc>
          <w:tcPr>
            <w:tcW w:w="2227" w:type="dxa"/>
            <w:tcMar>
              <w:left w:w="108" w:type="dxa"/>
              <w:right w:w="108" w:type="dxa"/>
            </w:tcMar>
            <w:vAlign w:val="center"/>
          </w:tcPr>
          <w:p w14:paraId="3AD4DA8F"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MOTF</w:t>
            </w:r>
          </w:p>
        </w:tc>
        <w:tc>
          <w:tcPr>
            <w:tcW w:w="7346" w:type="dxa"/>
            <w:tcMar>
              <w:left w:w="108" w:type="dxa"/>
              <w:right w:w="108" w:type="dxa"/>
            </w:tcMar>
            <w:vAlign w:val="center"/>
          </w:tcPr>
          <w:p w14:paraId="12D184F5"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Assistant Treasury and Finance Expert</w:t>
            </w:r>
          </w:p>
        </w:tc>
      </w:tr>
      <w:tr w:rsidR="000C5237" w:rsidRPr="0043215C" w14:paraId="1641E3FD" w14:textId="77777777" w:rsidTr="00691A10">
        <w:trPr>
          <w:trHeight w:val="285"/>
        </w:trPr>
        <w:tc>
          <w:tcPr>
            <w:tcW w:w="1605" w:type="dxa"/>
            <w:tcMar>
              <w:left w:w="108" w:type="dxa"/>
              <w:right w:w="108" w:type="dxa"/>
            </w:tcMar>
            <w:vAlign w:val="center"/>
          </w:tcPr>
          <w:p w14:paraId="41E8F02F"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Arda</w:t>
            </w:r>
          </w:p>
        </w:tc>
        <w:tc>
          <w:tcPr>
            <w:tcW w:w="1838" w:type="dxa"/>
            <w:tcMar>
              <w:left w:w="108" w:type="dxa"/>
              <w:right w:w="108" w:type="dxa"/>
            </w:tcMar>
            <w:vAlign w:val="center"/>
          </w:tcPr>
          <w:p w14:paraId="20531AC3"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Uludag</w:t>
            </w:r>
            <w:proofErr w:type="spellEnd"/>
          </w:p>
        </w:tc>
        <w:tc>
          <w:tcPr>
            <w:tcW w:w="2227" w:type="dxa"/>
            <w:tcMar>
              <w:left w:w="108" w:type="dxa"/>
              <w:right w:w="108" w:type="dxa"/>
            </w:tcMar>
            <w:vAlign w:val="center"/>
          </w:tcPr>
          <w:p w14:paraId="2F365C98"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MOTF</w:t>
            </w:r>
          </w:p>
        </w:tc>
        <w:tc>
          <w:tcPr>
            <w:tcW w:w="7346" w:type="dxa"/>
            <w:tcMar>
              <w:left w:w="108" w:type="dxa"/>
              <w:right w:w="108" w:type="dxa"/>
            </w:tcMar>
            <w:vAlign w:val="center"/>
          </w:tcPr>
          <w:p w14:paraId="538AFE12"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Treasury and Finance Expert</w:t>
            </w:r>
          </w:p>
        </w:tc>
      </w:tr>
      <w:tr w:rsidR="000C5237" w:rsidRPr="0043215C" w14:paraId="639B3FB0" w14:textId="77777777" w:rsidTr="00691A10">
        <w:trPr>
          <w:trHeight w:val="285"/>
        </w:trPr>
        <w:tc>
          <w:tcPr>
            <w:tcW w:w="1605" w:type="dxa"/>
            <w:tcMar>
              <w:left w:w="108" w:type="dxa"/>
              <w:right w:w="108" w:type="dxa"/>
            </w:tcMar>
            <w:vAlign w:val="center"/>
          </w:tcPr>
          <w:p w14:paraId="78D42684"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Aygün</w:t>
            </w:r>
          </w:p>
        </w:tc>
        <w:tc>
          <w:tcPr>
            <w:tcW w:w="1838" w:type="dxa"/>
            <w:tcMar>
              <w:left w:w="108" w:type="dxa"/>
              <w:right w:w="108" w:type="dxa"/>
            </w:tcMar>
            <w:vAlign w:val="center"/>
          </w:tcPr>
          <w:p w14:paraId="7DD68C56"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Demirors</w:t>
            </w:r>
            <w:proofErr w:type="spellEnd"/>
          </w:p>
        </w:tc>
        <w:tc>
          <w:tcPr>
            <w:tcW w:w="2227" w:type="dxa"/>
            <w:tcMar>
              <w:left w:w="108" w:type="dxa"/>
              <w:right w:w="108" w:type="dxa"/>
            </w:tcMar>
            <w:vAlign w:val="center"/>
          </w:tcPr>
          <w:p w14:paraId="2AD2BF25"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MOTF</w:t>
            </w:r>
          </w:p>
        </w:tc>
        <w:tc>
          <w:tcPr>
            <w:tcW w:w="7346" w:type="dxa"/>
            <w:shd w:val="clear" w:color="auto" w:fill="FFFFFF" w:themeFill="background1"/>
            <w:tcMar>
              <w:left w:w="108" w:type="dxa"/>
              <w:right w:w="108" w:type="dxa"/>
            </w:tcMar>
            <w:vAlign w:val="center"/>
          </w:tcPr>
          <w:p w14:paraId="71FBCAAD"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Treasury and Finance Expert</w:t>
            </w:r>
          </w:p>
        </w:tc>
      </w:tr>
      <w:tr w:rsidR="000C5237" w:rsidRPr="0043215C" w14:paraId="3D65CAF5" w14:textId="77777777" w:rsidTr="00691A10">
        <w:trPr>
          <w:trHeight w:val="285"/>
        </w:trPr>
        <w:tc>
          <w:tcPr>
            <w:tcW w:w="1605" w:type="dxa"/>
            <w:tcMar>
              <w:left w:w="108" w:type="dxa"/>
              <w:right w:w="108" w:type="dxa"/>
            </w:tcMar>
            <w:vAlign w:val="center"/>
          </w:tcPr>
          <w:p w14:paraId="55E7320E"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Elif Gozde</w:t>
            </w:r>
          </w:p>
        </w:tc>
        <w:tc>
          <w:tcPr>
            <w:tcW w:w="1838" w:type="dxa"/>
            <w:tcMar>
              <w:left w:w="108" w:type="dxa"/>
              <w:right w:w="108" w:type="dxa"/>
            </w:tcMar>
            <w:vAlign w:val="center"/>
          </w:tcPr>
          <w:p w14:paraId="21782B3D"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Doyuran</w:t>
            </w:r>
          </w:p>
        </w:tc>
        <w:tc>
          <w:tcPr>
            <w:tcW w:w="2227" w:type="dxa"/>
            <w:tcMar>
              <w:left w:w="108" w:type="dxa"/>
              <w:right w:w="108" w:type="dxa"/>
            </w:tcMar>
            <w:vAlign w:val="center"/>
          </w:tcPr>
          <w:p w14:paraId="1A1F8912"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MOTF</w:t>
            </w:r>
          </w:p>
        </w:tc>
        <w:tc>
          <w:tcPr>
            <w:tcW w:w="7346" w:type="dxa"/>
            <w:shd w:val="clear" w:color="auto" w:fill="FFFFFF" w:themeFill="background1"/>
            <w:tcMar>
              <w:left w:w="108" w:type="dxa"/>
              <w:right w:w="108" w:type="dxa"/>
            </w:tcMar>
            <w:vAlign w:val="center"/>
          </w:tcPr>
          <w:p w14:paraId="46DA3D13"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r>
      <w:tr w:rsidR="000C5237" w:rsidRPr="0043215C" w14:paraId="41B160DC" w14:textId="77777777" w:rsidTr="00691A10">
        <w:trPr>
          <w:trHeight w:val="285"/>
        </w:trPr>
        <w:tc>
          <w:tcPr>
            <w:tcW w:w="1605" w:type="dxa"/>
            <w:shd w:val="clear" w:color="auto" w:fill="D9D9D9" w:themeFill="background1" w:themeFillShade="D9"/>
            <w:tcMar>
              <w:left w:w="108" w:type="dxa"/>
              <w:right w:w="108" w:type="dxa"/>
            </w:tcMar>
            <w:vAlign w:val="center"/>
          </w:tcPr>
          <w:p w14:paraId="0527F6AB"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1838" w:type="dxa"/>
            <w:shd w:val="clear" w:color="auto" w:fill="D9D9D9" w:themeFill="background1" w:themeFillShade="D9"/>
            <w:tcMar>
              <w:left w:w="108" w:type="dxa"/>
              <w:right w:w="108" w:type="dxa"/>
            </w:tcMar>
            <w:vAlign w:val="center"/>
          </w:tcPr>
          <w:p w14:paraId="692EB38B"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2227" w:type="dxa"/>
            <w:shd w:val="clear" w:color="auto" w:fill="D9D9D9" w:themeFill="background1" w:themeFillShade="D9"/>
            <w:tcMar>
              <w:left w:w="108" w:type="dxa"/>
              <w:right w:w="108" w:type="dxa"/>
            </w:tcMar>
            <w:vAlign w:val="center"/>
          </w:tcPr>
          <w:p w14:paraId="3FAAC8E4"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 xml:space="preserve"> </w:t>
            </w:r>
          </w:p>
        </w:tc>
        <w:tc>
          <w:tcPr>
            <w:tcW w:w="7346" w:type="dxa"/>
            <w:shd w:val="clear" w:color="auto" w:fill="D9D9D9" w:themeFill="background1" w:themeFillShade="D9"/>
            <w:tcMar>
              <w:left w:w="108" w:type="dxa"/>
              <w:right w:w="108" w:type="dxa"/>
            </w:tcMar>
            <w:vAlign w:val="center"/>
          </w:tcPr>
          <w:p w14:paraId="15E9B42A"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r>
      <w:tr w:rsidR="000C5237" w:rsidRPr="0043215C" w14:paraId="38E4C443" w14:textId="77777777" w:rsidTr="00691A10">
        <w:trPr>
          <w:trHeight w:val="285"/>
        </w:trPr>
        <w:tc>
          <w:tcPr>
            <w:tcW w:w="1605" w:type="dxa"/>
            <w:tcMar>
              <w:left w:w="108" w:type="dxa"/>
              <w:right w:w="108" w:type="dxa"/>
            </w:tcMar>
            <w:vAlign w:val="center"/>
          </w:tcPr>
          <w:p w14:paraId="4CDDBB34"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Obahan</w:t>
            </w:r>
            <w:proofErr w:type="spellEnd"/>
            <w:r w:rsidRPr="0043215C">
              <w:rPr>
                <w:rFonts w:eastAsia="Aptos" w:cstheme="minorHAnsi"/>
                <w:color w:val="000000" w:themeColor="text1"/>
                <w:sz w:val="20"/>
                <w:szCs w:val="20"/>
              </w:rPr>
              <w:t xml:space="preserve"> </w:t>
            </w:r>
          </w:p>
        </w:tc>
        <w:tc>
          <w:tcPr>
            <w:tcW w:w="1838" w:type="dxa"/>
            <w:tcMar>
              <w:left w:w="108" w:type="dxa"/>
              <w:right w:w="108" w:type="dxa"/>
            </w:tcMar>
            <w:vAlign w:val="center"/>
          </w:tcPr>
          <w:p w14:paraId="71638737"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Obaoğlu</w:t>
            </w:r>
            <w:proofErr w:type="spellEnd"/>
          </w:p>
        </w:tc>
        <w:tc>
          <w:tcPr>
            <w:tcW w:w="2227" w:type="dxa"/>
            <w:tcMar>
              <w:left w:w="108" w:type="dxa"/>
              <w:right w:w="108" w:type="dxa"/>
            </w:tcMar>
            <w:vAlign w:val="center"/>
          </w:tcPr>
          <w:p w14:paraId="12473435"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KOC HOLDING</w:t>
            </w:r>
          </w:p>
        </w:tc>
        <w:tc>
          <w:tcPr>
            <w:tcW w:w="7346" w:type="dxa"/>
            <w:tcMar>
              <w:left w:w="108" w:type="dxa"/>
              <w:right w:w="108" w:type="dxa"/>
            </w:tcMar>
            <w:vAlign w:val="center"/>
          </w:tcPr>
          <w:p w14:paraId="50AA8608"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Official Relations Manager</w:t>
            </w:r>
          </w:p>
        </w:tc>
      </w:tr>
      <w:tr w:rsidR="000C5237" w:rsidRPr="0043215C" w14:paraId="59CE4CF2" w14:textId="77777777" w:rsidTr="00691A10">
        <w:trPr>
          <w:trHeight w:val="285"/>
        </w:trPr>
        <w:tc>
          <w:tcPr>
            <w:tcW w:w="1605" w:type="dxa"/>
            <w:tcMar>
              <w:left w:w="108" w:type="dxa"/>
              <w:right w:w="108" w:type="dxa"/>
            </w:tcMar>
            <w:vAlign w:val="center"/>
          </w:tcPr>
          <w:p w14:paraId="3B4A12A3"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Arda </w:t>
            </w:r>
          </w:p>
        </w:tc>
        <w:tc>
          <w:tcPr>
            <w:tcW w:w="1838" w:type="dxa"/>
            <w:tcMar>
              <w:left w:w="108" w:type="dxa"/>
              <w:right w:w="108" w:type="dxa"/>
            </w:tcMar>
            <w:vAlign w:val="center"/>
          </w:tcPr>
          <w:p w14:paraId="23B9B7F4"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Ozlu</w:t>
            </w:r>
            <w:proofErr w:type="spellEnd"/>
          </w:p>
        </w:tc>
        <w:tc>
          <w:tcPr>
            <w:tcW w:w="2227" w:type="dxa"/>
            <w:tcMar>
              <w:left w:w="108" w:type="dxa"/>
              <w:right w:w="108" w:type="dxa"/>
            </w:tcMar>
            <w:vAlign w:val="center"/>
          </w:tcPr>
          <w:p w14:paraId="26D2E315"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KOC HOLDING</w:t>
            </w:r>
          </w:p>
        </w:tc>
        <w:tc>
          <w:tcPr>
            <w:tcW w:w="7346" w:type="dxa"/>
            <w:tcMar>
              <w:left w:w="108" w:type="dxa"/>
              <w:right w:w="108" w:type="dxa"/>
            </w:tcMar>
            <w:vAlign w:val="center"/>
          </w:tcPr>
          <w:p w14:paraId="035E757F"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CFO</w:t>
            </w:r>
          </w:p>
        </w:tc>
      </w:tr>
      <w:tr w:rsidR="000C5237" w:rsidRPr="0043215C" w14:paraId="2C9857F5" w14:textId="77777777" w:rsidTr="00691A10">
        <w:trPr>
          <w:trHeight w:val="285"/>
        </w:trPr>
        <w:tc>
          <w:tcPr>
            <w:tcW w:w="1605" w:type="dxa"/>
            <w:tcMar>
              <w:left w:w="108" w:type="dxa"/>
              <w:right w:w="108" w:type="dxa"/>
            </w:tcMar>
            <w:vAlign w:val="center"/>
          </w:tcPr>
          <w:p w14:paraId="5A6AC883"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Yagiz</w:t>
            </w:r>
            <w:proofErr w:type="spellEnd"/>
            <w:r w:rsidRPr="0043215C">
              <w:rPr>
                <w:rFonts w:eastAsia="Aptos" w:cstheme="minorHAnsi"/>
                <w:color w:val="000000" w:themeColor="text1"/>
                <w:sz w:val="20"/>
                <w:szCs w:val="20"/>
              </w:rPr>
              <w:t xml:space="preserve"> </w:t>
            </w:r>
          </w:p>
        </w:tc>
        <w:tc>
          <w:tcPr>
            <w:tcW w:w="1838" w:type="dxa"/>
            <w:tcMar>
              <w:left w:w="108" w:type="dxa"/>
              <w:right w:w="108" w:type="dxa"/>
            </w:tcMar>
            <w:vAlign w:val="center"/>
          </w:tcPr>
          <w:p w14:paraId="4D9B394F"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Caglar</w:t>
            </w:r>
            <w:proofErr w:type="spellEnd"/>
          </w:p>
        </w:tc>
        <w:tc>
          <w:tcPr>
            <w:tcW w:w="2227" w:type="dxa"/>
            <w:tcMar>
              <w:left w:w="108" w:type="dxa"/>
              <w:right w:w="108" w:type="dxa"/>
            </w:tcMar>
            <w:vAlign w:val="center"/>
          </w:tcPr>
          <w:p w14:paraId="56F25EDE"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KOC HOLDING</w:t>
            </w:r>
          </w:p>
        </w:tc>
        <w:tc>
          <w:tcPr>
            <w:tcW w:w="7346" w:type="dxa"/>
            <w:tcMar>
              <w:left w:w="108" w:type="dxa"/>
              <w:right w:w="108" w:type="dxa"/>
            </w:tcMar>
            <w:vAlign w:val="center"/>
          </w:tcPr>
          <w:p w14:paraId="2B2E5C51"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Finance Director</w:t>
            </w:r>
          </w:p>
        </w:tc>
      </w:tr>
      <w:tr w:rsidR="000C5237" w:rsidRPr="0043215C" w14:paraId="6C41CD59" w14:textId="77777777" w:rsidTr="00691A10">
        <w:trPr>
          <w:trHeight w:val="285"/>
        </w:trPr>
        <w:tc>
          <w:tcPr>
            <w:tcW w:w="1605" w:type="dxa"/>
            <w:tcMar>
              <w:left w:w="108" w:type="dxa"/>
              <w:right w:w="108" w:type="dxa"/>
            </w:tcMar>
            <w:vAlign w:val="center"/>
          </w:tcPr>
          <w:p w14:paraId="6B73253F"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Ayhan </w:t>
            </w:r>
          </w:p>
        </w:tc>
        <w:tc>
          <w:tcPr>
            <w:tcW w:w="1838" w:type="dxa"/>
            <w:tcMar>
              <w:left w:w="108" w:type="dxa"/>
              <w:right w:w="108" w:type="dxa"/>
            </w:tcMar>
            <w:vAlign w:val="center"/>
          </w:tcPr>
          <w:p w14:paraId="3B68DA86"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Ozan</w:t>
            </w:r>
          </w:p>
        </w:tc>
        <w:tc>
          <w:tcPr>
            <w:tcW w:w="2227" w:type="dxa"/>
            <w:tcMar>
              <w:left w:w="108" w:type="dxa"/>
              <w:right w:w="108" w:type="dxa"/>
            </w:tcMar>
            <w:vAlign w:val="center"/>
          </w:tcPr>
          <w:p w14:paraId="40940B3D"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KOC HOLDING</w:t>
            </w:r>
          </w:p>
        </w:tc>
        <w:tc>
          <w:tcPr>
            <w:tcW w:w="7346" w:type="dxa"/>
            <w:tcMar>
              <w:left w:w="108" w:type="dxa"/>
              <w:right w:w="108" w:type="dxa"/>
            </w:tcMar>
            <w:vAlign w:val="center"/>
          </w:tcPr>
          <w:p w14:paraId="0A8004B8"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Finance Manager</w:t>
            </w:r>
          </w:p>
        </w:tc>
      </w:tr>
      <w:tr w:rsidR="000C5237" w:rsidRPr="0043215C" w14:paraId="263C0D3B" w14:textId="77777777" w:rsidTr="00691A10">
        <w:trPr>
          <w:trHeight w:val="285"/>
        </w:trPr>
        <w:tc>
          <w:tcPr>
            <w:tcW w:w="1605" w:type="dxa"/>
            <w:tcMar>
              <w:left w:w="108" w:type="dxa"/>
              <w:right w:w="108" w:type="dxa"/>
            </w:tcMar>
            <w:vAlign w:val="center"/>
          </w:tcPr>
          <w:p w14:paraId="336FCC9D"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Volkan </w:t>
            </w:r>
          </w:p>
        </w:tc>
        <w:tc>
          <w:tcPr>
            <w:tcW w:w="1838" w:type="dxa"/>
            <w:tcMar>
              <w:left w:w="108" w:type="dxa"/>
              <w:right w:w="108" w:type="dxa"/>
            </w:tcMar>
            <w:vAlign w:val="center"/>
          </w:tcPr>
          <w:p w14:paraId="6309717C"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Akturk</w:t>
            </w:r>
            <w:proofErr w:type="spellEnd"/>
          </w:p>
        </w:tc>
        <w:tc>
          <w:tcPr>
            <w:tcW w:w="2227" w:type="dxa"/>
            <w:tcMar>
              <w:left w:w="108" w:type="dxa"/>
              <w:right w:w="108" w:type="dxa"/>
            </w:tcMar>
            <w:vAlign w:val="center"/>
          </w:tcPr>
          <w:p w14:paraId="7C5382B3"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KOC HOLDING</w:t>
            </w:r>
          </w:p>
        </w:tc>
        <w:tc>
          <w:tcPr>
            <w:tcW w:w="7346" w:type="dxa"/>
            <w:tcMar>
              <w:left w:w="108" w:type="dxa"/>
              <w:right w:w="108" w:type="dxa"/>
            </w:tcMar>
            <w:vAlign w:val="center"/>
          </w:tcPr>
          <w:p w14:paraId="2ACA195F"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Business Development Director</w:t>
            </w:r>
          </w:p>
        </w:tc>
      </w:tr>
      <w:tr w:rsidR="000C5237" w:rsidRPr="0043215C" w14:paraId="137D1EF0" w14:textId="77777777" w:rsidTr="00691A10">
        <w:trPr>
          <w:trHeight w:val="285"/>
        </w:trPr>
        <w:tc>
          <w:tcPr>
            <w:tcW w:w="1605" w:type="dxa"/>
            <w:tcMar>
              <w:left w:w="108" w:type="dxa"/>
              <w:right w:w="108" w:type="dxa"/>
            </w:tcMar>
            <w:vAlign w:val="center"/>
          </w:tcPr>
          <w:p w14:paraId="68D4615B"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Betul</w:t>
            </w:r>
            <w:proofErr w:type="spellEnd"/>
          </w:p>
        </w:tc>
        <w:tc>
          <w:tcPr>
            <w:tcW w:w="1838" w:type="dxa"/>
            <w:tcMar>
              <w:left w:w="108" w:type="dxa"/>
              <w:right w:w="108" w:type="dxa"/>
            </w:tcMar>
            <w:vAlign w:val="center"/>
          </w:tcPr>
          <w:p w14:paraId="36A7C07E"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Kok</w:t>
            </w:r>
          </w:p>
        </w:tc>
        <w:tc>
          <w:tcPr>
            <w:tcW w:w="2227" w:type="dxa"/>
            <w:tcMar>
              <w:left w:w="108" w:type="dxa"/>
              <w:right w:w="108" w:type="dxa"/>
            </w:tcMar>
            <w:vAlign w:val="center"/>
          </w:tcPr>
          <w:p w14:paraId="5C9072D8"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KOC HOLDING</w:t>
            </w:r>
          </w:p>
        </w:tc>
        <w:tc>
          <w:tcPr>
            <w:tcW w:w="7346" w:type="dxa"/>
            <w:tcMar>
              <w:left w:w="108" w:type="dxa"/>
              <w:right w:w="108" w:type="dxa"/>
            </w:tcMar>
            <w:vAlign w:val="center"/>
          </w:tcPr>
          <w:p w14:paraId="2C92B6D7"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Business Development Manager</w:t>
            </w:r>
          </w:p>
        </w:tc>
      </w:tr>
      <w:tr w:rsidR="000C5237" w:rsidRPr="0043215C" w14:paraId="2D45BC48" w14:textId="77777777" w:rsidTr="00691A10">
        <w:trPr>
          <w:trHeight w:val="285"/>
        </w:trPr>
        <w:tc>
          <w:tcPr>
            <w:tcW w:w="1605" w:type="dxa"/>
            <w:tcMar>
              <w:left w:w="108" w:type="dxa"/>
              <w:right w:w="108" w:type="dxa"/>
            </w:tcMar>
            <w:vAlign w:val="center"/>
          </w:tcPr>
          <w:p w14:paraId="4218A5F1"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Ozkan </w:t>
            </w:r>
          </w:p>
        </w:tc>
        <w:tc>
          <w:tcPr>
            <w:tcW w:w="1838" w:type="dxa"/>
            <w:tcMar>
              <w:left w:w="108" w:type="dxa"/>
              <w:right w:w="108" w:type="dxa"/>
            </w:tcMar>
            <w:vAlign w:val="center"/>
          </w:tcPr>
          <w:p w14:paraId="46A2F6B3"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Basar</w:t>
            </w:r>
            <w:proofErr w:type="spellEnd"/>
          </w:p>
        </w:tc>
        <w:tc>
          <w:tcPr>
            <w:tcW w:w="2227" w:type="dxa"/>
            <w:tcMar>
              <w:left w:w="108" w:type="dxa"/>
              <w:right w:w="108" w:type="dxa"/>
            </w:tcMar>
            <w:vAlign w:val="center"/>
          </w:tcPr>
          <w:p w14:paraId="74DF1D4C"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KOC HOLDING</w:t>
            </w:r>
          </w:p>
        </w:tc>
        <w:tc>
          <w:tcPr>
            <w:tcW w:w="7346" w:type="dxa"/>
            <w:tcMar>
              <w:left w:w="108" w:type="dxa"/>
              <w:right w:w="108" w:type="dxa"/>
            </w:tcMar>
            <w:vAlign w:val="center"/>
          </w:tcPr>
          <w:p w14:paraId="2E73D882"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Business Development Supervisor</w:t>
            </w:r>
          </w:p>
        </w:tc>
      </w:tr>
      <w:tr w:rsidR="000C5237" w:rsidRPr="0043215C" w14:paraId="62A6BEB3" w14:textId="77777777" w:rsidTr="00691A10">
        <w:trPr>
          <w:trHeight w:val="285"/>
        </w:trPr>
        <w:tc>
          <w:tcPr>
            <w:tcW w:w="1605" w:type="dxa"/>
            <w:tcMar>
              <w:left w:w="108" w:type="dxa"/>
              <w:right w:w="108" w:type="dxa"/>
            </w:tcMar>
            <w:vAlign w:val="center"/>
          </w:tcPr>
          <w:p w14:paraId="6754F3D1"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Yener</w:t>
            </w:r>
          </w:p>
        </w:tc>
        <w:tc>
          <w:tcPr>
            <w:tcW w:w="1838" w:type="dxa"/>
            <w:tcMar>
              <w:left w:w="108" w:type="dxa"/>
              <w:right w:w="108" w:type="dxa"/>
            </w:tcMar>
            <w:vAlign w:val="center"/>
          </w:tcPr>
          <w:p w14:paraId="411A74B7"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Buyukgursan</w:t>
            </w:r>
            <w:proofErr w:type="spellEnd"/>
          </w:p>
        </w:tc>
        <w:tc>
          <w:tcPr>
            <w:tcW w:w="2227" w:type="dxa"/>
            <w:tcMar>
              <w:left w:w="108" w:type="dxa"/>
              <w:right w:w="108" w:type="dxa"/>
            </w:tcMar>
            <w:vAlign w:val="center"/>
          </w:tcPr>
          <w:p w14:paraId="2EFC5784"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KOC HOLDING</w:t>
            </w:r>
          </w:p>
        </w:tc>
        <w:tc>
          <w:tcPr>
            <w:tcW w:w="7346" w:type="dxa"/>
            <w:tcMar>
              <w:left w:w="108" w:type="dxa"/>
              <w:right w:w="108" w:type="dxa"/>
            </w:tcMar>
            <w:vAlign w:val="center"/>
          </w:tcPr>
          <w:p w14:paraId="21B61DED"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Senior Business Development Specialist</w:t>
            </w:r>
          </w:p>
        </w:tc>
      </w:tr>
      <w:tr w:rsidR="000C5237" w:rsidRPr="0043215C" w14:paraId="4C15A86F" w14:textId="77777777" w:rsidTr="00691A10">
        <w:trPr>
          <w:trHeight w:val="285"/>
        </w:trPr>
        <w:tc>
          <w:tcPr>
            <w:tcW w:w="1605" w:type="dxa"/>
            <w:shd w:val="clear" w:color="auto" w:fill="D9D9D9" w:themeFill="background1" w:themeFillShade="D9"/>
            <w:tcMar>
              <w:left w:w="108" w:type="dxa"/>
              <w:right w:w="108" w:type="dxa"/>
            </w:tcMar>
            <w:vAlign w:val="center"/>
          </w:tcPr>
          <w:p w14:paraId="31EEBC4F"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1838" w:type="dxa"/>
            <w:shd w:val="clear" w:color="auto" w:fill="D9D9D9" w:themeFill="background1" w:themeFillShade="D9"/>
            <w:tcMar>
              <w:left w:w="108" w:type="dxa"/>
              <w:right w:w="108" w:type="dxa"/>
            </w:tcMar>
            <w:vAlign w:val="center"/>
          </w:tcPr>
          <w:p w14:paraId="2EBAF007"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2227" w:type="dxa"/>
            <w:shd w:val="clear" w:color="auto" w:fill="D9D9D9" w:themeFill="background1" w:themeFillShade="D9"/>
            <w:tcMar>
              <w:left w:w="108" w:type="dxa"/>
              <w:right w:w="108" w:type="dxa"/>
            </w:tcMar>
            <w:vAlign w:val="center"/>
          </w:tcPr>
          <w:p w14:paraId="54970167"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 xml:space="preserve"> </w:t>
            </w:r>
          </w:p>
        </w:tc>
        <w:tc>
          <w:tcPr>
            <w:tcW w:w="7346" w:type="dxa"/>
            <w:shd w:val="clear" w:color="auto" w:fill="D9D9D9" w:themeFill="background1" w:themeFillShade="D9"/>
            <w:tcMar>
              <w:left w:w="108" w:type="dxa"/>
              <w:right w:w="108" w:type="dxa"/>
            </w:tcMar>
            <w:vAlign w:val="center"/>
          </w:tcPr>
          <w:p w14:paraId="401DA37C"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r>
      <w:tr w:rsidR="000C5237" w:rsidRPr="0043215C" w14:paraId="225E88DE" w14:textId="77777777" w:rsidTr="00691A10">
        <w:trPr>
          <w:trHeight w:val="285"/>
        </w:trPr>
        <w:tc>
          <w:tcPr>
            <w:tcW w:w="1605" w:type="dxa"/>
            <w:tcMar>
              <w:left w:w="108" w:type="dxa"/>
              <w:right w:w="108" w:type="dxa"/>
            </w:tcMar>
            <w:vAlign w:val="center"/>
          </w:tcPr>
          <w:p w14:paraId="75EB82BD"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Ufuk</w:t>
            </w:r>
          </w:p>
        </w:tc>
        <w:tc>
          <w:tcPr>
            <w:tcW w:w="1838" w:type="dxa"/>
            <w:tcMar>
              <w:left w:w="108" w:type="dxa"/>
              <w:right w:w="108" w:type="dxa"/>
            </w:tcMar>
            <w:vAlign w:val="center"/>
          </w:tcPr>
          <w:p w14:paraId="67037363"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Bor</w:t>
            </w:r>
            <w:proofErr w:type="spellEnd"/>
          </w:p>
        </w:tc>
        <w:tc>
          <w:tcPr>
            <w:tcW w:w="2227" w:type="dxa"/>
            <w:tcMar>
              <w:left w:w="108" w:type="dxa"/>
              <w:right w:w="108" w:type="dxa"/>
            </w:tcMar>
            <w:vAlign w:val="center"/>
          </w:tcPr>
          <w:p w14:paraId="0A6E7802"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EUD</w:t>
            </w:r>
          </w:p>
        </w:tc>
        <w:tc>
          <w:tcPr>
            <w:tcW w:w="7346" w:type="dxa"/>
            <w:tcMar>
              <w:left w:w="108" w:type="dxa"/>
              <w:right w:w="108" w:type="dxa"/>
            </w:tcMar>
            <w:vAlign w:val="center"/>
          </w:tcPr>
          <w:p w14:paraId="4AFE8C70"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CFO</w:t>
            </w:r>
          </w:p>
        </w:tc>
      </w:tr>
      <w:tr w:rsidR="000C5237" w:rsidRPr="0043215C" w14:paraId="61A44D12" w14:textId="77777777" w:rsidTr="00691A10">
        <w:trPr>
          <w:trHeight w:val="285"/>
        </w:trPr>
        <w:tc>
          <w:tcPr>
            <w:tcW w:w="1605" w:type="dxa"/>
            <w:tcMar>
              <w:left w:w="108" w:type="dxa"/>
              <w:right w:w="108" w:type="dxa"/>
            </w:tcMar>
            <w:vAlign w:val="center"/>
          </w:tcPr>
          <w:p w14:paraId="1FB580DF"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Taskin </w:t>
            </w:r>
          </w:p>
        </w:tc>
        <w:tc>
          <w:tcPr>
            <w:tcW w:w="1838" w:type="dxa"/>
            <w:tcMar>
              <w:left w:w="108" w:type="dxa"/>
              <w:right w:w="108" w:type="dxa"/>
            </w:tcMar>
            <w:vAlign w:val="center"/>
          </w:tcPr>
          <w:p w14:paraId="111DA4C9"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Kizilok</w:t>
            </w:r>
            <w:proofErr w:type="spellEnd"/>
          </w:p>
        </w:tc>
        <w:tc>
          <w:tcPr>
            <w:tcW w:w="2227" w:type="dxa"/>
            <w:tcMar>
              <w:left w:w="108" w:type="dxa"/>
              <w:right w:w="108" w:type="dxa"/>
            </w:tcMar>
            <w:vAlign w:val="center"/>
          </w:tcPr>
          <w:p w14:paraId="39476838"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EUD</w:t>
            </w:r>
          </w:p>
        </w:tc>
        <w:tc>
          <w:tcPr>
            <w:tcW w:w="7346" w:type="dxa"/>
            <w:tcMar>
              <w:left w:w="108" w:type="dxa"/>
              <w:right w:w="108" w:type="dxa"/>
            </w:tcMar>
            <w:vAlign w:val="center"/>
          </w:tcPr>
          <w:p w14:paraId="037604D7"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Representing EÜD Board - IC Enterra General Manager</w:t>
            </w:r>
          </w:p>
        </w:tc>
      </w:tr>
      <w:tr w:rsidR="000C5237" w:rsidRPr="0043215C" w14:paraId="46E223D6" w14:textId="77777777" w:rsidTr="00691A10">
        <w:trPr>
          <w:trHeight w:val="285"/>
        </w:trPr>
        <w:tc>
          <w:tcPr>
            <w:tcW w:w="1605" w:type="dxa"/>
            <w:tcMar>
              <w:left w:w="108" w:type="dxa"/>
              <w:right w:w="108" w:type="dxa"/>
            </w:tcMar>
            <w:vAlign w:val="center"/>
          </w:tcPr>
          <w:p w14:paraId="772DA8BE"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Mustafa Murat</w:t>
            </w:r>
          </w:p>
        </w:tc>
        <w:tc>
          <w:tcPr>
            <w:tcW w:w="1838" w:type="dxa"/>
            <w:tcMar>
              <w:left w:w="108" w:type="dxa"/>
              <w:right w:w="108" w:type="dxa"/>
            </w:tcMar>
            <w:vAlign w:val="center"/>
          </w:tcPr>
          <w:p w14:paraId="2DAF6EDF"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Orhan</w:t>
            </w:r>
          </w:p>
        </w:tc>
        <w:tc>
          <w:tcPr>
            <w:tcW w:w="2227" w:type="dxa"/>
            <w:tcMar>
              <w:left w:w="108" w:type="dxa"/>
              <w:right w:w="108" w:type="dxa"/>
            </w:tcMar>
            <w:vAlign w:val="center"/>
          </w:tcPr>
          <w:p w14:paraId="3E3D1F94"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EUD</w:t>
            </w:r>
          </w:p>
        </w:tc>
        <w:tc>
          <w:tcPr>
            <w:tcW w:w="7346" w:type="dxa"/>
            <w:tcMar>
              <w:left w:w="108" w:type="dxa"/>
              <w:right w:w="108" w:type="dxa"/>
            </w:tcMar>
            <w:vAlign w:val="center"/>
          </w:tcPr>
          <w:p w14:paraId="49F13DF1"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EÜD Secretary General</w:t>
            </w:r>
          </w:p>
        </w:tc>
      </w:tr>
      <w:tr w:rsidR="000C5237" w:rsidRPr="0043215C" w14:paraId="651BD12B" w14:textId="77777777" w:rsidTr="00691A10">
        <w:trPr>
          <w:trHeight w:val="285"/>
        </w:trPr>
        <w:tc>
          <w:tcPr>
            <w:tcW w:w="1605" w:type="dxa"/>
            <w:tcMar>
              <w:left w:w="108" w:type="dxa"/>
              <w:right w:w="108" w:type="dxa"/>
            </w:tcMar>
            <w:vAlign w:val="center"/>
          </w:tcPr>
          <w:p w14:paraId="6C85A80C"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Gamze</w:t>
            </w:r>
          </w:p>
        </w:tc>
        <w:tc>
          <w:tcPr>
            <w:tcW w:w="1838" w:type="dxa"/>
            <w:tcMar>
              <w:left w:w="108" w:type="dxa"/>
              <w:right w:w="108" w:type="dxa"/>
            </w:tcMar>
            <w:vAlign w:val="center"/>
          </w:tcPr>
          <w:p w14:paraId="5E8CD65C"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Soylu</w:t>
            </w:r>
          </w:p>
        </w:tc>
        <w:tc>
          <w:tcPr>
            <w:tcW w:w="2227" w:type="dxa"/>
            <w:tcMar>
              <w:left w:w="108" w:type="dxa"/>
              <w:right w:w="108" w:type="dxa"/>
            </w:tcMar>
            <w:vAlign w:val="center"/>
          </w:tcPr>
          <w:p w14:paraId="5C0866F4"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EUD</w:t>
            </w:r>
          </w:p>
        </w:tc>
        <w:tc>
          <w:tcPr>
            <w:tcW w:w="7346" w:type="dxa"/>
            <w:tcMar>
              <w:left w:w="108" w:type="dxa"/>
              <w:right w:w="108" w:type="dxa"/>
            </w:tcMar>
            <w:vAlign w:val="center"/>
          </w:tcPr>
          <w:p w14:paraId="49628F2F"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Expert</w:t>
            </w:r>
          </w:p>
        </w:tc>
      </w:tr>
      <w:tr w:rsidR="000C5237" w:rsidRPr="0043215C" w14:paraId="101194F4" w14:textId="77777777" w:rsidTr="00691A10">
        <w:trPr>
          <w:trHeight w:val="285"/>
        </w:trPr>
        <w:tc>
          <w:tcPr>
            <w:tcW w:w="1605" w:type="dxa"/>
            <w:tcMar>
              <w:left w:w="108" w:type="dxa"/>
              <w:right w:w="108" w:type="dxa"/>
            </w:tcMar>
            <w:vAlign w:val="center"/>
          </w:tcPr>
          <w:p w14:paraId="77344951"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Fuat</w:t>
            </w:r>
            <w:proofErr w:type="spellEnd"/>
          </w:p>
        </w:tc>
        <w:tc>
          <w:tcPr>
            <w:tcW w:w="1838" w:type="dxa"/>
            <w:tcMar>
              <w:left w:w="108" w:type="dxa"/>
              <w:right w:w="108" w:type="dxa"/>
            </w:tcMar>
            <w:vAlign w:val="center"/>
          </w:tcPr>
          <w:p w14:paraId="2BED9B71"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Yildiz</w:t>
            </w:r>
          </w:p>
        </w:tc>
        <w:tc>
          <w:tcPr>
            <w:tcW w:w="2227" w:type="dxa"/>
            <w:tcMar>
              <w:left w:w="108" w:type="dxa"/>
              <w:right w:w="108" w:type="dxa"/>
            </w:tcMar>
            <w:vAlign w:val="center"/>
          </w:tcPr>
          <w:p w14:paraId="557110FF"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EUD</w:t>
            </w:r>
          </w:p>
        </w:tc>
        <w:tc>
          <w:tcPr>
            <w:tcW w:w="7346" w:type="dxa"/>
            <w:tcMar>
              <w:left w:w="108" w:type="dxa"/>
              <w:right w:w="108" w:type="dxa"/>
            </w:tcMar>
            <w:vAlign w:val="center"/>
          </w:tcPr>
          <w:p w14:paraId="6DA5E365"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Executive Assistant</w:t>
            </w:r>
          </w:p>
        </w:tc>
      </w:tr>
      <w:tr w:rsidR="000C5237" w:rsidRPr="0043215C" w14:paraId="4595318D" w14:textId="77777777" w:rsidTr="00691A10">
        <w:trPr>
          <w:trHeight w:val="285"/>
        </w:trPr>
        <w:tc>
          <w:tcPr>
            <w:tcW w:w="1605" w:type="dxa"/>
            <w:shd w:val="clear" w:color="auto" w:fill="D9D9D9" w:themeFill="background1" w:themeFillShade="D9"/>
            <w:tcMar>
              <w:left w:w="108" w:type="dxa"/>
              <w:right w:w="108" w:type="dxa"/>
            </w:tcMar>
            <w:vAlign w:val="center"/>
          </w:tcPr>
          <w:p w14:paraId="0D8C007A"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1838" w:type="dxa"/>
            <w:shd w:val="clear" w:color="auto" w:fill="D9D9D9" w:themeFill="background1" w:themeFillShade="D9"/>
            <w:tcMar>
              <w:left w:w="108" w:type="dxa"/>
              <w:right w:w="108" w:type="dxa"/>
            </w:tcMar>
            <w:vAlign w:val="center"/>
          </w:tcPr>
          <w:p w14:paraId="4EFB05C3"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2227" w:type="dxa"/>
            <w:shd w:val="clear" w:color="auto" w:fill="D9D9D9" w:themeFill="background1" w:themeFillShade="D9"/>
            <w:tcMar>
              <w:left w:w="108" w:type="dxa"/>
              <w:right w:w="108" w:type="dxa"/>
            </w:tcMar>
            <w:vAlign w:val="center"/>
          </w:tcPr>
          <w:p w14:paraId="0F18E196"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 xml:space="preserve"> </w:t>
            </w:r>
          </w:p>
        </w:tc>
        <w:tc>
          <w:tcPr>
            <w:tcW w:w="7346" w:type="dxa"/>
            <w:shd w:val="clear" w:color="auto" w:fill="D9D9D9" w:themeFill="background1" w:themeFillShade="D9"/>
            <w:tcMar>
              <w:left w:w="108" w:type="dxa"/>
              <w:right w:w="108" w:type="dxa"/>
            </w:tcMar>
            <w:vAlign w:val="center"/>
          </w:tcPr>
          <w:p w14:paraId="4892DF81"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r>
      <w:tr w:rsidR="000C5237" w:rsidRPr="0043215C" w14:paraId="4486A2D5" w14:textId="77777777" w:rsidTr="00691A10">
        <w:trPr>
          <w:trHeight w:val="285"/>
        </w:trPr>
        <w:tc>
          <w:tcPr>
            <w:tcW w:w="1605" w:type="dxa"/>
            <w:tcMar>
              <w:left w:w="108" w:type="dxa"/>
              <w:right w:w="108" w:type="dxa"/>
            </w:tcMar>
            <w:vAlign w:val="center"/>
          </w:tcPr>
          <w:p w14:paraId="079AD853"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Yael</w:t>
            </w:r>
          </w:p>
        </w:tc>
        <w:tc>
          <w:tcPr>
            <w:tcW w:w="1838" w:type="dxa"/>
            <w:tcMar>
              <w:left w:w="108" w:type="dxa"/>
              <w:right w:w="108" w:type="dxa"/>
            </w:tcMar>
            <w:vAlign w:val="center"/>
          </w:tcPr>
          <w:p w14:paraId="5A69A36B"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Taranto</w:t>
            </w:r>
          </w:p>
        </w:tc>
        <w:tc>
          <w:tcPr>
            <w:tcW w:w="2227" w:type="dxa"/>
            <w:tcMar>
              <w:left w:w="108" w:type="dxa"/>
              <w:right w:w="108" w:type="dxa"/>
            </w:tcMar>
            <w:vAlign w:val="center"/>
          </w:tcPr>
          <w:p w14:paraId="21AF33B6"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SHURA</w:t>
            </w:r>
          </w:p>
        </w:tc>
        <w:tc>
          <w:tcPr>
            <w:tcW w:w="7346" w:type="dxa"/>
            <w:tcMar>
              <w:left w:w="108" w:type="dxa"/>
              <w:right w:w="108" w:type="dxa"/>
            </w:tcMar>
            <w:vAlign w:val="center"/>
          </w:tcPr>
          <w:p w14:paraId="595F9FE9"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Analyst</w:t>
            </w:r>
          </w:p>
        </w:tc>
      </w:tr>
      <w:tr w:rsidR="000C5237" w:rsidRPr="0043215C" w14:paraId="4208AB95" w14:textId="77777777" w:rsidTr="00691A10">
        <w:trPr>
          <w:trHeight w:val="285"/>
        </w:trPr>
        <w:tc>
          <w:tcPr>
            <w:tcW w:w="1605" w:type="dxa"/>
            <w:shd w:val="clear" w:color="auto" w:fill="D9D9D9" w:themeFill="background1" w:themeFillShade="D9"/>
            <w:tcMar>
              <w:left w:w="108" w:type="dxa"/>
              <w:right w:w="108" w:type="dxa"/>
            </w:tcMar>
            <w:vAlign w:val="center"/>
          </w:tcPr>
          <w:p w14:paraId="7C21A283"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1838" w:type="dxa"/>
            <w:shd w:val="clear" w:color="auto" w:fill="D9D9D9" w:themeFill="background1" w:themeFillShade="D9"/>
            <w:tcMar>
              <w:left w:w="108" w:type="dxa"/>
              <w:right w:w="108" w:type="dxa"/>
            </w:tcMar>
            <w:vAlign w:val="center"/>
          </w:tcPr>
          <w:p w14:paraId="31647354"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2227" w:type="dxa"/>
            <w:shd w:val="clear" w:color="auto" w:fill="D9D9D9" w:themeFill="background1" w:themeFillShade="D9"/>
            <w:tcMar>
              <w:left w:w="108" w:type="dxa"/>
              <w:right w:w="108" w:type="dxa"/>
            </w:tcMar>
            <w:vAlign w:val="center"/>
          </w:tcPr>
          <w:p w14:paraId="75A91B2E"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 xml:space="preserve"> </w:t>
            </w:r>
          </w:p>
        </w:tc>
        <w:tc>
          <w:tcPr>
            <w:tcW w:w="7346" w:type="dxa"/>
            <w:shd w:val="clear" w:color="auto" w:fill="D9D9D9" w:themeFill="background1" w:themeFillShade="D9"/>
            <w:tcMar>
              <w:left w:w="108" w:type="dxa"/>
              <w:right w:w="108" w:type="dxa"/>
            </w:tcMar>
            <w:vAlign w:val="center"/>
          </w:tcPr>
          <w:p w14:paraId="7384A05B"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r>
      <w:tr w:rsidR="000C5237" w:rsidRPr="0043215C" w14:paraId="51CE2EF7" w14:textId="77777777" w:rsidTr="00691A10">
        <w:trPr>
          <w:trHeight w:val="285"/>
        </w:trPr>
        <w:tc>
          <w:tcPr>
            <w:tcW w:w="1605" w:type="dxa"/>
            <w:tcMar>
              <w:left w:w="108" w:type="dxa"/>
              <w:right w:w="108" w:type="dxa"/>
            </w:tcMar>
            <w:vAlign w:val="center"/>
          </w:tcPr>
          <w:p w14:paraId="61AB5BF4"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Engin </w:t>
            </w:r>
          </w:p>
        </w:tc>
        <w:tc>
          <w:tcPr>
            <w:tcW w:w="1838" w:type="dxa"/>
            <w:tcMar>
              <w:left w:w="108" w:type="dxa"/>
              <w:right w:w="108" w:type="dxa"/>
            </w:tcMar>
            <w:vAlign w:val="center"/>
          </w:tcPr>
          <w:p w14:paraId="05F37DE7"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Bostanci</w:t>
            </w:r>
            <w:proofErr w:type="spellEnd"/>
          </w:p>
        </w:tc>
        <w:tc>
          <w:tcPr>
            <w:tcW w:w="2227" w:type="dxa"/>
            <w:tcMar>
              <w:left w:w="108" w:type="dxa"/>
              <w:right w:w="108" w:type="dxa"/>
            </w:tcMar>
            <w:vAlign w:val="center"/>
          </w:tcPr>
          <w:p w14:paraId="6931CDB9"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MENR</w:t>
            </w:r>
          </w:p>
        </w:tc>
        <w:tc>
          <w:tcPr>
            <w:tcW w:w="7346" w:type="dxa"/>
            <w:tcMar>
              <w:left w:w="108" w:type="dxa"/>
              <w:right w:w="108" w:type="dxa"/>
            </w:tcMar>
            <w:vAlign w:val="center"/>
          </w:tcPr>
          <w:p w14:paraId="36AE2500"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Department of Foreign Investment Coordination, Head of Department</w:t>
            </w:r>
          </w:p>
        </w:tc>
      </w:tr>
      <w:tr w:rsidR="000C5237" w:rsidRPr="0043215C" w14:paraId="471C52BE" w14:textId="77777777" w:rsidTr="00691A10">
        <w:trPr>
          <w:trHeight w:val="285"/>
        </w:trPr>
        <w:tc>
          <w:tcPr>
            <w:tcW w:w="1605" w:type="dxa"/>
            <w:tcMar>
              <w:left w:w="108" w:type="dxa"/>
              <w:right w:w="108" w:type="dxa"/>
            </w:tcMar>
            <w:vAlign w:val="center"/>
          </w:tcPr>
          <w:p w14:paraId="6DEC9BE2"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Merve </w:t>
            </w:r>
          </w:p>
        </w:tc>
        <w:tc>
          <w:tcPr>
            <w:tcW w:w="1838" w:type="dxa"/>
            <w:tcMar>
              <w:left w:w="108" w:type="dxa"/>
              <w:right w:w="108" w:type="dxa"/>
            </w:tcMar>
            <w:vAlign w:val="center"/>
          </w:tcPr>
          <w:p w14:paraId="29252B5C"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Senol</w:t>
            </w:r>
            <w:proofErr w:type="spellEnd"/>
          </w:p>
        </w:tc>
        <w:tc>
          <w:tcPr>
            <w:tcW w:w="2227" w:type="dxa"/>
            <w:tcMar>
              <w:left w:w="108" w:type="dxa"/>
              <w:right w:w="108" w:type="dxa"/>
            </w:tcMar>
            <w:vAlign w:val="center"/>
          </w:tcPr>
          <w:p w14:paraId="11FD1E73"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MENR</w:t>
            </w:r>
          </w:p>
        </w:tc>
        <w:tc>
          <w:tcPr>
            <w:tcW w:w="7346" w:type="dxa"/>
            <w:tcMar>
              <w:left w:w="108" w:type="dxa"/>
              <w:right w:w="108" w:type="dxa"/>
            </w:tcMar>
            <w:vAlign w:val="center"/>
          </w:tcPr>
          <w:p w14:paraId="3685D3D5"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Department of Foreign Investment Coordination</w:t>
            </w:r>
          </w:p>
        </w:tc>
      </w:tr>
      <w:tr w:rsidR="000C5237" w:rsidRPr="0043215C" w14:paraId="306468A9" w14:textId="77777777" w:rsidTr="00691A10">
        <w:trPr>
          <w:trHeight w:val="270"/>
        </w:trPr>
        <w:tc>
          <w:tcPr>
            <w:tcW w:w="1605" w:type="dxa"/>
            <w:tcMar>
              <w:left w:w="108" w:type="dxa"/>
              <w:right w:w="108" w:type="dxa"/>
            </w:tcMar>
            <w:vAlign w:val="center"/>
          </w:tcPr>
          <w:p w14:paraId="249F1DFD"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lastRenderedPageBreak/>
              <w:t xml:space="preserve">Gozde </w:t>
            </w:r>
          </w:p>
        </w:tc>
        <w:tc>
          <w:tcPr>
            <w:tcW w:w="1838" w:type="dxa"/>
            <w:tcMar>
              <w:left w:w="108" w:type="dxa"/>
              <w:right w:w="108" w:type="dxa"/>
            </w:tcMar>
            <w:vAlign w:val="center"/>
          </w:tcPr>
          <w:p w14:paraId="074E3A05"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Ertemir</w:t>
            </w:r>
          </w:p>
        </w:tc>
        <w:tc>
          <w:tcPr>
            <w:tcW w:w="2227" w:type="dxa"/>
            <w:tcMar>
              <w:left w:w="108" w:type="dxa"/>
              <w:right w:w="108" w:type="dxa"/>
            </w:tcMar>
            <w:vAlign w:val="center"/>
          </w:tcPr>
          <w:p w14:paraId="5F1493C0"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MENR</w:t>
            </w:r>
          </w:p>
        </w:tc>
        <w:tc>
          <w:tcPr>
            <w:tcW w:w="7346" w:type="dxa"/>
            <w:tcMar>
              <w:left w:w="108" w:type="dxa"/>
              <w:right w:w="108" w:type="dxa"/>
            </w:tcMar>
            <w:vAlign w:val="center"/>
          </w:tcPr>
          <w:p w14:paraId="337526F6"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Department of Foreign Investment Coordination</w:t>
            </w:r>
          </w:p>
        </w:tc>
      </w:tr>
      <w:tr w:rsidR="000C5237" w:rsidRPr="0043215C" w14:paraId="3B129FB8" w14:textId="77777777" w:rsidTr="00691A10">
        <w:trPr>
          <w:trHeight w:val="285"/>
        </w:trPr>
        <w:tc>
          <w:tcPr>
            <w:tcW w:w="1605" w:type="dxa"/>
            <w:shd w:val="clear" w:color="auto" w:fill="D9D9D9" w:themeFill="background1" w:themeFillShade="D9"/>
            <w:tcMar>
              <w:left w:w="108" w:type="dxa"/>
              <w:right w:w="108" w:type="dxa"/>
            </w:tcMar>
            <w:vAlign w:val="center"/>
          </w:tcPr>
          <w:p w14:paraId="170FE534"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1838" w:type="dxa"/>
            <w:shd w:val="clear" w:color="auto" w:fill="D9D9D9" w:themeFill="background1" w:themeFillShade="D9"/>
            <w:tcMar>
              <w:left w:w="108" w:type="dxa"/>
              <w:right w:w="108" w:type="dxa"/>
            </w:tcMar>
            <w:vAlign w:val="center"/>
          </w:tcPr>
          <w:p w14:paraId="57D8AC25"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2227" w:type="dxa"/>
            <w:shd w:val="clear" w:color="auto" w:fill="D9D9D9" w:themeFill="background1" w:themeFillShade="D9"/>
            <w:tcMar>
              <w:left w:w="108" w:type="dxa"/>
              <w:right w:w="108" w:type="dxa"/>
            </w:tcMar>
            <w:vAlign w:val="center"/>
          </w:tcPr>
          <w:p w14:paraId="2E50E062"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 xml:space="preserve"> </w:t>
            </w:r>
          </w:p>
        </w:tc>
        <w:tc>
          <w:tcPr>
            <w:tcW w:w="7346" w:type="dxa"/>
            <w:shd w:val="clear" w:color="auto" w:fill="D9D9D9" w:themeFill="background1" w:themeFillShade="D9"/>
            <w:tcMar>
              <w:left w:w="108" w:type="dxa"/>
              <w:right w:w="108" w:type="dxa"/>
            </w:tcMar>
            <w:vAlign w:val="center"/>
          </w:tcPr>
          <w:p w14:paraId="6FBCDA61"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r>
      <w:tr w:rsidR="000C5237" w:rsidRPr="0043215C" w14:paraId="49FC9C9B" w14:textId="77777777" w:rsidTr="00691A10">
        <w:trPr>
          <w:trHeight w:val="285"/>
        </w:trPr>
        <w:tc>
          <w:tcPr>
            <w:tcW w:w="1605" w:type="dxa"/>
            <w:tcMar>
              <w:left w:w="108" w:type="dxa"/>
              <w:right w:w="108" w:type="dxa"/>
            </w:tcMar>
            <w:vAlign w:val="center"/>
          </w:tcPr>
          <w:p w14:paraId="54861FA6" w14:textId="77777777" w:rsidR="000C5237" w:rsidRPr="0043215C" w:rsidRDefault="00A908AC" w:rsidP="00691A10">
            <w:pPr>
              <w:spacing w:after="0"/>
              <w:rPr>
                <w:rFonts w:cstheme="minorHAnsi"/>
                <w:sz w:val="20"/>
                <w:szCs w:val="20"/>
              </w:rPr>
            </w:pPr>
            <w:hyperlink r:id="rId22">
              <w:r w:rsidR="000C5237" w:rsidRPr="0043215C">
                <w:rPr>
                  <w:rStyle w:val="Hyperlink"/>
                  <w:rFonts w:eastAsia="Aptos" w:cstheme="minorHAnsi"/>
                  <w:color w:val="000000" w:themeColor="text1"/>
                  <w:sz w:val="20"/>
                  <w:szCs w:val="20"/>
                  <w:u w:val="none"/>
                </w:rPr>
                <w:t>Nevin</w:t>
              </w:r>
            </w:hyperlink>
          </w:p>
        </w:tc>
        <w:tc>
          <w:tcPr>
            <w:tcW w:w="1838" w:type="dxa"/>
            <w:tcMar>
              <w:left w:w="108" w:type="dxa"/>
              <w:right w:w="108" w:type="dxa"/>
            </w:tcMar>
            <w:vAlign w:val="center"/>
          </w:tcPr>
          <w:p w14:paraId="3878F9EC"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Erturk</w:t>
            </w:r>
            <w:proofErr w:type="spellEnd"/>
          </w:p>
        </w:tc>
        <w:tc>
          <w:tcPr>
            <w:tcW w:w="2227" w:type="dxa"/>
            <w:tcMar>
              <w:left w:w="108" w:type="dxa"/>
              <w:right w:w="108" w:type="dxa"/>
            </w:tcMar>
            <w:vAlign w:val="center"/>
          </w:tcPr>
          <w:p w14:paraId="1418ABAD" w14:textId="2027CB28" w:rsidR="000C5237" w:rsidRPr="0043215C" w:rsidRDefault="002B50C9" w:rsidP="00691A10">
            <w:pPr>
              <w:spacing w:after="0"/>
              <w:jc w:val="center"/>
              <w:rPr>
                <w:rFonts w:cstheme="minorHAnsi"/>
                <w:sz w:val="20"/>
                <w:szCs w:val="20"/>
              </w:rPr>
            </w:pPr>
            <w:r w:rsidRPr="0043215C">
              <w:rPr>
                <w:rFonts w:eastAsia="Aptos" w:cstheme="minorHAnsi"/>
                <w:color w:val="000000" w:themeColor="text1"/>
                <w:sz w:val="20"/>
                <w:szCs w:val="20"/>
              </w:rPr>
              <w:t>TEİAŞ</w:t>
            </w:r>
          </w:p>
        </w:tc>
        <w:tc>
          <w:tcPr>
            <w:tcW w:w="7346" w:type="dxa"/>
            <w:tcMar>
              <w:left w:w="108" w:type="dxa"/>
              <w:right w:w="108" w:type="dxa"/>
            </w:tcMar>
            <w:vAlign w:val="center"/>
          </w:tcPr>
          <w:p w14:paraId="117ED6A1"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Head of PIU</w:t>
            </w:r>
          </w:p>
        </w:tc>
      </w:tr>
      <w:tr w:rsidR="000C5237" w:rsidRPr="0043215C" w14:paraId="5B420147" w14:textId="77777777" w:rsidTr="00691A10">
        <w:trPr>
          <w:trHeight w:val="285"/>
        </w:trPr>
        <w:tc>
          <w:tcPr>
            <w:tcW w:w="1605" w:type="dxa"/>
            <w:tcMar>
              <w:left w:w="108" w:type="dxa"/>
              <w:right w:w="108" w:type="dxa"/>
            </w:tcMar>
            <w:vAlign w:val="center"/>
          </w:tcPr>
          <w:p w14:paraId="7B10B009" w14:textId="77777777" w:rsidR="000C5237" w:rsidRPr="0043215C" w:rsidRDefault="00A908AC" w:rsidP="00691A10">
            <w:pPr>
              <w:spacing w:after="0"/>
              <w:rPr>
                <w:rFonts w:cstheme="minorHAnsi"/>
                <w:sz w:val="20"/>
                <w:szCs w:val="20"/>
              </w:rPr>
            </w:pPr>
            <w:hyperlink r:id="rId23">
              <w:r w:rsidR="000C5237" w:rsidRPr="0043215C">
                <w:rPr>
                  <w:rStyle w:val="Hyperlink"/>
                  <w:rFonts w:eastAsia="Aptos" w:cstheme="minorHAnsi"/>
                  <w:color w:val="000000" w:themeColor="text1"/>
                  <w:sz w:val="20"/>
                  <w:szCs w:val="20"/>
                  <w:u w:val="none"/>
                </w:rPr>
                <w:t>Serhat</w:t>
              </w:r>
            </w:hyperlink>
          </w:p>
        </w:tc>
        <w:tc>
          <w:tcPr>
            <w:tcW w:w="1838" w:type="dxa"/>
            <w:tcMar>
              <w:left w:w="108" w:type="dxa"/>
              <w:right w:w="108" w:type="dxa"/>
            </w:tcMar>
            <w:vAlign w:val="center"/>
          </w:tcPr>
          <w:p w14:paraId="4A3E3F48"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Metin</w:t>
            </w:r>
          </w:p>
        </w:tc>
        <w:tc>
          <w:tcPr>
            <w:tcW w:w="2227" w:type="dxa"/>
            <w:tcMar>
              <w:left w:w="108" w:type="dxa"/>
              <w:right w:w="108" w:type="dxa"/>
            </w:tcMar>
            <w:vAlign w:val="center"/>
          </w:tcPr>
          <w:p w14:paraId="510E8A4B" w14:textId="4E3B760F" w:rsidR="000C5237" w:rsidRPr="0043215C" w:rsidRDefault="002B50C9" w:rsidP="00691A10">
            <w:pPr>
              <w:spacing w:after="0"/>
              <w:jc w:val="center"/>
              <w:rPr>
                <w:rFonts w:cstheme="minorHAnsi"/>
                <w:sz w:val="20"/>
                <w:szCs w:val="20"/>
              </w:rPr>
            </w:pPr>
            <w:r w:rsidRPr="0043215C">
              <w:rPr>
                <w:rFonts w:eastAsia="Aptos" w:cstheme="minorHAnsi"/>
                <w:color w:val="000000" w:themeColor="text1"/>
                <w:sz w:val="20"/>
                <w:szCs w:val="20"/>
              </w:rPr>
              <w:t>TEİAŞ</w:t>
            </w:r>
          </w:p>
        </w:tc>
        <w:tc>
          <w:tcPr>
            <w:tcW w:w="7346" w:type="dxa"/>
            <w:tcMar>
              <w:left w:w="108" w:type="dxa"/>
              <w:right w:w="108" w:type="dxa"/>
            </w:tcMar>
            <w:vAlign w:val="center"/>
          </w:tcPr>
          <w:p w14:paraId="35DC309F"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Head of Planning and Investment Management</w:t>
            </w:r>
          </w:p>
        </w:tc>
      </w:tr>
      <w:tr w:rsidR="000C5237" w:rsidRPr="0043215C" w14:paraId="38FBA9F1" w14:textId="77777777" w:rsidTr="00691A10">
        <w:trPr>
          <w:trHeight w:val="285"/>
        </w:trPr>
        <w:tc>
          <w:tcPr>
            <w:tcW w:w="1605" w:type="dxa"/>
            <w:tcMar>
              <w:left w:w="108" w:type="dxa"/>
              <w:right w:w="108" w:type="dxa"/>
            </w:tcMar>
            <w:vAlign w:val="center"/>
          </w:tcPr>
          <w:p w14:paraId="0E37DF81" w14:textId="77777777" w:rsidR="000C5237" w:rsidRPr="0043215C" w:rsidRDefault="00A908AC" w:rsidP="00691A10">
            <w:pPr>
              <w:spacing w:after="0"/>
              <w:rPr>
                <w:rFonts w:cstheme="minorHAnsi"/>
                <w:sz w:val="20"/>
                <w:szCs w:val="20"/>
              </w:rPr>
            </w:pPr>
            <w:hyperlink r:id="rId24">
              <w:r w:rsidR="000C5237" w:rsidRPr="0043215C">
                <w:rPr>
                  <w:rStyle w:val="Hyperlink"/>
                  <w:rFonts w:eastAsia="Aptos" w:cstheme="minorHAnsi"/>
                  <w:color w:val="000000" w:themeColor="text1"/>
                  <w:sz w:val="20"/>
                  <w:szCs w:val="20"/>
                  <w:u w:val="none"/>
                </w:rPr>
                <w:t>Murat</w:t>
              </w:r>
            </w:hyperlink>
          </w:p>
        </w:tc>
        <w:tc>
          <w:tcPr>
            <w:tcW w:w="1838" w:type="dxa"/>
            <w:tcMar>
              <w:left w:w="108" w:type="dxa"/>
              <w:right w:w="108" w:type="dxa"/>
            </w:tcMar>
            <w:vAlign w:val="center"/>
          </w:tcPr>
          <w:p w14:paraId="1086221F"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Akgunduz</w:t>
            </w:r>
          </w:p>
        </w:tc>
        <w:tc>
          <w:tcPr>
            <w:tcW w:w="2227" w:type="dxa"/>
            <w:tcMar>
              <w:left w:w="108" w:type="dxa"/>
              <w:right w:w="108" w:type="dxa"/>
            </w:tcMar>
            <w:vAlign w:val="center"/>
          </w:tcPr>
          <w:p w14:paraId="04D7B2F7" w14:textId="0B9BB219" w:rsidR="000C5237" w:rsidRPr="0043215C" w:rsidRDefault="002B50C9" w:rsidP="00691A10">
            <w:pPr>
              <w:spacing w:after="0"/>
              <w:jc w:val="center"/>
              <w:rPr>
                <w:rFonts w:cstheme="minorHAnsi"/>
                <w:sz w:val="20"/>
                <w:szCs w:val="20"/>
              </w:rPr>
            </w:pPr>
            <w:r w:rsidRPr="0043215C">
              <w:rPr>
                <w:rFonts w:eastAsia="Aptos" w:cstheme="minorHAnsi"/>
                <w:color w:val="000000" w:themeColor="text1"/>
                <w:sz w:val="20"/>
                <w:szCs w:val="20"/>
              </w:rPr>
              <w:t>TEİAŞ</w:t>
            </w:r>
          </w:p>
        </w:tc>
        <w:tc>
          <w:tcPr>
            <w:tcW w:w="7346" w:type="dxa"/>
            <w:tcMar>
              <w:left w:w="108" w:type="dxa"/>
              <w:right w:w="108" w:type="dxa"/>
            </w:tcMar>
            <w:vAlign w:val="center"/>
          </w:tcPr>
          <w:p w14:paraId="61F96DF1"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Manager of Expense Accruals</w:t>
            </w:r>
          </w:p>
        </w:tc>
      </w:tr>
      <w:tr w:rsidR="000C5237" w:rsidRPr="0043215C" w14:paraId="547930AE" w14:textId="77777777" w:rsidTr="00691A10">
        <w:trPr>
          <w:trHeight w:val="285"/>
        </w:trPr>
        <w:tc>
          <w:tcPr>
            <w:tcW w:w="1605" w:type="dxa"/>
            <w:shd w:val="clear" w:color="auto" w:fill="D9D9D9" w:themeFill="background1" w:themeFillShade="D9"/>
            <w:tcMar>
              <w:left w:w="108" w:type="dxa"/>
              <w:right w:w="108" w:type="dxa"/>
            </w:tcMar>
            <w:vAlign w:val="center"/>
          </w:tcPr>
          <w:p w14:paraId="29B351E7" w14:textId="77777777" w:rsidR="000C5237" w:rsidRPr="0043215C" w:rsidRDefault="000C5237" w:rsidP="00691A10">
            <w:pPr>
              <w:spacing w:after="0"/>
              <w:rPr>
                <w:rFonts w:cstheme="minorHAnsi"/>
                <w:sz w:val="20"/>
                <w:szCs w:val="20"/>
              </w:rPr>
            </w:pPr>
            <w:r w:rsidRPr="0043215C">
              <w:rPr>
                <w:rFonts w:eastAsia="Aptos" w:cstheme="minorHAnsi"/>
                <w:b/>
                <w:bCs/>
                <w:color w:val="000000" w:themeColor="text1"/>
                <w:sz w:val="20"/>
                <w:szCs w:val="20"/>
              </w:rPr>
              <w:t xml:space="preserve"> </w:t>
            </w:r>
          </w:p>
        </w:tc>
        <w:tc>
          <w:tcPr>
            <w:tcW w:w="1838" w:type="dxa"/>
            <w:shd w:val="clear" w:color="auto" w:fill="D9D9D9" w:themeFill="background1" w:themeFillShade="D9"/>
            <w:tcMar>
              <w:left w:w="108" w:type="dxa"/>
              <w:right w:w="108" w:type="dxa"/>
            </w:tcMar>
            <w:vAlign w:val="center"/>
          </w:tcPr>
          <w:p w14:paraId="5F59CC1B"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2227" w:type="dxa"/>
            <w:shd w:val="clear" w:color="auto" w:fill="D9D9D9" w:themeFill="background1" w:themeFillShade="D9"/>
            <w:tcMar>
              <w:left w:w="108" w:type="dxa"/>
              <w:right w:w="108" w:type="dxa"/>
            </w:tcMar>
            <w:vAlign w:val="center"/>
          </w:tcPr>
          <w:p w14:paraId="12F802B3"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 xml:space="preserve"> </w:t>
            </w:r>
          </w:p>
        </w:tc>
        <w:tc>
          <w:tcPr>
            <w:tcW w:w="7346" w:type="dxa"/>
            <w:shd w:val="clear" w:color="auto" w:fill="D9D9D9" w:themeFill="background1" w:themeFillShade="D9"/>
            <w:tcMar>
              <w:left w:w="108" w:type="dxa"/>
              <w:right w:w="108" w:type="dxa"/>
            </w:tcMar>
            <w:vAlign w:val="center"/>
          </w:tcPr>
          <w:p w14:paraId="4F8C4D2A"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r>
      <w:tr w:rsidR="000C5237" w:rsidRPr="0043215C" w14:paraId="74A5FEF2" w14:textId="77777777" w:rsidTr="00691A10">
        <w:trPr>
          <w:trHeight w:val="285"/>
        </w:trPr>
        <w:tc>
          <w:tcPr>
            <w:tcW w:w="1605" w:type="dxa"/>
            <w:tcMar>
              <w:left w:w="108" w:type="dxa"/>
              <w:right w:w="108" w:type="dxa"/>
            </w:tcMar>
            <w:vAlign w:val="center"/>
          </w:tcPr>
          <w:p w14:paraId="484D56AE" w14:textId="77777777" w:rsidR="000C5237" w:rsidRPr="0043215C" w:rsidRDefault="000C5237" w:rsidP="00691A10">
            <w:pPr>
              <w:spacing w:after="0"/>
              <w:rPr>
                <w:rStyle w:val="Hyperlink"/>
                <w:rFonts w:eastAsia="Aptos" w:cstheme="minorHAnsi"/>
                <w:color w:val="000000" w:themeColor="text1"/>
                <w:sz w:val="20"/>
                <w:szCs w:val="20"/>
                <w:u w:val="none"/>
              </w:rPr>
            </w:pPr>
            <w:r w:rsidRPr="0043215C">
              <w:rPr>
                <w:rStyle w:val="Hyperlink"/>
                <w:rFonts w:eastAsia="Aptos" w:cstheme="minorHAnsi"/>
                <w:color w:val="000000" w:themeColor="text1"/>
                <w:sz w:val="20"/>
                <w:szCs w:val="20"/>
                <w:u w:val="none"/>
              </w:rPr>
              <w:t xml:space="preserve">Yesim </w:t>
            </w:r>
          </w:p>
        </w:tc>
        <w:tc>
          <w:tcPr>
            <w:tcW w:w="1838" w:type="dxa"/>
            <w:tcMar>
              <w:left w:w="108" w:type="dxa"/>
              <w:right w:w="108" w:type="dxa"/>
            </w:tcMar>
            <w:vAlign w:val="center"/>
          </w:tcPr>
          <w:p w14:paraId="5A033863"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Erdemir</w:t>
            </w:r>
            <w:proofErr w:type="spellEnd"/>
          </w:p>
        </w:tc>
        <w:tc>
          <w:tcPr>
            <w:tcW w:w="2227" w:type="dxa"/>
            <w:tcMar>
              <w:left w:w="108" w:type="dxa"/>
              <w:right w:w="108" w:type="dxa"/>
            </w:tcMar>
            <w:vAlign w:val="center"/>
          </w:tcPr>
          <w:p w14:paraId="48970C60"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GURIS</w:t>
            </w:r>
          </w:p>
        </w:tc>
        <w:tc>
          <w:tcPr>
            <w:tcW w:w="7346" w:type="dxa"/>
            <w:tcMar>
              <w:left w:w="108" w:type="dxa"/>
              <w:right w:w="108" w:type="dxa"/>
            </w:tcMar>
            <w:vAlign w:val="center"/>
          </w:tcPr>
          <w:p w14:paraId="65C2939E"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Project Deputy </w:t>
            </w:r>
            <w:proofErr w:type="spellStart"/>
            <w:r w:rsidRPr="0043215C">
              <w:rPr>
                <w:rFonts w:eastAsia="Aptos" w:cstheme="minorHAnsi"/>
                <w:color w:val="000000" w:themeColor="text1"/>
                <w:sz w:val="20"/>
                <w:szCs w:val="20"/>
              </w:rPr>
              <w:t>F'nance</w:t>
            </w:r>
            <w:proofErr w:type="spellEnd"/>
            <w:r w:rsidRPr="0043215C">
              <w:rPr>
                <w:rFonts w:eastAsia="Aptos" w:cstheme="minorHAnsi"/>
                <w:color w:val="000000" w:themeColor="text1"/>
                <w:sz w:val="20"/>
                <w:szCs w:val="20"/>
              </w:rPr>
              <w:t xml:space="preserve"> Manager</w:t>
            </w:r>
          </w:p>
        </w:tc>
      </w:tr>
      <w:tr w:rsidR="000C5237" w:rsidRPr="0043215C" w14:paraId="34C4E7D1" w14:textId="77777777" w:rsidTr="00691A10">
        <w:trPr>
          <w:trHeight w:val="285"/>
        </w:trPr>
        <w:tc>
          <w:tcPr>
            <w:tcW w:w="1605" w:type="dxa"/>
            <w:tcMar>
              <w:left w:w="108" w:type="dxa"/>
              <w:right w:w="108" w:type="dxa"/>
            </w:tcMar>
            <w:vAlign w:val="center"/>
          </w:tcPr>
          <w:p w14:paraId="1F326EFF" w14:textId="77777777" w:rsidR="000C5237" w:rsidRPr="0043215C" w:rsidRDefault="000C5237" w:rsidP="00691A10">
            <w:pPr>
              <w:spacing w:after="0"/>
              <w:rPr>
                <w:rStyle w:val="Hyperlink"/>
                <w:rFonts w:eastAsia="Aptos" w:cstheme="minorHAnsi"/>
                <w:color w:val="000000" w:themeColor="text1"/>
                <w:sz w:val="20"/>
                <w:szCs w:val="20"/>
                <w:u w:val="none"/>
              </w:rPr>
            </w:pPr>
            <w:proofErr w:type="spellStart"/>
            <w:r w:rsidRPr="0043215C">
              <w:rPr>
                <w:rStyle w:val="Hyperlink"/>
                <w:rFonts w:eastAsia="Aptos" w:cstheme="minorHAnsi"/>
                <w:color w:val="000000" w:themeColor="text1"/>
                <w:sz w:val="20"/>
                <w:szCs w:val="20"/>
                <w:u w:val="none"/>
              </w:rPr>
              <w:t>Zeyep</w:t>
            </w:r>
            <w:proofErr w:type="spellEnd"/>
            <w:r w:rsidRPr="0043215C">
              <w:rPr>
                <w:rStyle w:val="Hyperlink"/>
                <w:rFonts w:eastAsia="Aptos" w:cstheme="minorHAnsi"/>
                <w:color w:val="000000" w:themeColor="text1"/>
                <w:sz w:val="20"/>
                <w:szCs w:val="20"/>
                <w:u w:val="none"/>
              </w:rPr>
              <w:t xml:space="preserve"> </w:t>
            </w:r>
          </w:p>
        </w:tc>
        <w:tc>
          <w:tcPr>
            <w:tcW w:w="1838" w:type="dxa"/>
            <w:tcMar>
              <w:left w:w="108" w:type="dxa"/>
              <w:right w:w="108" w:type="dxa"/>
            </w:tcMar>
            <w:vAlign w:val="center"/>
          </w:tcPr>
          <w:p w14:paraId="6CD8E175"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Bodrumlu</w:t>
            </w:r>
            <w:proofErr w:type="spellEnd"/>
            <w:r w:rsidRPr="0043215C">
              <w:rPr>
                <w:rFonts w:eastAsia="Aptos" w:cstheme="minorHAnsi"/>
                <w:color w:val="000000" w:themeColor="text1"/>
                <w:sz w:val="20"/>
                <w:szCs w:val="20"/>
              </w:rPr>
              <w:t xml:space="preserve"> Cetin </w:t>
            </w:r>
          </w:p>
        </w:tc>
        <w:tc>
          <w:tcPr>
            <w:tcW w:w="2227" w:type="dxa"/>
            <w:tcMar>
              <w:left w:w="108" w:type="dxa"/>
              <w:right w:w="108" w:type="dxa"/>
            </w:tcMar>
            <w:vAlign w:val="center"/>
          </w:tcPr>
          <w:p w14:paraId="574E47E1"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GURIS</w:t>
            </w:r>
          </w:p>
        </w:tc>
        <w:tc>
          <w:tcPr>
            <w:tcW w:w="7346" w:type="dxa"/>
            <w:tcMar>
              <w:left w:w="108" w:type="dxa"/>
              <w:right w:w="108" w:type="dxa"/>
            </w:tcMar>
            <w:vAlign w:val="center"/>
          </w:tcPr>
          <w:p w14:paraId="71285EAC"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Project Finance Supervisor</w:t>
            </w:r>
          </w:p>
        </w:tc>
      </w:tr>
      <w:tr w:rsidR="000C5237" w:rsidRPr="0043215C" w14:paraId="122041EA" w14:textId="77777777" w:rsidTr="00691A10">
        <w:trPr>
          <w:trHeight w:val="285"/>
        </w:trPr>
        <w:tc>
          <w:tcPr>
            <w:tcW w:w="1605" w:type="dxa"/>
            <w:tcMar>
              <w:left w:w="108" w:type="dxa"/>
              <w:right w:w="108" w:type="dxa"/>
            </w:tcMar>
            <w:vAlign w:val="center"/>
          </w:tcPr>
          <w:p w14:paraId="00FE162B" w14:textId="77777777" w:rsidR="000C5237" w:rsidRPr="0043215C" w:rsidRDefault="000C5237" w:rsidP="00691A10">
            <w:pPr>
              <w:spacing w:after="0"/>
              <w:rPr>
                <w:rStyle w:val="Hyperlink"/>
                <w:rFonts w:eastAsia="Aptos" w:cstheme="minorHAnsi"/>
                <w:color w:val="000000" w:themeColor="text1"/>
                <w:sz w:val="20"/>
                <w:szCs w:val="20"/>
                <w:u w:val="none"/>
              </w:rPr>
            </w:pPr>
            <w:r w:rsidRPr="0043215C">
              <w:rPr>
                <w:rStyle w:val="Hyperlink"/>
                <w:rFonts w:eastAsia="Aptos" w:cstheme="minorHAnsi"/>
                <w:color w:val="000000" w:themeColor="text1"/>
                <w:sz w:val="20"/>
                <w:szCs w:val="20"/>
                <w:u w:val="none"/>
              </w:rPr>
              <w:t xml:space="preserve">Derya </w:t>
            </w:r>
          </w:p>
        </w:tc>
        <w:tc>
          <w:tcPr>
            <w:tcW w:w="1838" w:type="dxa"/>
            <w:tcMar>
              <w:left w:w="108" w:type="dxa"/>
              <w:right w:w="108" w:type="dxa"/>
            </w:tcMar>
            <w:vAlign w:val="center"/>
          </w:tcPr>
          <w:p w14:paraId="2EA52FE9"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Sozen</w:t>
            </w:r>
            <w:proofErr w:type="spellEnd"/>
            <w:r w:rsidRPr="0043215C">
              <w:rPr>
                <w:rFonts w:eastAsia="Aptos" w:cstheme="minorHAnsi"/>
                <w:color w:val="000000" w:themeColor="text1"/>
                <w:sz w:val="20"/>
                <w:szCs w:val="20"/>
              </w:rPr>
              <w:t xml:space="preserve"> </w:t>
            </w:r>
            <w:proofErr w:type="spellStart"/>
            <w:r w:rsidRPr="0043215C">
              <w:rPr>
                <w:rFonts w:eastAsia="Aptos" w:cstheme="minorHAnsi"/>
                <w:color w:val="000000" w:themeColor="text1"/>
                <w:sz w:val="20"/>
                <w:szCs w:val="20"/>
              </w:rPr>
              <w:t>Onder</w:t>
            </w:r>
            <w:proofErr w:type="spellEnd"/>
            <w:r w:rsidRPr="0043215C">
              <w:rPr>
                <w:rFonts w:eastAsia="Aptos" w:cstheme="minorHAnsi"/>
                <w:color w:val="000000" w:themeColor="text1"/>
                <w:sz w:val="20"/>
                <w:szCs w:val="20"/>
              </w:rPr>
              <w:t xml:space="preserve"> </w:t>
            </w:r>
          </w:p>
        </w:tc>
        <w:tc>
          <w:tcPr>
            <w:tcW w:w="2227" w:type="dxa"/>
            <w:tcMar>
              <w:left w:w="108" w:type="dxa"/>
              <w:right w:w="108" w:type="dxa"/>
            </w:tcMar>
            <w:vAlign w:val="center"/>
          </w:tcPr>
          <w:p w14:paraId="122BD1A5"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GURIS</w:t>
            </w:r>
          </w:p>
        </w:tc>
        <w:tc>
          <w:tcPr>
            <w:tcW w:w="7346" w:type="dxa"/>
            <w:tcMar>
              <w:left w:w="108" w:type="dxa"/>
              <w:right w:w="108" w:type="dxa"/>
            </w:tcMar>
            <w:vAlign w:val="center"/>
          </w:tcPr>
          <w:p w14:paraId="3616574F"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Project Finance Supervisor</w:t>
            </w:r>
          </w:p>
        </w:tc>
      </w:tr>
      <w:tr w:rsidR="000C5237" w:rsidRPr="0043215C" w14:paraId="58C97C02" w14:textId="77777777" w:rsidTr="00691A10">
        <w:trPr>
          <w:trHeight w:val="285"/>
        </w:trPr>
        <w:tc>
          <w:tcPr>
            <w:tcW w:w="1605" w:type="dxa"/>
            <w:shd w:val="clear" w:color="auto" w:fill="D9D9D9" w:themeFill="background1" w:themeFillShade="D9"/>
            <w:tcMar>
              <w:left w:w="108" w:type="dxa"/>
              <w:right w:w="108" w:type="dxa"/>
            </w:tcMar>
            <w:vAlign w:val="center"/>
          </w:tcPr>
          <w:p w14:paraId="7A8D5F75"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1838" w:type="dxa"/>
            <w:shd w:val="clear" w:color="auto" w:fill="D9D9D9" w:themeFill="background1" w:themeFillShade="D9"/>
            <w:tcMar>
              <w:left w:w="108" w:type="dxa"/>
              <w:right w:w="108" w:type="dxa"/>
            </w:tcMar>
            <w:vAlign w:val="center"/>
          </w:tcPr>
          <w:p w14:paraId="1C940737"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2227" w:type="dxa"/>
            <w:shd w:val="clear" w:color="auto" w:fill="D9D9D9" w:themeFill="background1" w:themeFillShade="D9"/>
            <w:tcMar>
              <w:left w:w="108" w:type="dxa"/>
              <w:right w:w="108" w:type="dxa"/>
            </w:tcMar>
            <w:vAlign w:val="center"/>
          </w:tcPr>
          <w:p w14:paraId="75E57842"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 xml:space="preserve"> </w:t>
            </w:r>
          </w:p>
        </w:tc>
        <w:tc>
          <w:tcPr>
            <w:tcW w:w="7346" w:type="dxa"/>
            <w:shd w:val="clear" w:color="auto" w:fill="D9D9D9" w:themeFill="background1" w:themeFillShade="D9"/>
            <w:tcMar>
              <w:left w:w="108" w:type="dxa"/>
              <w:right w:w="108" w:type="dxa"/>
            </w:tcMar>
            <w:vAlign w:val="center"/>
          </w:tcPr>
          <w:p w14:paraId="7F436D6A"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r>
      <w:tr w:rsidR="000C5237" w:rsidRPr="0043215C" w14:paraId="7AAB077D" w14:textId="77777777" w:rsidTr="00691A10">
        <w:trPr>
          <w:trHeight w:val="285"/>
        </w:trPr>
        <w:tc>
          <w:tcPr>
            <w:tcW w:w="1605" w:type="dxa"/>
            <w:tcMar>
              <w:left w:w="108" w:type="dxa"/>
              <w:right w:w="108" w:type="dxa"/>
            </w:tcMar>
            <w:vAlign w:val="center"/>
          </w:tcPr>
          <w:p w14:paraId="44A74659"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Yücel</w:t>
            </w:r>
            <w:proofErr w:type="spellEnd"/>
          </w:p>
        </w:tc>
        <w:tc>
          <w:tcPr>
            <w:tcW w:w="1838" w:type="dxa"/>
            <w:tcMar>
              <w:left w:w="108" w:type="dxa"/>
              <w:right w:w="108" w:type="dxa"/>
            </w:tcMar>
            <w:vAlign w:val="center"/>
          </w:tcPr>
          <w:p w14:paraId="60429434"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Kartal</w:t>
            </w:r>
            <w:proofErr w:type="spellEnd"/>
          </w:p>
        </w:tc>
        <w:tc>
          <w:tcPr>
            <w:tcW w:w="2227" w:type="dxa"/>
            <w:tcMar>
              <w:left w:w="108" w:type="dxa"/>
              <w:right w:w="108" w:type="dxa"/>
            </w:tcMar>
            <w:vAlign w:val="center"/>
          </w:tcPr>
          <w:p w14:paraId="753C80DB"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EUAS</w:t>
            </w:r>
          </w:p>
        </w:tc>
        <w:tc>
          <w:tcPr>
            <w:tcW w:w="7346" w:type="dxa"/>
            <w:tcMar>
              <w:left w:w="108" w:type="dxa"/>
              <w:right w:w="108" w:type="dxa"/>
            </w:tcMar>
            <w:vAlign w:val="center"/>
          </w:tcPr>
          <w:p w14:paraId="2D2835F7"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Head of Department</w:t>
            </w:r>
          </w:p>
        </w:tc>
      </w:tr>
      <w:tr w:rsidR="000C5237" w:rsidRPr="0043215C" w14:paraId="5D0C5B35" w14:textId="77777777" w:rsidTr="00691A10">
        <w:trPr>
          <w:trHeight w:val="285"/>
        </w:trPr>
        <w:tc>
          <w:tcPr>
            <w:tcW w:w="1605" w:type="dxa"/>
            <w:tcMar>
              <w:left w:w="108" w:type="dxa"/>
              <w:right w:w="108" w:type="dxa"/>
            </w:tcMar>
            <w:vAlign w:val="center"/>
          </w:tcPr>
          <w:p w14:paraId="0E4B408C"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Etem</w:t>
            </w:r>
            <w:proofErr w:type="spellEnd"/>
          </w:p>
        </w:tc>
        <w:tc>
          <w:tcPr>
            <w:tcW w:w="1838" w:type="dxa"/>
            <w:tcMar>
              <w:left w:w="108" w:type="dxa"/>
              <w:right w:w="108" w:type="dxa"/>
            </w:tcMar>
            <w:vAlign w:val="center"/>
          </w:tcPr>
          <w:p w14:paraId="77F7F154"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Camci</w:t>
            </w:r>
            <w:proofErr w:type="spellEnd"/>
          </w:p>
        </w:tc>
        <w:tc>
          <w:tcPr>
            <w:tcW w:w="2227" w:type="dxa"/>
            <w:tcMar>
              <w:left w:w="108" w:type="dxa"/>
              <w:right w:w="108" w:type="dxa"/>
            </w:tcMar>
            <w:vAlign w:val="center"/>
          </w:tcPr>
          <w:p w14:paraId="7DF225BD"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EUAS</w:t>
            </w:r>
          </w:p>
        </w:tc>
        <w:tc>
          <w:tcPr>
            <w:tcW w:w="7346" w:type="dxa"/>
            <w:tcMar>
              <w:left w:w="108" w:type="dxa"/>
              <w:right w:w="108" w:type="dxa"/>
            </w:tcMar>
            <w:vAlign w:val="center"/>
          </w:tcPr>
          <w:p w14:paraId="4D9EB82C"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Head of Department</w:t>
            </w:r>
          </w:p>
        </w:tc>
      </w:tr>
      <w:tr w:rsidR="000C5237" w:rsidRPr="0043215C" w14:paraId="6509E3B6" w14:textId="77777777" w:rsidTr="00691A10">
        <w:trPr>
          <w:trHeight w:val="285"/>
        </w:trPr>
        <w:tc>
          <w:tcPr>
            <w:tcW w:w="1605" w:type="dxa"/>
            <w:shd w:val="clear" w:color="auto" w:fill="D9D9D9" w:themeFill="background1" w:themeFillShade="D9"/>
            <w:tcMar>
              <w:left w:w="108" w:type="dxa"/>
              <w:right w:w="108" w:type="dxa"/>
            </w:tcMar>
            <w:vAlign w:val="center"/>
          </w:tcPr>
          <w:p w14:paraId="3E13D752"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1838" w:type="dxa"/>
            <w:shd w:val="clear" w:color="auto" w:fill="D9D9D9" w:themeFill="background1" w:themeFillShade="D9"/>
            <w:tcMar>
              <w:left w:w="108" w:type="dxa"/>
              <w:right w:w="108" w:type="dxa"/>
            </w:tcMar>
            <w:vAlign w:val="bottom"/>
          </w:tcPr>
          <w:p w14:paraId="1A38412E"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2227" w:type="dxa"/>
            <w:shd w:val="clear" w:color="auto" w:fill="D9D9D9" w:themeFill="background1" w:themeFillShade="D9"/>
            <w:tcMar>
              <w:left w:w="108" w:type="dxa"/>
              <w:right w:w="108" w:type="dxa"/>
            </w:tcMar>
            <w:vAlign w:val="bottom"/>
          </w:tcPr>
          <w:p w14:paraId="7B2933C2"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c>
          <w:tcPr>
            <w:tcW w:w="7346" w:type="dxa"/>
            <w:shd w:val="clear" w:color="auto" w:fill="D9D9D9" w:themeFill="background1" w:themeFillShade="D9"/>
            <w:tcMar>
              <w:left w:w="108" w:type="dxa"/>
              <w:right w:w="108" w:type="dxa"/>
            </w:tcMar>
            <w:vAlign w:val="center"/>
          </w:tcPr>
          <w:p w14:paraId="76B3A690"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r>
      <w:tr w:rsidR="000C5237" w:rsidRPr="0043215C" w14:paraId="309B7EF4" w14:textId="77777777" w:rsidTr="00691A10">
        <w:trPr>
          <w:trHeight w:val="285"/>
        </w:trPr>
        <w:tc>
          <w:tcPr>
            <w:tcW w:w="1605" w:type="dxa"/>
            <w:tcMar>
              <w:left w:w="108" w:type="dxa"/>
              <w:right w:w="108" w:type="dxa"/>
            </w:tcMar>
            <w:vAlign w:val="center"/>
          </w:tcPr>
          <w:p w14:paraId="4771B1A1"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Esma</w:t>
            </w:r>
            <w:proofErr w:type="spellEnd"/>
            <w:r w:rsidRPr="0043215C">
              <w:rPr>
                <w:rFonts w:eastAsia="Aptos" w:cstheme="minorHAnsi"/>
                <w:color w:val="000000" w:themeColor="text1"/>
                <w:sz w:val="20"/>
                <w:szCs w:val="20"/>
              </w:rPr>
              <w:t xml:space="preserve"> </w:t>
            </w:r>
          </w:p>
        </w:tc>
        <w:tc>
          <w:tcPr>
            <w:tcW w:w="1838" w:type="dxa"/>
            <w:tcMar>
              <w:left w:w="108" w:type="dxa"/>
              <w:right w:w="108" w:type="dxa"/>
            </w:tcMar>
            <w:vAlign w:val="center"/>
          </w:tcPr>
          <w:p w14:paraId="6FB858A2"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Dilek</w:t>
            </w:r>
          </w:p>
        </w:tc>
        <w:tc>
          <w:tcPr>
            <w:tcW w:w="2227" w:type="dxa"/>
            <w:tcMar>
              <w:left w:w="108" w:type="dxa"/>
              <w:right w:w="108" w:type="dxa"/>
            </w:tcMar>
            <w:vAlign w:val="center"/>
          </w:tcPr>
          <w:p w14:paraId="0E2D3551"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UAB</w:t>
            </w:r>
          </w:p>
        </w:tc>
        <w:tc>
          <w:tcPr>
            <w:tcW w:w="7346" w:type="dxa"/>
            <w:shd w:val="clear" w:color="auto" w:fill="FFFFFF" w:themeFill="background1"/>
            <w:tcMar>
              <w:left w:w="108" w:type="dxa"/>
              <w:right w:w="108" w:type="dxa"/>
            </w:tcMar>
            <w:vAlign w:val="center"/>
          </w:tcPr>
          <w:p w14:paraId="77631EA4"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Deputy Director General</w:t>
            </w:r>
          </w:p>
        </w:tc>
      </w:tr>
      <w:tr w:rsidR="000C5237" w:rsidRPr="0043215C" w14:paraId="1C3A9BB5" w14:textId="77777777" w:rsidTr="00691A10">
        <w:trPr>
          <w:trHeight w:val="285"/>
        </w:trPr>
        <w:tc>
          <w:tcPr>
            <w:tcW w:w="1605" w:type="dxa"/>
            <w:tcMar>
              <w:left w:w="108" w:type="dxa"/>
              <w:right w:w="108" w:type="dxa"/>
            </w:tcMar>
            <w:vAlign w:val="center"/>
          </w:tcPr>
          <w:p w14:paraId="58621667"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Murat Mustafa </w:t>
            </w:r>
          </w:p>
        </w:tc>
        <w:tc>
          <w:tcPr>
            <w:tcW w:w="1838" w:type="dxa"/>
            <w:tcMar>
              <w:left w:w="108" w:type="dxa"/>
              <w:right w:w="108" w:type="dxa"/>
            </w:tcMar>
            <w:vAlign w:val="center"/>
          </w:tcPr>
          <w:p w14:paraId="46025D5C"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Harman</w:t>
            </w:r>
          </w:p>
        </w:tc>
        <w:tc>
          <w:tcPr>
            <w:tcW w:w="2227" w:type="dxa"/>
            <w:tcMar>
              <w:left w:w="108" w:type="dxa"/>
              <w:right w:w="108" w:type="dxa"/>
            </w:tcMar>
            <w:vAlign w:val="center"/>
          </w:tcPr>
          <w:p w14:paraId="63C47A7F"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UAB</w:t>
            </w:r>
          </w:p>
        </w:tc>
        <w:tc>
          <w:tcPr>
            <w:tcW w:w="7346" w:type="dxa"/>
            <w:shd w:val="clear" w:color="auto" w:fill="FFFFFF" w:themeFill="background1"/>
            <w:tcMar>
              <w:left w:w="108" w:type="dxa"/>
              <w:right w:w="108" w:type="dxa"/>
            </w:tcMar>
            <w:vAlign w:val="center"/>
          </w:tcPr>
          <w:p w14:paraId="039C3F72"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 xml:space="preserve"> </w:t>
            </w:r>
          </w:p>
        </w:tc>
      </w:tr>
      <w:tr w:rsidR="000C5237" w:rsidRPr="0043215C" w14:paraId="3898134B" w14:textId="77777777" w:rsidTr="00691A10">
        <w:trPr>
          <w:trHeight w:val="285"/>
        </w:trPr>
        <w:tc>
          <w:tcPr>
            <w:tcW w:w="1605" w:type="dxa"/>
            <w:tcMar>
              <w:left w:w="108" w:type="dxa"/>
              <w:right w:w="108" w:type="dxa"/>
            </w:tcMar>
            <w:vAlign w:val="center"/>
          </w:tcPr>
          <w:p w14:paraId="0F743770" w14:textId="77777777" w:rsidR="000C5237" w:rsidRPr="0043215C" w:rsidRDefault="000C5237" w:rsidP="00691A10">
            <w:pPr>
              <w:spacing w:after="0"/>
              <w:rPr>
                <w:rFonts w:cstheme="minorHAnsi"/>
                <w:sz w:val="20"/>
                <w:szCs w:val="20"/>
              </w:rPr>
            </w:pPr>
            <w:r w:rsidRPr="0043215C">
              <w:rPr>
                <w:rFonts w:eastAsia="Aptos" w:cstheme="minorHAnsi"/>
                <w:color w:val="000000" w:themeColor="text1"/>
                <w:sz w:val="20"/>
                <w:szCs w:val="20"/>
              </w:rPr>
              <w:t>Ozgur</w:t>
            </w:r>
          </w:p>
        </w:tc>
        <w:tc>
          <w:tcPr>
            <w:tcW w:w="1838" w:type="dxa"/>
            <w:tcMar>
              <w:left w:w="108" w:type="dxa"/>
              <w:right w:w="108" w:type="dxa"/>
            </w:tcMar>
            <w:vAlign w:val="center"/>
          </w:tcPr>
          <w:p w14:paraId="787F7E81" w14:textId="77777777" w:rsidR="000C5237" w:rsidRPr="0043215C" w:rsidRDefault="000C5237" w:rsidP="00691A10">
            <w:pPr>
              <w:spacing w:after="0"/>
              <w:rPr>
                <w:rFonts w:cstheme="minorHAnsi"/>
                <w:sz w:val="20"/>
                <w:szCs w:val="20"/>
              </w:rPr>
            </w:pPr>
            <w:proofErr w:type="spellStart"/>
            <w:r w:rsidRPr="0043215C">
              <w:rPr>
                <w:rFonts w:eastAsia="Aptos" w:cstheme="minorHAnsi"/>
                <w:color w:val="000000" w:themeColor="text1"/>
                <w:sz w:val="20"/>
                <w:szCs w:val="20"/>
              </w:rPr>
              <w:t>Talih</w:t>
            </w:r>
            <w:proofErr w:type="spellEnd"/>
          </w:p>
        </w:tc>
        <w:tc>
          <w:tcPr>
            <w:tcW w:w="2227" w:type="dxa"/>
            <w:tcMar>
              <w:left w:w="108" w:type="dxa"/>
              <w:right w:w="108" w:type="dxa"/>
            </w:tcMar>
            <w:vAlign w:val="center"/>
          </w:tcPr>
          <w:p w14:paraId="4E250B41" w14:textId="77777777" w:rsidR="000C5237" w:rsidRPr="0043215C" w:rsidRDefault="000C5237" w:rsidP="00691A10">
            <w:pPr>
              <w:spacing w:after="0"/>
              <w:jc w:val="center"/>
              <w:rPr>
                <w:rFonts w:cstheme="minorHAnsi"/>
                <w:sz w:val="20"/>
                <w:szCs w:val="20"/>
              </w:rPr>
            </w:pPr>
            <w:r w:rsidRPr="0043215C">
              <w:rPr>
                <w:rFonts w:eastAsia="Aptos" w:cstheme="minorHAnsi"/>
                <w:color w:val="000000" w:themeColor="text1"/>
                <w:sz w:val="20"/>
                <w:szCs w:val="20"/>
              </w:rPr>
              <w:t>UAB</w:t>
            </w:r>
          </w:p>
        </w:tc>
        <w:tc>
          <w:tcPr>
            <w:tcW w:w="7346" w:type="dxa"/>
            <w:shd w:val="clear" w:color="auto" w:fill="FFFFFF" w:themeFill="background1"/>
            <w:tcMar>
              <w:left w:w="108" w:type="dxa"/>
              <w:right w:w="108" w:type="dxa"/>
            </w:tcMar>
            <w:vAlign w:val="center"/>
          </w:tcPr>
          <w:p w14:paraId="7E2DA822" w14:textId="77777777" w:rsidR="000C5237" w:rsidRPr="0043215C" w:rsidRDefault="000C5237" w:rsidP="00691A10">
            <w:pPr>
              <w:spacing w:after="0"/>
              <w:rPr>
                <w:rFonts w:eastAsia="Aptos" w:cstheme="minorHAnsi"/>
                <w:color w:val="000000" w:themeColor="text1"/>
                <w:sz w:val="20"/>
                <w:szCs w:val="20"/>
              </w:rPr>
            </w:pPr>
          </w:p>
        </w:tc>
      </w:tr>
    </w:tbl>
    <w:p w14:paraId="7EA03820" w14:textId="77777777" w:rsidR="003F3CE7" w:rsidRPr="0043215C" w:rsidRDefault="003F3CE7" w:rsidP="00D52D26">
      <w:pPr>
        <w:spacing w:after="0"/>
        <w:rPr>
          <w:rFonts w:cstheme="minorHAnsi"/>
          <w:b/>
          <w:sz w:val="20"/>
          <w:szCs w:val="20"/>
        </w:rPr>
        <w:sectPr w:rsidR="003F3CE7" w:rsidRPr="0043215C" w:rsidSect="00182F4F">
          <w:pgSz w:w="15840" w:h="12240" w:orient="landscape"/>
          <w:pgMar w:top="1440" w:right="1440" w:bottom="1440" w:left="1526" w:header="720" w:footer="720" w:gutter="0"/>
          <w:cols w:space="720"/>
          <w:docGrid w:linePitch="360"/>
        </w:sectPr>
      </w:pPr>
    </w:p>
    <w:p w14:paraId="4DC50D50" w14:textId="5D9ABBFA" w:rsidR="00347F37" w:rsidRPr="0043215C" w:rsidRDefault="00347F37" w:rsidP="00347F37">
      <w:pPr>
        <w:pStyle w:val="Heading3"/>
        <w:rPr>
          <w:rFonts w:cstheme="minorHAnsi"/>
          <w:sz w:val="20"/>
          <w:szCs w:val="20"/>
        </w:rPr>
      </w:pPr>
      <w:bookmarkStart w:id="179" w:name="_Toc162962980"/>
      <w:bookmarkStart w:id="180" w:name="_Toc162964162"/>
      <w:bookmarkStart w:id="181" w:name="_Toc162899064"/>
      <w:bookmarkStart w:id="182" w:name="_Toc170319855"/>
      <w:r w:rsidRPr="0043215C">
        <w:rPr>
          <w:rFonts w:cstheme="minorHAnsi"/>
          <w:sz w:val="20"/>
          <w:szCs w:val="20"/>
        </w:rPr>
        <w:lastRenderedPageBreak/>
        <w:t>ANNEX 7: Existing activities in the field of renewable energy, particularly activities of other development partners</w:t>
      </w:r>
      <w:bookmarkEnd w:id="179"/>
      <w:bookmarkEnd w:id="180"/>
      <w:bookmarkEnd w:id="182"/>
      <w:r w:rsidRPr="0043215C">
        <w:rPr>
          <w:rFonts w:cstheme="minorHAnsi"/>
          <w:sz w:val="20"/>
          <w:szCs w:val="20"/>
        </w:rPr>
        <w:t xml:space="preserve"> </w:t>
      </w:r>
    </w:p>
    <w:p w14:paraId="1B9C8A5C" w14:textId="77777777" w:rsidR="00347F37" w:rsidRPr="0043215C" w:rsidRDefault="00347F37" w:rsidP="00347F37">
      <w:pPr>
        <w:pStyle w:val="paragraph"/>
        <w:numPr>
          <w:ilvl w:val="0"/>
          <w:numId w:val="11"/>
        </w:numPr>
        <w:spacing w:before="120" w:beforeAutospacing="0" w:after="0" w:afterAutospacing="0" w:line="240" w:lineRule="auto"/>
        <w:rPr>
          <w:rFonts w:asciiTheme="minorHAnsi" w:hAnsiTheme="minorHAnsi" w:cstheme="minorHAnsi"/>
          <w:b/>
          <w:bCs/>
          <w:color w:val="000000" w:themeColor="text1"/>
          <w:sz w:val="20"/>
          <w:szCs w:val="20"/>
        </w:rPr>
      </w:pPr>
      <w:r w:rsidRPr="0043215C">
        <w:rPr>
          <w:rFonts w:asciiTheme="minorHAnsi" w:hAnsiTheme="minorHAnsi" w:cstheme="minorHAnsi"/>
          <w:b/>
          <w:bCs/>
          <w:color w:val="000000" w:themeColor="text1"/>
          <w:sz w:val="20"/>
          <w:szCs w:val="20"/>
        </w:rPr>
        <w:t xml:space="preserve">Summary of the World Bank’s Engagement in the Türkiye Energy Sector </w:t>
      </w:r>
    </w:p>
    <w:p w14:paraId="5F74AC29" w14:textId="77777777" w:rsidR="00347F37" w:rsidRPr="0043215C" w:rsidRDefault="00347F37" w:rsidP="00347F37">
      <w:pPr>
        <w:pStyle w:val="paragraph"/>
        <w:spacing w:before="120" w:beforeAutospacing="0" w:after="0" w:afterAutospacing="0" w:line="240" w:lineRule="auto"/>
        <w:rPr>
          <w:rFonts w:asciiTheme="minorHAnsi" w:hAnsiTheme="minorHAnsi" w:cstheme="minorHAnsi"/>
          <w:color w:val="000000" w:themeColor="text1"/>
          <w:sz w:val="20"/>
          <w:szCs w:val="20"/>
        </w:rPr>
      </w:pPr>
      <w:r w:rsidRPr="0043215C">
        <w:rPr>
          <w:rFonts w:asciiTheme="minorHAnsi" w:hAnsiTheme="minorHAnsi" w:cstheme="minorHAnsi"/>
          <w:b/>
          <w:bCs/>
          <w:color w:val="000000" w:themeColor="text1"/>
          <w:sz w:val="20"/>
          <w:szCs w:val="20"/>
        </w:rPr>
        <w:t>In June 2022, the World Bank’s Country Climate and Development Report (CCDR) on Türkiye was published</w:t>
      </w:r>
      <w:r w:rsidRPr="0043215C">
        <w:rPr>
          <w:rFonts w:asciiTheme="minorHAnsi" w:hAnsiTheme="minorHAnsi" w:cstheme="minorHAnsi"/>
          <w:color w:val="000000" w:themeColor="text1"/>
          <w:sz w:val="20"/>
          <w:szCs w:val="20"/>
        </w:rPr>
        <w:t xml:space="preserve">. It has provided a practical pathway for a net-zero transition which would deliver significant economic, social, and environmental benefits. The World Bank current and planned engagement in Türkiye is fully aligned with the CCDR recommendations. </w:t>
      </w:r>
    </w:p>
    <w:p w14:paraId="19FD7857" w14:textId="66F7FF61" w:rsidR="00347F37" w:rsidRPr="0043215C" w:rsidRDefault="00347F37" w:rsidP="00347F37">
      <w:pPr>
        <w:spacing w:before="120" w:after="0" w:line="240" w:lineRule="auto"/>
        <w:rPr>
          <w:rStyle w:val="normaltextrun"/>
          <w:rFonts w:eastAsia="Times New Roman" w:cstheme="minorHAnsi"/>
          <w:color w:val="000000" w:themeColor="text1"/>
          <w:sz w:val="20"/>
          <w:szCs w:val="20"/>
        </w:rPr>
      </w:pPr>
      <w:r w:rsidRPr="0043215C">
        <w:rPr>
          <w:rStyle w:val="normaltextrun"/>
          <w:rFonts w:eastAsia="Times New Roman" w:cstheme="minorHAnsi"/>
          <w:b/>
          <w:color w:val="000000" w:themeColor="text1"/>
          <w:sz w:val="20"/>
          <w:szCs w:val="20"/>
        </w:rPr>
        <w:t xml:space="preserve">The World Bank’s energy portfolio in Türkiye currently includes six operations, amounting to over </w:t>
      </w:r>
      <w:r w:rsidR="00636124" w:rsidRPr="0043215C">
        <w:rPr>
          <w:rStyle w:val="normaltextrun"/>
          <w:rFonts w:eastAsia="Times New Roman" w:cstheme="minorHAnsi"/>
          <w:b/>
          <w:color w:val="000000" w:themeColor="text1"/>
          <w:sz w:val="20"/>
          <w:szCs w:val="20"/>
        </w:rPr>
        <w:t>US$</w:t>
      </w:r>
      <w:r w:rsidRPr="0043215C">
        <w:rPr>
          <w:rStyle w:val="normaltextrun"/>
          <w:rFonts w:eastAsia="Times New Roman" w:cstheme="minorHAnsi"/>
          <w:b/>
          <w:color w:val="000000" w:themeColor="text1"/>
          <w:sz w:val="20"/>
          <w:szCs w:val="20"/>
        </w:rPr>
        <w:t xml:space="preserve">3 billion, which will be expanded with a healthy pipeline of new operations amounting to nearly again </w:t>
      </w:r>
      <w:r w:rsidR="00636124" w:rsidRPr="0043215C">
        <w:rPr>
          <w:rStyle w:val="normaltextrun"/>
          <w:rFonts w:eastAsia="Times New Roman" w:cstheme="minorHAnsi"/>
          <w:b/>
          <w:color w:val="000000" w:themeColor="text1"/>
          <w:sz w:val="20"/>
          <w:szCs w:val="20"/>
        </w:rPr>
        <w:t>US$</w:t>
      </w:r>
      <w:r w:rsidRPr="0043215C">
        <w:rPr>
          <w:rStyle w:val="normaltextrun"/>
          <w:rFonts w:eastAsia="Times New Roman" w:cstheme="minorHAnsi"/>
          <w:b/>
          <w:color w:val="000000" w:themeColor="text1"/>
          <w:sz w:val="20"/>
          <w:szCs w:val="20"/>
        </w:rPr>
        <w:t>3 billion.</w:t>
      </w:r>
      <w:r w:rsidR="003B0C74" w:rsidRPr="0043215C">
        <w:rPr>
          <w:rStyle w:val="normaltextrun"/>
          <w:rFonts w:eastAsia="Times New Roman" w:cstheme="minorHAnsi"/>
          <w:b/>
          <w:color w:val="000000" w:themeColor="text1"/>
          <w:sz w:val="20"/>
          <w:szCs w:val="20"/>
        </w:rPr>
        <w:t xml:space="preserve"> </w:t>
      </w:r>
      <w:r w:rsidR="003B0C74" w:rsidRPr="0043215C">
        <w:rPr>
          <w:rStyle w:val="normaltextrun"/>
          <w:rFonts w:eastAsia="Times New Roman" w:cstheme="minorHAnsi"/>
          <w:bCs/>
          <w:color w:val="000000" w:themeColor="text1"/>
          <w:sz w:val="20"/>
          <w:szCs w:val="20"/>
        </w:rPr>
        <w:t>The</w:t>
      </w:r>
      <w:r w:rsidR="003B0C74" w:rsidRPr="0043215C">
        <w:rPr>
          <w:rStyle w:val="normaltextrun"/>
          <w:rFonts w:eastAsia="Times New Roman" w:cstheme="minorHAnsi"/>
          <w:color w:val="000000" w:themeColor="text1"/>
          <w:sz w:val="20"/>
          <w:szCs w:val="20"/>
        </w:rPr>
        <w:t xml:space="preserve"> World Bank’s  energy sector portfolio consists of four projects that contribute to enabling renewable energy capacity (Renewable Energy Integration, Geothermal Development, Public and Municipal RE and </w:t>
      </w:r>
      <w:r w:rsidR="003B0C74" w:rsidRPr="0043215C">
        <w:rPr>
          <w:rStyle w:val="eop"/>
          <w:rFonts w:eastAsia="Times New Roman" w:cstheme="minorHAnsi"/>
          <w:color w:val="000000" w:themeColor="text1"/>
          <w:sz w:val="20"/>
          <w:szCs w:val="20"/>
        </w:rPr>
        <w:t>Accelerating the Market Transition for Distributed Energy</w:t>
      </w:r>
      <w:r w:rsidR="003B0C74" w:rsidRPr="0043215C">
        <w:rPr>
          <w:rStyle w:val="normaltextrun"/>
          <w:rFonts w:eastAsia="Times New Roman" w:cstheme="minorHAnsi"/>
          <w:color w:val="000000" w:themeColor="text1"/>
          <w:sz w:val="20"/>
          <w:szCs w:val="20"/>
        </w:rPr>
        <w:t>), four in energy efficiency (Energy Efficiency in Public Buildings - 1 and 2,</w:t>
      </w:r>
      <w:r w:rsidR="003B0C74" w:rsidRPr="0043215C">
        <w:rPr>
          <w:rStyle w:val="eop"/>
          <w:rFonts w:eastAsia="Times New Roman" w:cstheme="minorHAnsi"/>
          <w:color w:val="000000" w:themeColor="text1"/>
          <w:sz w:val="20"/>
          <w:szCs w:val="20"/>
        </w:rPr>
        <w:t xml:space="preserve"> </w:t>
      </w:r>
      <w:r w:rsidR="003B0C74" w:rsidRPr="0043215C">
        <w:rPr>
          <w:rStyle w:val="normaltextrun"/>
          <w:rFonts w:eastAsia="DengXian" w:cstheme="minorHAnsi"/>
          <w:color w:val="000000" w:themeColor="text1"/>
          <w:sz w:val="20"/>
          <w:szCs w:val="20"/>
        </w:rPr>
        <w:t>Seismic Resilience and Energy Efficiency in Public Buildings, Organized Industrial Zones</w:t>
      </w:r>
      <w:r w:rsidR="003B0C74" w:rsidRPr="0043215C">
        <w:rPr>
          <w:rStyle w:val="normaltextrun"/>
          <w:rFonts w:eastAsia="Times New Roman" w:cstheme="minorHAnsi"/>
          <w:color w:val="000000" w:themeColor="text1"/>
          <w:sz w:val="20"/>
          <w:szCs w:val="20"/>
        </w:rPr>
        <w:t>) and one in the gas sector (Gas Storage Expansion Project – GSEP).</w:t>
      </w:r>
      <w:r w:rsidR="003B0C74" w:rsidRPr="0043215C">
        <w:rPr>
          <w:rFonts w:cstheme="minorHAnsi"/>
          <w:sz w:val="20"/>
          <w:szCs w:val="20"/>
          <w:shd w:val="clear" w:color="auto" w:fill="FFFFFF"/>
        </w:rPr>
        <w:t xml:space="preserve"> In 2023, these projects have already facilitated the generation of 956 MW of renewable energy, with an expectation to contribute to 2,273 MW by 2028. Additionally, three technical assistance projects have been recently approved, two under European Union (EU) IPA II - Phases 3 and 4, and one to support PMI. The World Bank’s decarbonization program is set to grow with a new pipeline including</w:t>
      </w:r>
      <w:r w:rsidR="003B0C74" w:rsidRPr="0043215C">
        <w:rPr>
          <w:rStyle w:val="normaltextrun"/>
          <w:rFonts w:eastAsia="Times New Roman" w:cstheme="minorHAnsi"/>
          <w:color w:val="000000" w:themeColor="text1"/>
          <w:sz w:val="20"/>
          <w:szCs w:val="20"/>
        </w:rPr>
        <w:t xml:space="preserve"> Transforming Power Transmission System for REI Projects– Phases 1 and 2 (IBRD US$1.5 billion in total, FY26 and FY28).  </w:t>
      </w:r>
    </w:p>
    <w:p w14:paraId="2BFE541C" w14:textId="0D00293A" w:rsidR="00347F37" w:rsidRPr="0043215C" w:rsidRDefault="00347F37" w:rsidP="00347F37">
      <w:pPr>
        <w:spacing w:before="120" w:after="0" w:line="240" w:lineRule="auto"/>
        <w:rPr>
          <w:rStyle w:val="normaltextrun"/>
          <w:rFonts w:eastAsia="Times New Roman" w:cstheme="minorHAnsi"/>
          <w:b/>
          <w:color w:val="000000" w:themeColor="text1"/>
          <w:sz w:val="20"/>
          <w:szCs w:val="20"/>
        </w:rPr>
      </w:pPr>
      <w:r w:rsidRPr="0043215C">
        <w:rPr>
          <w:rStyle w:val="normaltextrun"/>
          <w:rFonts w:eastAsia="Times New Roman" w:cstheme="minorHAnsi"/>
          <w:b/>
          <w:color w:val="000000" w:themeColor="text1"/>
          <w:sz w:val="20"/>
          <w:szCs w:val="20"/>
        </w:rPr>
        <w:t xml:space="preserve">Investment Operations: </w:t>
      </w:r>
    </w:p>
    <w:p w14:paraId="56ED79FB" w14:textId="71938C4D" w:rsidR="00347F37" w:rsidRPr="0043215C" w:rsidRDefault="00347F37" w:rsidP="00347F37">
      <w:pPr>
        <w:pStyle w:val="ListParagraph"/>
        <w:numPr>
          <w:ilvl w:val="0"/>
          <w:numId w:val="14"/>
        </w:numPr>
        <w:spacing w:before="120" w:after="0" w:line="240" w:lineRule="auto"/>
        <w:ind w:left="360"/>
        <w:rPr>
          <w:rFonts w:eastAsia="Times New Roman" w:cstheme="minorHAnsi"/>
          <w:color w:val="000000" w:themeColor="text1"/>
          <w:sz w:val="20"/>
          <w:szCs w:val="20"/>
        </w:rPr>
      </w:pPr>
      <w:r w:rsidRPr="0043215C">
        <w:rPr>
          <w:rStyle w:val="eop"/>
          <w:rFonts w:eastAsia="Times New Roman" w:cstheme="minorHAnsi"/>
          <w:b/>
          <w:color w:val="000000" w:themeColor="text1"/>
          <w:sz w:val="20"/>
          <w:szCs w:val="20"/>
        </w:rPr>
        <w:t xml:space="preserve">Renewable Energy Integration Project </w:t>
      </w:r>
      <w:r w:rsidRPr="0043215C">
        <w:rPr>
          <w:rFonts w:eastAsia="Times New Roman" w:cstheme="minorHAnsi"/>
          <w:b/>
          <w:color w:val="000000" w:themeColor="text1"/>
          <w:sz w:val="20"/>
          <w:szCs w:val="20"/>
        </w:rPr>
        <w:t xml:space="preserve">(IBRD </w:t>
      </w:r>
      <w:r w:rsidR="00636124" w:rsidRPr="0043215C">
        <w:rPr>
          <w:rFonts w:eastAsia="Times New Roman" w:cstheme="minorHAnsi"/>
          <w:b/>
          <w:color w:val="000000" w:themeColor="text1"/>
          <w:sz w:val="20"/>
          <w:szCs w:val="20"/>
        </w:rPr>
        <w:t>US$</w:t>
      </w:r>
      <w:r w:rsidRPr="0043215C">
        <w:rPr>
          <w:rFonts w:eastAsia="Times New Roman" w:cstheme="minorHAnsi"/>
          <w:b/>
          <w:color w:val="000000" w:themeColor="text1"/>
          <w:sz w:val="20"/>
          <w:szCs w:val="20"/>
        </w:rPr>
        <w:t xml:space="preserve">625 m. and CTF </w:t>
      </w:r>
      <w:r w:rsidR="00636124" w:rsidRPr="0043215C">
        <w:rPr>
          <w:rFonts w:eastAsia="Times New Roman" w:cstheme="minorHAnsi"/>
          <w:b/>
          <w:color w:val="000000" w:themeColor="text1"/>
          <w:sz w:val="20"/>
          <w:szCs w:val="20"/>
        </w:rPr>
        <w:t>US$</w:t>
      </w:r>
      <w:r w:rsidRPr="0043215C">
        <w:rPr>
          <w:rFonts w:eastAsia="Times New Roman" w:cstheme="minorHAnsi"/>
          <w:b/>
          <w:color w:val="000000" w:themeColor="text1"/>
          <w:sz w:val="20"/>
          <w:szCs w:val="20"/>
        </w:rPr>
        <w:t xml:space="preserve">50 m.) </w:t>
      </w:r>
      <w:r w:rsidRPr="0043215C">
        <w:rPr>
          <w:rFonts w:eastAsia="Times New Roman" w:cstheme="minorHAnsi"/>
          <w:color w:val="000000" w:themeColor="text1"/>
          <w:sz w:val="20"/>
          <w:szCs w:val="20"/>
        </w:rPr>
        <w:t xml:space="preserve">REIP aims to assist Türkiye in meeting its increased power demand by strengthening the transmission system and facilitating large-scale renewable energy generation. </w:t>
      </w:r>
    </w:p>
    <w:p w14:paraId="6F6D7AC8" w14:textId="4250523A" w:rsidR="00347F37" w:rsidRPr="0043215C" w:rsidRDefault="00347F37" w:rsidP="00347F37">
      <w:pPr>
        <w:pStyle w:val="ListParagraph"/>
        <w:numPr>
          <w:ilvl w:val="0"/>
          <w:numId w:val="14"/>
        </w:numPr>
        <w:spacing w:before="120" w:after="0" w:line="240" w:lineRule="auto"/>
        <w:ind w:left="360"/>
        <w:rPr>
          <w:rStyle w:val="normaltextrun"/>
          <w:rFonts w:eastAsia="Times New Roman" w:cstheme="minorHAnsi"/>
          <w:color w:val="000000" w:themeColor="text1"/>
          <w:sz w:val="20"/>
          <w:szCs w:val="20"/>
        </w:rPr>
      </w:pPr>
      <w:r w:rsidRPr="0043215C">
        <w:rPr>
          <w:rStyle w:val="eop"/>
          <w:rFonts w:eastAsia="Times New Roman" w:cstheme="minorHAnsi"/>
          <w:b/>
          <w:color w:val="000000" w:themeColor="text1"/>
          <w:sz w:val="20"/>
          <w:szCs w:val="20"/>
        </w:rPr>
        <w:t>Energy Efficiency in Public Building Project</w:t>
      </w:r>
      <w:r w:rsidR="00F22B68">
        <w:rPr>
          <w:rStyle w:val="eop"/>
          <w:rFonts w:eastAsia="Times New Roman" w:cstheme="minorHAnsi"/>
          <w:b/>
          <w:color w:val="000000" w:themeColor="text1"/>
          <w:sz w:val="20"/>
          <w:szCs w:val="20"/>
        </w:rPr>
        <w:t>s</w:t>
      </w:r>
      <w:r w:rsidRPr="0043215C">
        <w:rPr>
          <w:rStyle w:val="eop"/>
          <w:rFonts w:eastAsia="Times New Roman" w:cstheme="minorHAnsi"/>
          <w:b/>
          <w:color w:val="000000" w:themeColor="text1"/>
          <w:sz w:val="20"/>
          <w:szCs w:val="20"/>
        </w:rPr>
        <w:t xml:space="preserve"> 1 </w:t>
      </w:r>
      <w:r w:rsidR="00F22B68">
        <w:rPr>
          <w:rStyle w:val="eop"/>
          <w:rFonts w:eastAsia="Times New Roman" w:cstheme="minorHAnsi"/>
          <w:b/>
          <w:color w:val="000000" w:themeColor="text1"/>
          <w:sz w:val="20"/>
          <w:szCs w:val="20"/>
        </w:rPr>
        <w:t xml:space="preserve">and </w:t>
      </w:r>
      <w:r w:rsidR="00F22B68" w:rsidRPr="008673D2">
        <w:rPr>
          <w:rStyle w:val="eop"/>
          <w:rFonts w:eastAsia="Times New Roman" w:cstheme="minorHAnsi"/>
          <w:b/>
          <w:color w:val="000000" w:themeColor="text1"/>
          <w:sz w:val="20"/>
          <w:szCs w:val="20"/>
        </w:rPr>
        <w:t xml:space="preserve">2 </w:t>
      </w:r>
      <w:r w:rsidRPr="008673D2">
        <w:rPr>
          <w:rStyle w:val="eop"/>
          <w:rFonts w:eastAsia="Times New Roman" w:cstheme="minorHAnsi"/>
          <w:b/>
          <w:color w:val="000000" w:themeColor="text1"/>
          <w:sz w:val="20"/>
          <w:szCs w:val="20"/>
        </w:rPr>
        <w:t xml:space="preserve">(IBRD </w:t>
      </w:r>
      <w:r w:rsidR="00636124" w:rsidRPr="008673D2">
        <w:rPr>
          <w:rStyle w:val="eop"/>
          <w:rFonts w:eastAsia="Times New Roman" w:cstheme="minorHAnsi"/>
          <w:b/>
          <w:color w:val="000000" w:themeColor="text1"/>
          <w:sz w:val="20"/>
          <w:szCs w:val="20"/>
        </w:rPr>
        <w:t>US$</w:t>
      </w:r>
      <w:r w:rsidR="008673D2" w:rsidRPr="008673D2">
        <w:rPr>
          <w:rStyle w:val="eop"/>
          <w:rFonts w:eastAsia="Times New Roman" w:cstheme="minorHAnsi"/>
          <w:b/>
          <w:color w:val="000000" w:themeColor="text1"/>
          <w:sz w:val="20"/>
          <w:szCs w:val="20"/>
        </w:rPr>
        <w:t>45</w:t>
      </w:r>
      <w:r w:rsidRPr="008673D2">
        <w:rPr>
          <w:rStyle w:val="eop"/>
          <w:rFonts w:eastAsia="Times New Roman" w:cstheme="minorHAnsi"/>
          <w:b/>
          <w:color w:val="000000" w:themeColor="text1"/>
          <w:sz w:val="20"/>
          <w:szCs w:val="20"/>
        </w:rPr>
        <w:t xml:space="preserve">0 m. and CTF </w:t>
      </w:r>
      <w:r w:rsidR="00636124" w:rsidRPr="008673D2">
        <w:rPr>
          <w:rStyle w:val="eop"/>
          <w:rFonts w:eastAsia="Times New Roman" w:cstheme="minorHAnsi"/>
          <w:b/>
          <w:color w:val="000000" w:themeColor="text1"/>
          <w:sz w:val="20"/>
          <w:szCs w:val="20"/>
        </w:rPr>
        <w:t>US$</w:t>
      </w:r>
      <w:r w:rsidRPr="008673D2">
        <w:rPr>
          <w:rStyle w:val="eop"/>
          <w:rFonts w:eastAsia="Times New Roman" w:cstheme="minorHAnsi"/>
          <w:b/>
          <w:color w:val="000000" w:themeColor="text1"/>
          <w:sz w:val="20"/>
          <w:szCs w:val="20"/>
        </w:rPr>
        <w:t>50 m.)</w:t>
      </w:r>
      <w:r w:rsidRPr="008673D2">
        <w:rPr>
          <w:rStyle w:val="eop"/>
          <w:rFonts w:eastAsia="Times New Roman" w:cstheme="minorHAnsi"/>
          <w:color w:val="000000" w:themeColor="text1"/>
          <w:sz w:val="20"/>
          <w:szCs w:val="20"/>
        </w:rPr>
        <w:t xml:space="preserve"> In 2019</w:t>
      </w:r>
      <w:r w:rsidR="00F22B68" w:rsidRPr="008673D2">
        <w:rPr>
          <w:rStyle w:val="eop"/>
          <w:rFonts w:eastAsia="Times New Roman" w:cstheme="minorHAnsi"/>
          <w:color w:val="000000" w:themeColor="text1"/>
          <w:sz w:val="20"/>
          <w:szCs w:val="20"/>
        </w:rPr>
        <w:t xml:space="preserve"> and 2024</w:t>
      </w:r>
      <w:r w:rsidRPr="008673D2">
        <w:rPr>
          <w:rStyle w:val="eop"/>
          <w:rFonts w:eastAsia="Times New Roman" w:cstheme="minorHAnsi"/>
          <w:color w:val="000000" w:themeColor="text1"/>
          <w:sz w:val="20"/>
          <w:szCs w:val="20"/>
        </w:rPr>
        <w:t xml:space="preserve">, the Bank approved </w:t>
      </w:r>
      <w:r w:rsidR="00F22B68" w:rsidRPr="008673D2">
        <w:rPr>
          <w:rStyle w:val="eop"/>
          <w:rFonts w:eastAsia="Times New Roman" w:cstheme="minorHAnsi"/>
          <w:color w:val="000000" w:themeColor="text1"/>
          <w:sz w:val="20"/>
          <w:szCs w:val="20"/>
        </w:rPr>
        <w:t xml:space="preserve">two energy efficiency projects in an amount of </w:t>
      </w:r>
      <w:r w:rsidRPr="008673D2">
        <w:rPr>
          <w:rStyle w:val="eop"/>
          <w:rFonts w:eastAsia="Times New Roman" w:cstheme="minorHAnsi"/>
          <w:color w:val="000000" w:themeColor="text1"/>
          <w:sz w:val="20"/>
          <w:szCs w:val="20"/>
        </w:rPr>
        <w:t xml:space="preserve">a </w:t>
      </w:r>
      <w:r w:rsidR="00636124" w:rsidRPr="008673D2">
        <w:rPr>
          <w:rStyle w:val="eop"/>
          <w:rFonts w:eastAsia="Times New Roman" w:cstheme="minorHAnsi"/>
          <w:color w:val="000000" w:themeColor="text1"/>
          <w:sz w:val="20"/>
          <w:szCs w:val="20"/>
        </w:rPr>
        <w:t>US$</w:t>
      </w:r>
      <w:r w:rsidR="008673D2" w:rsidRPr="008673D2">
        <w:rPr>
          <w:rStyle w:val="eop"/>
          <w:rFonts w:eastAsia="Times New Roman" w:cstheme="minorHAnsi"/>
          <w:color w:val="000000" w:themeColor="text1"/>
          <w:sz w:val="20"/>
          <w:szCs w:val="20"/>
        </w:rPr>
        <w:t>5</w:t>
      </w:r>
      <w:r w:rsidRPr="008673D2">
        <w:rPr>
          <w:rStyle w:val="eop"/>
          <w:rFonts w:eastAsia="Times New Roman" w:cstheme="minorHAnsi"/>
          <w:color w:val="000000" w:themeColor="text1"/>
          <w:sz w:val="20"/>
          <w:szCs w:val="20"/>
        </w:rPr>
        <w:t>00 m.</w:t>
      </w:r>
      <w:r w:rsidR="008673D2" w:rsidRPr="008673D2">
        <w:rPr>
          <w:rStyle w:val="eop"/>
          <w:rFonts w:eastAsia="Times New Roman" w:cstheme="minorHAnsi"/>
          <w:color w:val="000000" w:themeColor="text1"/>
          <w:sz w:val="20"/>
          <w:szCs w:val="20"/>
        </w:rPr>
        <w:t>in total</w:t>
      </w:r>
      <w:r w:rsidRPr="008673D2">
        <w:rPr>
          <w:rStyle w:val="eop"/>
          <w:rFonts w:eastAsia="Times New Roman" w:cstheme="minorHAnsi"/>
          <w:color w:val="000000" w:themeColor="text1"/>
          <w:sz w:val="20"/>
          <w:szCs w:val="20"/>
        </w:rPr>
        <w:t xml:space="preserve"> (</w:t>
      </w:r>
      <w:r w:rsidR="00636124" w:rsidRPr="008673D2">
        <w:rPr>
          <w:rStyle w:val="eop"/>
          <w:rFonts w:eastAsia="Times New Roman" w:cstheme="minorHAnsi"/>
          <w:color w:val="000000" w:themeColor="text1"/>
          <w:sz w:val="20"/>
          <w:szCs w:val="20"/>
        </w:rPr>
        <w:t>US$</w:t>
      </w:r>
      <w:r w:rsidR="008673D2" w:rsidRPr="008673D2">
        <w:rPr>
          <w:rStyle w:val="eop"/>
          <w:rFonts w:eastAsia="Times New Roman" w:cstheme="minorHAnsi"/>
          <w:color w:val="000000" w:themeColor="text1"/>
          <w:sz w:val="20"/>
          <w:szCs w:val="20"/>
        </w:rPr>
        <w:t>4</w:t>
      </w:r>
      <w:r w:rsidRPr="008673D2">
        <w:rPr>
          <w:rStyle w:val="eop"/>
          <w:rFonts w:eastAsia="Times New Roman" w:cstheme="minorHAnsi"/>
          <w:color w:val="000000" w:themeColor="text1"/>
          <w:sz w:val="20"/>
          <w:szCs w:val="20"/>
        </w:rPr>
        <w:t xml:space="preserve">50 m. IBRD, </w:t>
      </w:r>
      <w:r w:rsidR="00636124" w:rsidRPr="008673D2">
        <w:rPr>
          <w:rStyle w:val="eop"/>
          <w:rFonts w:eastAsia="Times New Roman" w:cstheme="minorHAnsi"/>
          <w:color w:val="000000" w:themeColor="text1"/>
          <w:sz w:val="20"/>
          <w:szCs w:val="20"/>
        </w:rPr>
        <w:t>US$</w:t>
      </w:r>
      <w:r w:rsidRPr="008673D2">
        <w:rPr>
          <w:rStyle w:val="eop"/>
          <w:rFonts w:eastAsia="Times New Roman" w:cstheme="minorHAnsi"/>
          <w:color w:val="000000" w:themeColor="text1"/>
          <w:sz w:val="20"/>
          <w:szCs w:val="20"/>
        </w:rPr>
        <w:t>50 m. CTF) to support energy efficiency renovations of public buildings with the Ministry of Environment, Urbanization, and Climate Change and the Ministry of Energy</w:t>
      </w:r>
      <w:r w:rsidRPr="0043215C">
        <w:rPr>
          <w:rStyle w:val="eop"/>
          <w:rFonts w:eastAsia="Times New Roman" w:cstheme="minorHAnsi"/>
          <w:color w:val="000000" w:themeColor="text1"/>
          <w:sz w:val="20"/>
          <w:szCs w:val="20"/>
        </w:rPr>
        <w:t xml:space="preserve"> and Natural </w:t>
      </w:r>
      <w:r w:rsidR="00546DAA" w:rsidRPr="0043215C">
        <w:rPr>
          <w:rStyle w:val="eop"/>
          <w:rFonts w:eastAsia="Times New Roman" w:cstheme="minorHAnsi"/>
          <w:color w:val="000000" w:themeColor="text1"/>
          <w:sz w:val="20"/>
          <w:szCs w:val="20"/>
        </w:rPr>
        <w:t>Resources.</w:t>
      </w:r>
      <w:r w:rsidR="00F22B68">
        <w:rPr>
          <w:rStyle w:val="eop"/>
          <w:rFonts w:eastAsia="Times New Roman" w:cstheme="minorHAnsi"/>
          <w:color w:val="000000" w:themeColor="text1"/>
          <w:sz w:val="20"/>
          <w:szCs w:val="20"/>
        </w:rPr>
        <w:t xml:space="preserve"> </w:t>
      </w:r>
    </w:p>
    <w:p w14:paraId="560C3A60" w14:textId="0DC439F0" w:rsidR="00347F37" w:rsidRPr="0043215C" w:rsidRDefault="00347F37" w:rsidP="00347F37">
      <w:pPr>
        <w:pStyle w:val="ListParagraph"/>
        <w:numPr>
          <w:ilvl w:val="0"/>
          <w:numId w:val="14"/>
        </w:numPr>
        <w:spacing w:before="120" w:after="0" w:line="240" w:lineRule="auto"/>
        <w:ind w:left="360"/>
        <w:rPr>
          <w:rFonts w:eastAsia="Times New Roman" w:cstheme="minorHAnsi"/>
          <w:color w:val="000000" w:themeColor="text1"/>
          <w:sz w:val="20"/>
          <w:szCs w:val="20"/>
        </w:rPr>
      </w:pPr>
      <w:r w:rsidRPr="0043215C">
        <w:rPr>
          <w:rStyle w:val="normaltextrun"/>
          <w:rFonts w:eastAsia="Times New Roman" w:cstheme="minorHAnsi"/>
          <w:b/>
          <w:color w:val="000000" w:themeColor="text1"/>
          <w:sz w:val="20"/>
          <w:szCs w:val="20"/>
        </w:rPr>
        <w:t xml:space="preserve">Gas Storage Expansion Project (IBRD </w:t>
      </w:r>
      <w:r w:rsidR="00636124" w:rsidRPr="0043215C">
        <w:rPr>
          <w:rStyle w:val="normaltextrun"/>
          <w:rFonts w:eastAsia="Times New Roman" w:cstheme="minorHAnsi"/>
          <w:b/>
          <w:color w:val="000000" w:themeColor="text1"/>
          <w:sz w:val="20"/>
          <w:szCs w:val="20"/>
        </w:rPr>
        <w:t>US$</w:t>
      </w:r>
      <w:r w:rsidRPr="0043215C">
        <w:rPr>
          <w:rStyle w:val="normaltextrun"/>
          <w:rFonts w:eastAsia="Times New Roman" w:cstheme="minorHAnsi"/>
          <w:b/>
          <w:color w:val="000000" w:themeColor="text1"/>
          <w:sz w:val="20"/>
          <w:szCs w:val="20"/>
        </w:rPr>
        <w:t>600 m.).</w:t>
      </w:r>
      <w:r w:rsidRPr="0043215C">
        <w:rPr>
          <w:rStyle w:val="normaltextrun"/>
          <w:rFonts w:eastAsia="Times New Roman" w:cstheme="minorHAnsi"/>
          <w:color w:val="000000" w:themeColor="text1"/>
          <w:sz w:val="20"/>
          <w:szCs w:val="20"/>
        </w:rPr>
        <w:t xml:space="preserve"> GSEP aims at increasing the reliability and security of gas supply in Türkiye</w:t>
      </w:r>
      <w:r w:rsidR="00037D7A" w:rsidRPr="0043215C">
        <w:rPr>
          <w:rStyle w:val="normaltextrun"/>
          <w:rFonts w:eastAsia="Times New Roman" w:cstheme="minorHAnsi"/>
          <w:color w:val="000000" w:themeColor="text1"/>
          <w:sz w:val="20"/>
          <w:szCs w:val="20"/>
        </w:rPr>
        <w:t xml:space="preserve"> </w:t>
      </w:r>
      <w:r w:rsidRPr="0043215C">
        <w:rPr>
          <w:rStyle w:val="normaltextrun"/>
          <w:rFonts w:eastAsia="Times New Roman" w:cstheme="minorHAnsi"/>
          <w:color w:val="000000" w:themeColor="text1"/>
          <w:sz w:val="20"/>
          <w:szCs w:val="20"/>
        </w:rPr>
        <w:t xml:space="preserve">by expanding underground gas storage capacity in the country. </w:t>
      </w:r>
    </w:p>
    <w:p w14:paraId="2E28481F" w14:textId="58104884" w:rsidR="00347F37" w:rsidRPr="0043215C" w:rsidRDefault="00347F37" w:rsidP="00347F37">
      <w:pPr>
        <w:pStyle w:val="ListParagraph"/>
        <w:numPr>
          <w:ilvl w:val="0"/>
          <w:numId w:val="14"/>
        </w:numPr>
        <w:spacing w:before="120" w:after="0" w:line="240" w:lineRule="auto"/>
        <w:ind w:left="360"/>
        <w:rPr>
          <w:rFonts w:eastAsia="Times New Roman" w:cstheme="minorHAnsi"/>
          <w:color w:val="000000" w:themeColor="text1"/>
          <w:sz w:val="20"/>
          <w:szCs w:val="20"/>
        </w:rPr>
      </w:pPr>
      <w:r w:rsidRPr="0043215C">
        <w:rPr>
          <w:rStyle w:val="normaltextrun"/>
          <w:rFonts w:eastAsia="Times New Roman" w:cstheme="minorHAnsi"/>
          <w:b/>
          <w:color w:val="000000" w:themeColor="text1"/>
          <w:sz w:val="20"/>
          <w:szCs w:val="20"/>
        </w:rPr>
        <w:t xml:space="preserve">Geothermal Development Project (IBRD </w:t>
      </w:r>
      <w:r w:rsidR="00636124" w:rsidRPr="0043215C">
        <w:rPr>
          <w:rStyle w:val="normaltextrun"/>
          <w:rFonts w:eastAsia="Times New Roman" w:cstheme="minorHAnsi"/>
          <w:b/>
          <w:color w:val="000000" w:themeColor="text1"/>
          <w:sz w:val="20"/>
          <w:szCs w:val="20"/>
        </w:rPr>
        <w:t>US$</w:t>
      </w:r>
      <w:r w:rsidRPr="0043215C">
        <w:rPr>
          <w:rStyle w:val="normaltextrun"/>
          <w:rFonts w:eastAsia="Times New Roman" w:cstheme="minorHAnsi"/>
          <w:b/>
          <w:color w:val="000000" w:themeColor="text1"/>
          <w:sz w:val="20"/>
          <w:szCs w:val="20"/>
        </w:rPr>
        <w:t xml:space="preserve">550 m. and CTF </w:t>
      </w:r>
      <w:r w:rsidR="00636124" w:rsidRPr="0043215C">
        <w:rPr>
          <w:rStyle w:val="normaltextrun"/>
          <w:rFonts w:eastAsia="Times New Roman" w:cstheme="minorHAnsi"/>
          <w:b/>
          <w:color w:val="000000" w:themeColor="text1"/>
          <w:sz w:val="20"/>
          <w:szCs w:val="20"/>
        </w:rPr>
        <w:t>US$</w:t>
      </w:r>
      <w:r w:rsidRPr="0043215C">
        <w:rPr>
          <w:rStyle w:val="normaltextrun"/>
          <w:rFonts w:eastAsia="Times New Roman" w:cstheme="minorHAnsi"/>
          <w:b/>
          <w:color w:val="000000" w:themeColor="text1"/>
          <w:sz w:val="20"/>
          <w:szCs w:val="20"/>
        </w:rPr>
        <w:t xml:space="preserve">39.8 m. and ESMAP </w:t>
      </w:r>
      <w:r w:rsidR="00636124" w:rsidRPr="0043215C">
        <w:rPr>
          <w:rStyle w:val="normaltextrun"/>
          <w:rFonts w:eastAsia="Times New Roman" w:cstheme="minorHAnsi"/>
          <w:b/>
          <w:color w:val="000000" w:themeColor="text1"/>
          <w:sz w:val="20"/>
          <w:szCs w:val="20"/>
        </w:rPr>
        <w:t>US$</w:t>
      </w:r>
      <w:r w:rsidRPr="0043215C">
        <w:rPr>
          <w:rStyle w:val="normaltextrun"/>
          <w:rFonts w:eastAsia="Times New Roman" w:cstheme="minorHAnsi"/>
          <w:b/>
          <w:color w:val="000000" w:themeColor="text1"/>
          <w:sz w:val="20"/>
          <w:szCs w:val="20"/>
        </w:rPr>
        <w:t xml:space="preserve">0.35 m.). </w:t>
      </w:r>
      <w:r w:rsidRPr="0043215C">
        <w:rPr>
          <w:rStyle w:val="normaltextrun"/>
          <w:rFonts w:eastAsia="Times New Roman" w:cstheme="minorHAnsi"/>
          <w:color w:val="000000" w:themeColor="text1"/>
          <w:sz w:val="20"/>
          <w:szCs w:val="20"/>
        </w:rPr>
        <w:t xml:space="preserve">The project development objective is to scale up private sector investment in geothermal energy development in Türkiye. </w:t>
      </w:r>
    </w:p>
    <w:p w14:paraId="5A639F88" w14:textId="7512611A" w:rsidR="00347F37" w:rsidRPr="0043215C" w:rsidRDefault="00347F37" w:rsidP="00347F37">
      <w:pPr>
        <w:pStyle w:val="ListParagraph"/>
        <w:numPr>
          <w:ilvl w:val="0"/>
          <w:numId w:val="14"/>
        </w:numPr>
        <w:spacing w:before="120" w:after="0" w:line="240" w:lineRule="auto"/>
        <w:ind w:left="360"/>
        <w:rPr>
          <w:rFonts w:eastAsia="Times New Roman" w:cstheme="minorHAnsi"/>
          <w:color w:val="000000" w:themeColor="text1"/>
          <w:sz w:val="20"/>
          <w:szCs w:val="20"/>
        </w:rPr>
      </w:pPr>
      <w:r w:rsidRPr="0043215C">
        <w:rPr>
          <w:rStyle w:val="eop"/>
          <w:rFonts w:eastAsia="Times New Roman" w:cstheme="minorHAnsi"/>
          <w:b/>
          <w:color w:val="000000" w:themeColor="text1"/>
          <w:sz w:val="20"/>
          <w:szCs w:val="20"/>
        </w:rPr>
        <w:t>Public and Municipal Renewable Energy Project (IBRD E</w:t>
      </w:r>
      <w:r w:rsidR="00802321">
        <w:rPr>
          <w:rStyle w:val="eop"/>
          <w:rFonts w:eastAsia="Times New Roman" w:cstheme="minorHAnsi"/>
          <w:b/>
          <w:color w:val="000000" w:themeColor="text1"/>
          <w:sz w:val="20"/>
          <w:szCs w:val="20"/>
        </w:rPr>
        <w:t>UR</w:t>
      </w:r>
      <w:r w:rsidRPr="0043215C">
        <w:rPr>
          <w:rStyle w:val="eop"/>
          <w:rFonts w:eastAsia="Times New Roman" w:cstheme="minorHAnsi"/>
          <w:b/>
          <w:color w:val="000000" w:themeColor="text1"/>
          <w:sz w:val="20"/>
          <w:szCs w:val="20"/>
        </w:rPr>
        <w:t>500 m.)</w:t>
      </w:r>
      <w:r w:rsidRPr="0043215C">
        <w:rPr>
          <w:rStyle w:val="eop"/>
          <w:rFonts w:eastAsia="Times New Roman" w:cstheme="minorHAnsi"/>
          <w:color w:val="000000" w:themeColor="text1"/>
          <w:sz w:val="20"/>
          <w:szCs w:val="20"/>
        </w:rPr>
        <w:t xml:space="preserve"> aims to scale-up renewable energy (RE) generation for self-consumption in central government buildings. </w:t>
      </w:r>
    </w:p>
    <w:p w14:paraId="3AEC0F2E" w14:textId="510057BE" w:rsidR="00347F37" w:rsidRPr="0043215C" w:rsidRDefault="00347F37" w:rsidP="00347F37">
      <w:pPr>
        <w:pStyle w:val="ListParagraph"/>
        <w:numPr>
          <w:ilvl w:val="0"/>
          <w:numId w:val="14"/>
        </w:numPr>
        <w:spacing w:before="120" w:after="0" w:line="240" w:lineRule="auto"/>
        <w:ind w:left="360"/>
        <w:rPr>
          <w:rStyle w:val="eop"/>
          <w:rFonts w:eastAsia="Times New Roman" w:cstheme="minorHAnsi"/>
          <w:color w:val="0070C0"/>
          <w:sz w:val="20"/>
          <w:szCs w:val="20"/>
        </w:rPr>
      </w:pPr>
      <w:r w:rsidRPr="0043215C">
        <w:rPr>
          <w:rStyle w:val="eop"/>
          <w:rFonts w:eastAsia="Times New Roman" w:cstheme="minorHAnsi"/>
          <w:b/>
          <w:color w:val="000000" w:themeColor="text1"/>
          <w:sz w:val="20"/>
          <w:szCs w:val="20"/>
        </w:rPr>
        <w:t>Accelerating the Market Transition for Distributed Energy Program (IBRD E</w:t>
      </w:r>
      <w:r w:rsidR="00802321">
        <w:rPr>
          <w:rStyle w:val="eop"/>
          <w:rFonts w:eastAsia="Times New Roman" w:cstheme="minorHAnsi"/>
          <w:b/>
          <w:color w:val="000000" w:themeColor="text1"/>
          <w:sz w:val="20"/>
          <w:szCs w:val="20"/>
        </w:rPr>
        <w:t>UR</w:t>
      </w:r>
      <w:r w:rsidRPr="0043215C">
        <w:rPr>
          <w:rStyle w:val="eop"/>
          <w:rFonts w:eastAsia="Times New Roman" w:cstheme="minorHAnsi"/>
          <w:b/>
          <w:color w:val="000000" w:themeColor="text1"/>
          <w:sz w:val="20"/>
          <w:szCs w:val="20"/>
        </w:rPr>
        <w:t xml:space="preserve">600 m. + CTF </w:t>
      </w:r>
      <w:r w:rsidR="00636124" w:rsidRPr="0043215C">
        <w:rPr>
          <w:rStyle w:val="eop"/>
          <w:rFonts w:eastAsia="Times New Roman" w:cstheme="minorHAnsi"/>
          <w:b/>
          <w:color w:val="000000" w:themeColor="text1"/>
          <w:sz w:val="20"/>
          <w:szCs w:val="20"/>
        </w:rPr>
        <w:t>US$</w:t>
      </w:r>
      <w:r w:rsidRPr="0043215C">
        <w:rPr>
          <w:rStyle w:val="eop"/>
          <w:rFonts w:eastAsia="Times New Roman" w:cstheme="minorHAnsi"/>
          <w:b/>
          <w:color w:val="000000" w:themeColor="text1"/>
          <w:sz w:val="20"/>
          <w:szCs w:val="20"/>
        </w:rPr>
        <w:t xml:space="preserve"> 30 m. + ESMAP </w:t>
      </w:r>
      <w:r w:rsidR="00636124" w:rsidRPr="0043215C">
        <w:rPr>
          <w:rStyle w:val="eop"/>
          <w:rFonts w:eastAsia="Times New Roman" w:cstheme="minorHAnsi"/>
          <w:b/>
          <w:color w:val="000000" w:themeColor="text1"/>
          <w:sz w:val="20"/>
          <w:szCs w:val="20"/>
        </w:rPr>
        <w:t>US$</w:t>
      </w:r>
      <w:r w:rsidRPr="0043215C">
        <w:rPr>
          <w:rStyle w:val="eop"/>
          <w:rFonts w:eastAsia="Times New Roman" w:cstheme="minorHAnsi"/>
          <w:b/>
          <w:color w:val="000000" w:themeColor="text1"/>
          <w:sz w:val="20"/>
          <w:szCs w:val="20"/>
        </w:rPr>
        <w:t xml:space="preserve"> 3 m.). </w:t>
      </w:r>
      <w:r w:rsidRPr="0043215C">
        <w:rPr>
          <w:rFonts w:eastAsia="Times New Roman" w:cstheme="minorHAnsi"/>
          <w:color w:val="000000" w:themeColor="text1"/>
          <w:sz w:val="20"/>
          <w:szCs w:val="20"/>
        </w:rPr>
        <w:t>Approved in March 2023, the development objective of this Program-for-Results (</w:t>
      </w:r>
      <w:proofErr w:type="spellStart"/>
      <w:r w:rsidRPr="0043215C">
        <w:rPr>
          <w:rFonts w:eastAsia="Times New Roman" w:cstheme="minorHAnsi"/>
          <w:color w:val="000000" w:themeColor="text1"/>
          <w:sz w:val="20"/>
          <w:szCs w:val="20"/>
        </w:rPr>
        <w:t>PforR</w:t>
      </w:r>
      <w:proofErr w:type="spellEnd"/>
      <w:r w:rsidRPr="0043215C">
        <w:rPr>
          <w:rFonts w:eastAsia="Times New Roman" w:cstheme="minorHAnsi"/>
          <w:color w:val="000000" w:themeColor="text1"/>
          <w:sz w:val="20"/>
          <w:szCs w:val="20"/>
        </w:rPr>
        <w:t xml:space="preserve">) is to expand Türkiye’s distributed solar photovoltaic market and pilot distributed battery electricity storage to increase renewable energy. The </w:t>
      </w:r>
      <w:proofErr w:type="spellStart"/>
      <w:r w:rsidRPr="0043215C">
        <w:rPr>
          <w:rFonts w:eastAsia="Times New Roman" w:cstheme="minorHAnsi"/>
          <w:color w:val="000000" w:themeColor="text1"/>
          <w:sz w:val="20"/>
          <w:szCs w:val="20"/>
        </w:rPr>
        <w:t>PforR</w:t>
      </w:r>
      <w:proofErr w:type="spellEnd"/>
      <w:r w:rsidRPr="0043215C">
        <w:rPr>
          <w:rFonts w:eastAsia="Times New Roman" w:cstheme="minorHAnsi"/>
          <w:color w:val="000000" w:themeColor="text1"/>
          <w:sz w:val="20"/>
          <w:szCs w:val="20"/>
        </w:rPr>
        <w:t xml:space="preserve"> is the first operation in a broader Europe and Central Asia Renewable Energy Scale-Up (ECARES) multiphase programmatic approach (MPA) with the objective to increase renewable energy capacity in participating countries of the ECA region. CTF US 30 m. from the Global Energy Storage Partnership (GESP) supports distributed battery energy storage systems that help to enable renewable energy. </w:t>
      </w:r>
    </w:p>
    <w:p w14:paraId="0D0F2B56" w14:textId="77777777" w:rsidR="00347F37" w:rsidRPr="0043215C" w:rsidRDefault="00347F37" w:rsidP="00347F37">
      <w:pPr>
        <w:spacing w:before="120" w:after="0" w:line="240" w:lineRule="auto"/>
        <w:rPr>
          <w:rStyle w:val="eop"/>
          <w:rFonts w:eastAsia="Times New Roman" w:cstheme="minorHAnsi"/>
          <w:b/>
          <w:bCs/>
          <w:i/>
          <w:iCs/>
          <w:color w:val="000000" w:themeColor="text1"/>
          <w:sz w:val="20"/>
          <w:szCs w:val="20"/>
        </w:rPr>
      </w:pPr>
    </w:p>
    <w:p w14:paraId="19FE2AA2" w14:textId="77777777" w:rsidR="00347F37" w:rsidRPr="0043215C" w:rsidRDefault="00347F37" w:rsidP="00347F37">
      <w:pPr>
        <w:spacing w:before="120" w:after="0" w:line="240" w:lineRule="auto"/>
        <w:rPr>
          <w:rStyle w:val="eop"/>
          <w:rFonts w:eastAsia="Times New Roman" w:cstheme="minorHAnsi"/>
          <w:b/>
          <w:bCs/>
          <w:i/>
          <w:iCs/>
          <w:color w:val="000000" w:themeColor="text1"/>
          <w:sz w:val="20"/>
          <w:szCs w:val="20"/>
        </w:rPr>
      </w:pPr>
    </w:p>
    <w:p w14:paraId="46B638A8" w14:textId="77777777" w:rsidR="00347F37" w:rsidRPr="0043215C" w:rsidRDefault="00347F37" w:rsidP="00347F37">
      <w:pPr>
        <w:spacing w:before="120" w:after="0" w:line="240" w:lineRule="auto"/>
        <w:rPr>
          <w:rFonts w:eastAsia="Times New Roman" w:cstheme="minorHAnsi"/>
          <w:color w:val="000000" w:themeColor="text1"/>
          <w:sz w:val="20"/>
          <w:szCs w:val="20"/>
        </w:rPr>
      </w:pPr>
      <w:r w:rsidRPr="0043215C">
        <w:rPr>
          <w:rStyle w:val="eop"/>
          <w:rFonts w:eastAsia="Times New Roman" w:cstheme="minorHAnsi"/>
          <w:b/>
          <w:bCs/>
          <w:i/>
          <w:iCs/>
          <w:color w:val="000000" w:themeColor="text1"/>
          <w:sz w:val="20"/>
          <w:szCs w:val="20"/>
        </w:rPr>
        <w:t>Technical Assistance Interventions</w:t>
      </w:r>
    </w:p>
    <w:p w14:paraId="57A85A86" w14:textId="463FDBD3" w:rsidR="00347F37" w:rsidRPr="0043215C" w:rsidRDefault="00347F37" w:rsidP="00347F37">
      <w:pPr>
        <w:pStyle w:val="ListParagraph"/>
        <w:numPr>
          <w:ilvl w:val="0"/>
          <w:numId w:val="15"/>
        </w:numPr>
        <w:spacing w:before="120" w:after="0" w:line="240" w:lineRule="auto"/>
        <w:ind w:left="360"/>
        <w:rPr>
          <w:rFonts w:eastAsia="Times New Roman" w:cstheme="minorHAnsi"/>
          <w:color w:val="000000" w:themeColor="text1"/>
          <w:sz w:val="20"/>
          <w:szCs w:val="20"/>
        </w:rPr>
      </w:pPr>
      <w:r w:rsidRPr="0043215C">
        <w:rPr>
          <w:rStyle w:val="eop"/>
          <w:rFonts w:eastAsia="Times New Roman" w:cstheme="minorHAnsi"/>
          <w:b/>
          <w:bCs/>
          <w:color w:val="000000" w:themeColor="text1"/>
          <w:sz w:val="20"/>
          <w:szCs w:val="20"/>
        </w:rPr>
        <w:t>Energy Sector Support under EU-IPA Phase IV for offshore wind</w:t>
      </w:r>
      <w:r w:rsidRPr="0043215C">
        <w:rPr>
          <w:rStyle w:val="eop"/>
          <w:rFonts w:eastAsia="Times New Roman" w:cstheme="minorHAnsi"/>
          <w:color w:val="000000" w:themeColor="text1"/>
          <w:sz w:val="20"/>
          <w:szCs w:val="20"/>
        </w:rPr>
        <w:t xml:space="preserve"> (EU IPA Grant of E</w:t>
      </w:r>
      <w:r w:rsidR="00B21B65">
        <w:rPr>
          <w:rStyle w:val="eop"/>
          <w:rFonts w:eastAsia="Times New Roman" w:cstheme="minorHAnsi"/>
          <w:color w:val="000000" w:themeColor="text1"/>
          <w:sz w:val="20"/>
          <w:szCs w:val="20"/>
        </w:rPr>
        <w:t>UR</w:t>
      </w:r>
      <w:r w:rsidRPr="0043215C">
        <w:rPr>
          <w:rStyle w:val="eop"/>
          <w:rFonts w:eastAsia="Times New Roman" w:cstheme="minorHAnsi"/>
          <w:color w:val="000000" w:themeColor="text1"/>
          <w:sz w:val="20"/>
          <w:szCs w:val="20"/>
        </w:rPr>
        <w:t>7.98 m., executed by MENR),</w:t>
      </w:r>
    </w:p>
    <w:p w14:paraId="70A5AA2F" w14:textId="004B85E7" w:rsidR="00347F37" w:rsidRPr="0043215C" w:rsidRDefault="00347F37" w:rsidP="00347F37">
      <w:pPr>
        <w:pStyle w:val="ListParagraph"/>
        <w:numPr>
          <w:ilvl w:val="0"/>
          <w:numId w:val="15"/>
        </w:numPr>
        <w:spacing w:before="120" w:after="0" w:line="240" w:lineRule="auto"/>
        <w:ind w:left="360"/>
        <w:rPr>
          <w:rStyle w:val="eop"/>
          <w:rFonts w:eastAsia="Times New Roman" w:cstheme="minorHAnsi"/>
          <w:color w:val="000000" w:themeColor="text1"/>
          <w:sz w:val="20"/>
          <w:szCs w:val="20"/>
        </w:rPr>
      </w:pPr>
      <w:r w:rsidRPr="0043215C">
        <w:rPr>
          <w:rStyle w:val="eop"/>
          <w:rFonts w:eastAsia="Times New Roman" w:cstheme="minorHAnsi"/>
          <w:b/>
          <w:bCs/>
          <w:color w:val="000000" w:themeColor="text1"/>
          <w:sz w:val="20"/>
          <w:szCs w:val="20"/>
        </w:rPr>
        <w:lastRenderedPageBreak/>
        <w:t>Energy Sector Support under EU-IPA Phase III</w:t>
      </w:r>
      <w:r w:rsidRPr="0043215C">
        <w:rPr>
          <w:rStyle w:val="eop"/>
          <w:rFonts w:eastAsia="Times New Roman" w:cstheme="minorHAnsi"/>
          <w:color w:val="000000" w:themeColor="text1"/>
          <w:sz w:val="20"/>
          <w:szCs w:val="20"/>
        </w:rPr>
        <w:t xml:space="preserve"> (EU IPA Grant of E</w:t>
      </w:r>
      <w:r w:rsidR="00B21B65">
        <w:rPr>
          <w:rStyle w:val="eop"/>
          <w:rFonts w:eastAsia="Times New Roman" w:cstheme="minorHAnsi"/>
          <w:color w:val="000000" w:themeColor="text1"/>
          <w:sz w:val="20"/>
          <w:szCs w:val="20"/>
        </w:rPr>
        <w:t>UR</w:t>
      </w:r>
      <w:r w:rsidRPr="0043215C">
        <w:rPr>
          <w:rStyle w:val="eop"/>
          <w:rFonts w:eastAsia="Times New Roman" w:cstheme="minorHAnsi"/>
          <w:color w:val="000000" w:themeColor="text1"/>
          <w:sz w:val="20"/>
          <w:szCs w:val="20"/>
        </w:rPr>
        <w:t xml:space="preserve">3.65 m., executed by MENR), </w:t>
      </w:r>
    </w:p>
    <w:p w14:paraId="1E7EAF4F" w14:textId="46DBAAE6" w:rsidR="00347F37" w:rsidRPr="0043215C" w:rsidRDefault="00347F37" w:rsidP="00347F37">
      <w:pPr>
        <w:pStyle w:val="ListParagraph"/>
        <w:numPr>
          <w:ilvl w:val="0"/>
          <w:numId w:val="15"/>
        </w:numPr>
        <w:spacing w:before="120" w:after="0" w:line="240" w:lineRule="auto"/>
        <w:ind w:left="360"/>
        <w:rPr>
          <w:rStyle w:val="eop"/>
          <w:rFonts w:eastAsia="Times New Roman" w:cstheme="minorHAnsi"/>
          <w:color w:val="000000" w:themeColor="text1"/>
          <w:sz w:val="20"/>
          <w:szCs w:val="20"/>
        </w:rPr>
      </w:pPr>
      <w:r w:rsidRPr="0043215C">
        <w:rPr>
          <w:rStyle w:val="eop"/>
          <w:rFonts w:eastAsia="Times New Roman" w:cstheme="minorHAnsi"/>
          <w:b/>
          <w:bCs/>
          <w:color w:val="000000" w:themeColor="text1"/>
          <w:sz w:val="20"/>
          <w:szCs w:val="20"/>
        </w:rPr>
        <w:t>Partnership for Market Implementation Facility - Carbon Market Development Project</w:t>
      </w:r>
      <w:r w:rsidRPr="0043215C">
        <w:rPr>
          <w:rStyle w:val="eop"/>
          <w:rFonts w:eastAsia="Times New Roman" w:cstheme="minorHAnsi"/>
          <w:color w:val="000000" w:themeColor="text1"/>
          <w:sz w:val="20"/>
          <w:szCs w:val="20"/>
        </w:rPr>
        <w:t xml:space="preserve"> (PMI Facility Grant of </w:t>
      </w:r>
      <w:r w:rsidR="00636124" w:rsidRPr="0043215C">
        <w:rPr>
          <w:rStyle w:val="eop"/>
          <w:rFonts w:eastAsia="Times New Roman" w:cstheme="minorHAnsi"/>
          <w:color w:val="000000" w:themeColor="text1"/>
          <w:sz w:val="20"/>
          <w:szCs w:val="20"/>
        </w:rPr>
        <w:t>US$</w:t>
      </w:r>
      <w:r w:rsidRPr="0043215C">
        <w:rPr>
          <w:rStyle w:val="eop"/>
          <w:rFonts w:eastAsia="Times New Roman" w:cstheme="minorHAnsi"/>
          <w:color w:val="000000" w:themeColor="text1"/>
          <w:sz w:val="20"/>
          <w:szCs w:val="20"/>
        </w:rPr>
        <w:t>4.95 m., executed by MEUCC).</w:t>
      </w:r>
    </w:p>
    <w:p w14:paraId="7D182244" w14:textId="77777777" w:rsidR="00347F37" w:rsidRPr="0043215C" w:rsidRDefault="00347F37" w:rsidP="00347F37">
      <w:pPr>
        <w:pStyle w:val="ListParagraph"/>
        <w:numPr>
          <w:ilvl w:val="0"/>
          <w:numId w:val="15"/>
        </w:numPr>
        <w:spacing w:before="120" w:after="0" w:line="240" w:lineRule="auto"/>
        <w:ind w:left="360"/>
        <w:rPr>
          <w:rStyle w:val="eop"/>
          <w:rFonts w:eastAsia="Times New Roman" w:cstheme="minorHAnsi"/>
          <w:color w:val="000000" w:themeColor="text1"/>
          <w:sz w:val="20"/>
          <w:szCs w:val="20"/>
        </w:rPr>
      </w:pPr>
      <w:r w:rsidRPr="0043215C">
        <w:rPr>
          <w:rStyle w:val="eop"/>
          <w:rFonts w:eastAsia="Times New Roman" w:cstheme="minorHAnsi"/>
          <w:b/>
          <w:bCs/>
          <w:color w:val="000000" w:themeColor="text1"/>
          <w:sz w:val="20"/>
          <w:szCs w:val="20"/>
        </w:rPr>
        <w:t>Energy Transition Program of Advisory Services and Analytics</w:t>
      </w:r>
      <w:r w:rsidRPr="0043215C">
        <w:rPr>
          <w:rStyle w:val="eop"/>
          <w:rFonts w:eastAsia="Times New Roman" w:cstheme="minorHAnsi"/>
          <w:color w:val="000000" w:themeColor="text1"/>
          <w:sz w:val="20"/>
          <w:szCs w:val="20"/>
        </w:rPr>
        <w:t xml:space="preserve"> (Energy Sector Management Assistance Program Trust Fund grants executed by the World Bank)</w:t>
      </w:r>
    </w:p>
    <w:p w14:paraId="21E7903A" w14:textId="77777777" w:rsidR="00347F37" w:rsidRPr="0043215C" w:rsidRDefault="00347F37" w:rsidP="00347F37">
      <w:pPr>
        <w:spacing w:before="240" w:after="0" w:line="240" w:lineRule="auto"/>
        <w:rPr>
          <w:rFonts w:eastAsia="Times New Roman" w:cstheme="minorHAnsi"/>
          <w:color w:val="000000" w:themeColor="text1"/>
          <w:sz w:val="20"/>
          <w:szCs w:val="20"/>
        </w:rPr>
      </w:pPr>
      <w:r w:rsidRPr="0043215C">
        <w:rPr>
          <w:rStyle w:val="normaltextrun"/>
          <w:rFonts w:eastAsia="Times New Roman" w:cstheme="minorHAnsi"/>
          <w:b/>
          <w:color w:val="000000" w:themeColor="text1"/>
          <w:sz w:val="20"/>
          <w:szCs w:val="20"/>
        </w:rPr>
        <w:t>Pipeline Development in Türkiye</w:t>
      </w:r>
    </w:p>
    <w:p w14:paraId="4B94CEEC" w14:textId="77777777" w:rsidR="00347F37" w:rsidRPr="0043215C" w:rsidRDefault="00347F37" w:rsidP="00347F37">
      <w:pPr>
        <w:spacing w:before="120" w:after="0" w:line="240" w:lineRule="auto"/>
        <w:rPr>
          <w:rFonts w:eastAsia="Times New Roman" w:cstheme="minorHAnsi"/>
          <w:color w:val="000000" w:themeColor="text1"/>
          <w:sz w:val="20"/>
          <w:szCs w:val="20"/>
        </w:rPr>
      </w:pPr>
      <w:r w:rsidRPr="0043215C">
        <w:rPr>
          <w:rStyle w:val="normaltextrun"/>
          <w:rFonts w:eastAsia="Times New Roman" w:cstheme="minorHAnsi"/>
          <w:color w:val="000000" w:themeColor="text1"/>
          <w:sz w:val="20"/>
          <w:szCs w:val="20"/>
        </w:rPr>
        <w:t xml:space="preserve">The pipeline and potential energy sector pipeline operations that will be financed by the World Bank are as follows: </w:t>
      </w:r>
    </w:p>
    <w:p w14:paraId="26D30303" w14:textId="77777777" w:rsidR="00347F37" w:rsidRPr="0043215C" w:rsidRDefault="00347F37" w:rsidP="00347F37">
      <w:pPr>
        <w:spacing w:before="120" w:after="0" w:line="240" w:lineRule="auto"/>
        <w:rPr>
          <w:rFonts w:eastAsia="Times New Roman" w:cstheme="minorHAnsi"/>
          <w:color w:val="000000" w:themeColor="text1"/>
          <w:sz w:val="20"/>
          <w:szCs w:val="20"/>
        </w:rPr>
      </w:pPr>
      <w:r w:rsidRPr="0043215C">
        <w:rPr>
          <w:rStyle w:val="eop"/>
          <w:rFonts w:eastAsia="Times New Roman" w:cstheme="minorHAnsi"/>
          <w:b/>
          <w:color w:val="000000" w:themeColor="text1"/>
          <w:sz w:val="20"/>
          <w:szCs w:val="20"/>
        </w:rPr>
        <w:t xml:space="preserve">Pipeline </w:t>
      </w:r>
    </w:p>
    <w:p w14:paraId="657469B5" w14:textId="3ECAA42B" w:rsidR="00347F37" w:rsidRPr="0043215C" w:rsidRDefault="00347F37" w:rsidP="00347F37">
      <w:pPr>
        <w:pStyle w:val="ListParagraph"/>
        <w:numPr>
          <w:ilvl w:val="0"/>
          <w:numId w:val="17"/>
        </w:numPr>
        <w:spacing w:before="120" w:after="0" w:line="240" w:lineRule="auto"/>
        <w:ind w:left="360"/>
        <w:rPr>
          <w:rStyle w:val="normaltextrun"/>
          <w:rFonts w:eastAsia="Times New Roman" w:cstheme="minorHAnsi"/>
          <w:color w:val="000000" w:themeColor="text1"/>
          <w:sz w:val="20"/>
          <w:szCs w:val="20"/>
        </w:rPr>
      </w:pPr>
      <w:r w:rsidRPr="0043215C">
        <w:rPr>
          <w:rStyle w:val="eop"/>
          <w:rFonts w:eastAsia="Times New Roman" w:cstheme="minorHAnsi"/>
          <w:b/>
          <w:color w:val="000000" w:themeColor="text1"/>
          <w:sz w:val="20"/>
          <w:szCs w:val="20"/>
        </w:rPr>
        <w:t>Second Energy Efficiency in Public Buildings (EEPB-2) - (IBRD E</w:t>
      </w:r>
      <w:r w:rsidR="00B21B65">
        <w:rPr>
          <w:rStyle w:val="eop"/>
          <w:rFonts w:eastAsia="Times New Roman" w:cstheme="minorHAnsi"/>
          <w:b/>
          <w:color w:val="000000" w:themeColor="text1"/>
          <w:sz w:val="20"/>
          <w:szCs w:val="20"/>
        </w:rPr>
        <w:t>UR</w:t>
      </w:r>
      <w:r w:rsidRPr="0043215C">
        <w:rPr>
          <w:rStyle w:val="eop"/>
          <w:rFonts w:eastAsia="Times New Roman" w:cstheme="minorHAnsi"/>
          <w:b/>
          <w:color w:val="000000" w:themeColor="text1"/>
          <w:sz w:val="20"/>
          <w:szCs w:val="20"/>
        </w:rPr>
        <w:t xml:space="preserve">300 m.). </w:t>
      </w:r>
      <w:r w:rsidRPr="0043215C">
        <w:rPr>
          <w:rStyle w:val="normaltextrun"/>
          <w:rFonts w:eastAsia="Times New Roman" w:cstheme="minorHAnsi"/>
          <w:color w:val="000000" w:themeColor="text1"/>
          <w:sz w:val="20"/>
          <w:szCs w:val="20"/>
        </w:rPr>
        <w:t>This Project is a follow-up to the ongoing Türkiye Energy Efficiency in Public Buildings Project. The proposed development objective is to cost-effectively reduce energy use in central government buildings. Two proposed components are: (i) energy efficiency investments in central government buildings; and (ii) technical assistance and implementation support.</w:t>
      </w:r>
    </w:p>
    <w:p w14:paraId="3E082AE2" w14:textId="3C03ACFD" w:rsidR="00347F37" w:rsidRPr="0043215C" w:rsidRDefault="00347F37" w:rsidP="00347F37">
      <w:pPr>
        <w:pStyle w:val="ListParagraph"/>
        <w:numPr>
          <w:ilvl w:val="0"/>
          <w:numId w:val="17"/>
        </w:numPr>
        <w:spacing w:before="120" w:after="0" w:line="240" w:lineRule="auto"/>
        <w:ind w:left="360"/>
        <w:rPr>
          <w:rStyle w:val="normaltextrun"/>
          <w:rFonts w:eastAsia="Times New Roman" w:cstheme="minorHAnsi"/>
          <w:color w:val="000000" w:themeColor="text1"/>
          <w:sz w:val="20"/>
          <w:szCs w:val="20"/>
        </w:rPr>
      </w:pPr>
      <w:r w:rsidRPr="0043215C">
        <w:rPr>
          <w:rStyle w:val="normaltextrun"/>
          <w:rFonts w:eastAsia="Times New Roman" w:cstheme="minorHAnsi"/>
          <w:b/>
          <w:color w:val="000000" w:themeColor="text1"/>
          <w:sz w:val="20"/>
          <w:szCs w:val="20"/>
        </w:rPr>
        <w:t>Transforming Power Transmission System for REI - Phase 2</w:t>
      </w:r>
      <w:r w:rsidRPr="0043215C">
        <w:rPr>
          <w:rStyle w:val="normaltextrun"/>
          <w:rFonts w:eastAsia="Times New Roman" w:cstheme="minorHAnsi"/>
          <w:color w:val="000000" w:themeColor="text1"/>
          <w:sz w:val="20"/>
          <w:szCs w:val="20"/>
        </w:rPr>
        <w:t xml:space="preserve"> (IBRD </w:t>
      </w:r>
      <w:r w:rsidR="00636124" w:rsidRPr="0043215C">
        <w:rPr>
          <w:rStyle w:val="normaltextrun"/>
          <w:rFonts w:eastAsia="Times New Roman" w:cstheme="minorHAnsi"/>
          <w:color w:val="000000" w:themeColor="text1"/>
          <w:sz w:val="20"/>
          <w:szCs w:val="20"/>
        </w:rPr>
        <w:t>US$</w:t>
      </w:r>
      <w:r w:rsidRPr="0043215C">
        <w:rPr>
          <w:rStyle w:val="normaltextrun"/>
          <w:rFonts w:eastAsia="Times New Roman" w:cstheme="minorHAnsi"/>
          <w:color w:val="000000" w:themeColor="text1"/>
          <w:sz w:val="20"/>
          <w:szCs w:val="20"/>
        </w:rPr>
        <w:t>750 m., FY26)</w:t>
      </w:r>
    </w:p>
    <w:p w14:paraId="5A61E9AE" w14:textId="77777777" w:rsidR="00347F37" w:rsidRPr="0043215C" w:rsidRDefault="00347F37" w:rsidP="00347F37">
      <w:pPr>
        <w:spacing w:before="120" w:after="0" w:line="240" w:lineRule="auto"/>
        <w:rPr>
          <w:rFonts w:eastAsia="Times New Roman" w:cstheme="minorHAnsi"/>
          <w:color w:val="000000" w:themeColor="text1"/>
          <w:sz w:val="20"/>
          <w:szCs w:val="20"/>
        </w:rPr>
      </w:pPr>
      <w:r w:rsidRPr="0043215C">
        <w:rPr>
          <w:rStyle w:val="eop"/>
          <w:rFonts w:eastAsia="Times New Roman" w:cstheme="minorHAnsi"/>
          <w:b/>
          <w:color w:val="000000" w:themeColor="text1"/>
          <w:sz w:val="20"/>
          <w:szCs w:val="20"/>
        </w:rPr>
        <w:t>Potential Pipeline for FY26 and Beyond</w:t>
      </w:r>
    </w:p>
    <w:p w14:paraId="794EA048" w14:textId="2FEBA918" w:rsidR="00347F37" w:rsidRPr="0043215C" w:rsidRDefault="00347F37" w:rsidP="00347F37">
      <w:pPr>
        <w:pStyle w:val="ListParagraph"/>
        <w:numPr>
          <w:ilvl w:val="0"/>
          <w:numId w:val="16"/>
        </w:numPr>
        <w:spacing w:before="120" w:after="0" w:line="240" w:lineRule="auto"/>
        <w:ind w:left="360"/>
        <w:rPr>
          <w:rFonts w:eastAsia="Times New Roman" w:cstheme="minorHAnsi"/>
          <w:color w:val="000000" w:themeColor="text1"/>
          <w:sz w:val="20"/>
          <w:szCs w:val="20"/>
        </w:rPr>
      </w:pPr>
      <w:r w:rsidRPr="0043215C">
        <w:rPr>
          <w:rStyle w:val="normaltextrun"/>
          <w:rFonts w:eastAsia="Times New Roman" w:cstheme="minorHAnsi"/>
          <w:b/>
          <w:color w:val="000000" w:themeColor="text1"/>
          <w:sz w:val="20"/>
          <w:szCs w:val="20"/>
        </w:rPr>
        <w:t xml:space="preserve">The Hydropower Energy Efficiency (Rehabilitation) Project </w:t>
      </w:r>
      <w:r w:rsidRPr="0043215C">
        <w:rPr>
          <w:rStyle w:val="normaltextrun"/>
          <w:rFonts w:eastAsia="Times New Roman" w:cstheme="minorHAnsi"/>
          <w:color w:val="000000" w:themeColor="text1"/>
          <w:sz w:val="20"/>
          <w:szCs w:val="20"/>
        </w:rPr>
        <w:t xml:space="preserve">- (IBRD </w:t>
      </w:r>
      <w:r w:rsidR="00636124" w:rsidRPr="0043215C">
        <w:rPr>
          <w:rStyle w:val="normaltextrun"/>
          <w:rFonts w:eastAsia="Times New Roman" w:cstheme="minorHAnsi"/>
          <w:color w:val="000000" w:themeColor="text1"/>
          <w:sz w:val="20"/>
          <w:szCs w:val="20"/>
        </w:rPr>
        <w:t>US$</w:t>
      </w:r>
      <w:r w:rsidRPr="0043215C">
        <w:rPr>
          <w:rStyle w:val="normaltextrun"/>
          <w:rFonts w:eastAsia="Times New Roman" w:cstheme="minorHAnsi"/>
          <w:color w:val="000000" w:themeColor="text1"/>
          <w:sz w:val="20"/>
          <w:szCs w:val="20"/>
        </w:rPr>
        <w:t xml:space="preserve">200-250 m.), </w:t>
      </w:r>
    </w:p>
    <w:p w14:paraId="5867F5D2" w14:textId="117E7586" w:rsidR="00347F37" w:rsidRPr="0043215C" w:rsidRDefault="00347F37" w:rsidP="00347F37">
      <w:pPr>
        <w:pStyle w:val="ListParagraph"/>
        <w:numPr>
          <w:ilvl w:val="0"/>
          <w:numId w:val="16"/>
        </w:numPr>
        <w:spacing w:before="120" w:after="0" w:line="240" w:lineRule="auto"/>
        <w:ind w:left="360"/>
        <w:rPr>
          <w:rStyle w:val="normaltextrun"/>
          <w:rFonts w:eastAsia="Times New Roman" w:cstheme="minorHAnsi"/>
          <w:color w:val="000000" w:themeColor="text1"/>
          <w:sz w:val="20"/>
          <w:szCs w:val="20"/>
        </w:rPr>
      </w:pPr>
      <w:r w:rsidRPr="0043215C">
        <w:rPr>
          <w:rStyle w:val="normaltextrun"/>
          <w:rFonts w:eastAsia="Times New Roman" w:cstheme="minorHAnsi"/>
          <w:b/>
          <w:color w:val="000000" w:themeColor="text1"/>
          <w:sz w:val="20"/>
          <w:szCs w:val="20"/>
        </w:rPr>
        <w:t>Transforming Power Transmission System for REI - Phase 2</w:t>
      </w:r>
      <w:r w:rsidRPr="0043215C">
        <w:rPr>
          <w:rStyle w:val="normaltextrun"/>
          <w:rFonts w:eastAsia="Times New Roman" w:cstheme="minorHAnsi"/>
          <w:color w:val="000000" w:themeColor="text1"/>
          <w:sz w:val="20"/>
          <w:szCs w:val="20"/>
        </w:rPr>
        <w:t xml:space="preserve"> (IBRD </w:t>
      </w:r>
      <w:r w:rsidR="00636124" w:rsidRPr="0043215C">
        <w:rPr>
          <w:rStyle w:val="normaltextrun"/>
          <w:rFonts w:eastAsia="Times New Roman" w:cstheme="minorHAnsi"/>
          <w:color w:val="000000" w:themeColor="text1"/>
          <w:sz w:val="20"/>
          <w:szCs w:val="20"/>
        </w:rPr>
        <w:t>US$</w:t>
      </w:r>
      <w:r w:rsidRPr="0043215C">
        <w:rPr>
          <w:rStyle w:val="normaltextrun"/>
          <w:rFonts w:eastAsia="Times New Roman" w:cstheme="minorHAnsi"/>
          <w:color w:val="000000" w:themeColor="text1"/>
          <w:sz w:val="20"/>
          <w:szCs w:val="20"/>
        </w:rPr>
        <w:t>750 m.)</w:t>
      </w:r>
    </w:p>
    <w:p w14:paraId="274E694F" w14:textId="3944BEF6" w:rsidR="00347F37" w:rsidRPr="0043215C" w:rsidRDefault="00347F37" w:rsidP="00347F37">
      <w:pPr>
        <w:pStyle w:val="ListParagraph"/>
        <w:numPr>
          <w:ilvl w:val="0"/>
          <w:numId w:val="16"/>
        </w:numPr>
        <w:spacing w:before="60" w:after="0"/>
        <w:ind w:left="360"/>
        <w:rPr>
          <w:rFonts w:eastAsia="Times New Roman" w:cstheme="minorHAnsi"/>
          <w:color w:val="000000" w:themeColor="text1"/>
          <w:sz w:val="20"/>
          <w:szCs w:val="20"/>
        </w:rPr>
      </w:pPr>
      <w:r w:rsidRPr="0043215C">
        <w:rPr>
          <w:rStyle w:val="normaltextrun"/>
          <w:rFonts w:eastAsia="Times New Roman" w:cstheme="minorHAnsi"/>
          <w:b/>
          <w:color w:val="000000" w:themeColor="text1"/>
          <w:sz w:val="20"/>
          <w:szCs w:val="20"/>
        </w:rPr>
        <w:t>Development of the First Hydropower Pumped Storage in Türkiye</w:t>
      </w:r>
      <w:r w:rsidRPr="0043215C">
        <w:rPr>
          <w:rStyle w:val="normaltextrun"/>
          <w:rFonts w:eastAsia="Times New Roman" w:cstheme="minorHAnsi"/>
          <w:color w:val="000000" w:themeColor="text1"/>
          <w:sz w:val="20"/>
          <w:szCs w:val="20"/>
        </w:rPr>
        <w:t xml:space="preserve"> (discussions are ongoing with MENR and TEİAŞ) - (IBRD </w:t>
      </w:r>
      <w:r w:rsidR="00636124" w:rsidRPr="0043215C">
        <w:rPr>
          <w:rStyle w:val="normaltextrun"/>
          <w:rFonts w:eastAsia="Times New Roman" w:cstheme="minorHAnsi"/>
          <w:color w:val="000000" w:themeColor="text1"/>
          <w:sz w:val="20"/>
          <w:szCs w:val="20"/>
        </w:rPr>
        <w:t>US$</w:t>
      </w:r>
      <w:r w:rsidRPr="0043215C">
        <w:rPr>
          <w:rStyle w:val="normaltextrun"/>
          <w:rFonts w:eastAsia="Times New Roman" w:cstheme="minorHAnsi"/>
          <w:color w:val="000000" w:themeColor="text1"/>
          <w:sz w:val="20"/>
          <w:szCs w:val="20"/>
        </w:rPr>
        <w:t>500-750 m.)</w:t>
      </w:r>
    </w:p>
    <w:p w14:paraId="062AC462" w14:textId="77777777" w:rsidR="00347F37" w:rsidRPr="0043215C" w:rsidRDefault="00347F37" w:rsidP="00347F37">
      <w:pPr>
        <w:rPr>
          <w:rFonts w:cstheme="minorHAnsi"/>
          <w:sz w:val="20"/>
          <w:szCs w:val="20"/>
          <w:lang w:val="tr"/>
        </w:rPr>
      </w:pPr>
    </w:p>
    <w:p w14:paraId="31BC9E6C" w14:textId="77777777" w:rsidR="00347F37" w:rsidRPr="0043215C" w:rsidRDefault="00347F37" w:rsidP="00347F37">
      <w:pPr>
        <w:pStyle w:val="paragraph"/>
        <w:numPr>
          <w:ilvl w:val="0"/>
          <w:numId w:val="11"/>
        </w:numPr>
        <w:spacing w:before="120" w:beforeAutospacing="0" w:after="0" w:afterAutospacing="0" w:line="240" w:lineRule="auto"/>
        <w:rPr>
          <w:rFonts w:asciiTheme="minorHAnsi" w:hAnsiTheme="minorHAnsi" w:cstheme="minorHAnsi"/>
          <w:b/>
          <w:bCs/>
          <w:sz w:val="20"/>
          <w:szCs w:val="20"/>
        </w:rPr>
      </w:pPr>
      <w:r w:rsidRPr="0043215C">
        <w:rPr>
          <w:rFonts w:asciiTheme="minorHAnsi" w:hAnsiTheme="minorHAnsi" w:cstheme="minorHAnsi"/>
          <w:b/>
          <w:bCs/>
          <w:sz w:val="20"/>
          <w:szCs w:val="20"/>
        </w:rPr>
        <w:t>Summary of IFC’s Engagement in the Türkiye Energy Sector</w:t>
      </w:r>
    </w:p>
    <w:p w14:paraId="2C165F44" w14:textId="77777777" w:rsidR="00347F37" w:rsidRPr="0043215C" w:rsidRDefault="00347F37" w:rsidP="00347F37">
      <w:pPr>
        <w:pStyle w:val="paragraph"/>
        <w:spacing w:beforeAutospacing="0" w:after="0" w:afterAutospacing="0" w:line="240" w:lineRule="auto"/>
        <w:rPr>
          <w:rFonts w:asciiTheme="minorHAnsi" w:hAnsiTheme="minorHAnsi" w:cstheme="minorHAnsi"/>
          <w:sz w:val="20"/>
          <w:szCs w:val="20"/>
        </w:rPr>
      </w:pPr>
    </w:p>
    <w:p w14:paraId="715178DC" w14:textId="7D839832" w:rsidR="00347F37" w:rsidRPr="0043215C" w:rsidRDefault="00347F37" w:rsidP="00347F37">
      <w:pPr>
        <w:pStyle w:val="paragraph"/>
        <w:spacing w:beforeAutospacing="0" w:after="0" w:afterAutospacing="0" w:line="240" w:lineRule="auto"/>
        <w:rPr>
          <w:rFonts w:asciiTheme="minorHAnsi" w:hAnsiTheme="minorHAnsi" w:cstheme="minorHAnsi"/>
          <w:sz w:val="20"/>
          <w:szCs w:val="20"/>
        </w:rPr>
      </w:pPr>
      <w:r w:rsidRPr="0043215C">
        <w:rPr>
          <w:rFonts w:asciiTheme="minorHAnsi" w:hAnsiTheme="minorHAnsi" w:cstheme="minorHAnsi"/>
          <w:sz w:val="20"/>
          <w:szCs w:val="20"/>
        </w:rPr>
        <w:t xml:space="preserve">In Türkiye, IFC has leveraged more than </w:t>
      </w:r>
      <w:r w:rsidR="00636124" w:rsidRPr="0043215C">
        <w:rPr>
          <w:rFonts w:asciiTheme="minorHAnsi" w:hAnsiTheme="minorHAnsi" w:cstheme="minorHAnsi"/>
          <w:sz w:val="20"/>
          <w:szCs w:val="20"/>
        </w:rPr>
        <w:t>US$</w:t>
      </w:r>
      <w:r w:rsidRPr="0043215C">
        <w:rPr>
          <w:rFonts w:asciiTheme="minorHAnsi" w:hAnsiTheme="minorHAnsi" w:cstheme="minorHAnsi"/>
          <w:sz w:val="20"/>
          <w:szCs w:val="20"/>
        </w:rPr>
        <w:t>3 billion to support private-sector efforts designed to increase energy generation, improve energy efficiency, and mitigate the impacts of climate change. IFC investments include 10 power generation projects with an installed capacity of 4,300 megawatts (MW), as well as power distribution projects that have reached improving services for 3.9 million customers. Building on World Bank reforms in the country, IFC has been a long-term investor, supporting the comprehensive reform of the sector. These efforts have successfully spurred innovation and created new markets, resulting in greater access to reliable electricity, accelerated economic growth, and an increase in labor force participation. IFC continues to finance power generation to meet Türkiye’s growing medium to long-term needs. Strengthening the distribution network is also a key priority for increasing renewable energy integration and resilience.  In April 2024, the W</w:t>
      </w:r>
      <w:r w:rsidR="00047598">
        <w:rPr>
          <w:rFonts w:asciiTheme="minorHAnsi" w:hAnsiTheme="minorHAnsi" w:cstheme="minorHAnsi"/>
          <w:sz w:val="20"/>
          <w:szCs w:val="20"/>
        </w:rPr>
        <w:t>orld Bank</w:t>
      </w:r>
      <w:r w:rsidRPr="0043215C">
        <w:rPr>
          <w:rFonts w:asciiTheme="minorHAnsi" w:hAnsiTheme="minorHAnsi" w:cstheme="minorHAnsi"/>
          <w:sz w:val="20"/>
          <w:szCs w:val="20"/>
        </w:rPr>
        <w:t xml:space="preserve"> Country Partnership Framework FY24-FY28 was approved. IFC, together with IBRD and MIGA, will continue to support projects aimed at increasing renewable energy production, as well as modernizing transmission and distribution networks. IFC remains keen to support the adoption of new clean technologies such as battery storage energy systems (both stand-alone and consolidated into renewable generation facilities), which will scale up the renewable generation and diversify the country’s generation mix as well as build up the resilience of power system.</w:t>
      </w:r>
    </w:p>
    <w:p w14:paraId="5D9682DC" w14:textId="77777777" w:rsidR="00347F37" w:rsidRPr="0043215C" w:rsidRDefault="00347F37" w:rsidP="00347F37">
      <w:pPr>
        <w:pStyle w:val="paragraph"/>
        <w:spacing w:before="120" w:beforeAutospacing="0" w:after="0" w:afterAutospacing="0" w:line="240" w:lineRule="auto"/>
        <w:rPr>
          <w:rFonts w:asciiTheme="minorHAnsi" w:hAnsiTheme="minorHAnsi" w:cstheme="minorHAnsi"/>
          <w:b/>
          <w:bCs/>
          <w:sz w:val="20"/>
          <w:szCs w:val="20"/>
        </w:rPr>
      </w:pPr>
    </w:p>
    <w:p w14:paraId="72272456" w14:textId="77777777" w:rsidR="00347F37" w:rsidRPr="0043215C" w:rsidRDefault="00347F37" w:rsidP="00347F37">
      <w:pPr>
        <w:pStyle w:val="paragraph"/>
        <w:numPr>
          <w:ilvl w:val="0"/>
          <w:numId w:val="11"/>
        </w:numPr>
        <w:spacing w:before="120" w:beforeAutospacing="0" w:after="0" w:afterAutospacing="0" w:line="240" w:lineRule="auto"/>
        <w:rPr>
          <w:rFonts w:asciiTheme="minorHAnsi" w:hAnsiTheme="minorHAnsi" w:cstheme="minorHAnsi"/>
          <w:b/>
          <w:bCs/>
          <w:sz w:val="20"/>
          <w:szCs w:val="20"/>
        </w:rPr>
      </w:pPr>
      <w:r w:rsidRPr="0043215C">
        <w:rPr>
          <w:rFonts w:asciiTheme="minorHAnsi" w:hAnsiTheme="minorHAnsi" w:cstheme="minorHAnsi"/>
          <w:b/>
          <w:bCs/>
          <w:sz w:val="20"/>
          <w:szCs w:val="20"/>
        </w:rPr>
        <w:t>Summary of the EBRD’s Engagement in the Türkiye Energy Sector</w:t>
      </w:r>
    </w:p>
    <w:p w14:paraId="62A9DF17" w14:textId="7F08E60D" w:rsidR="00347F37" w:rsidRPr="0043215C" w:rsidRDefault="00347F37" w:rsidP="00347F37">
      <w:pPr>
        <w:spacing w:before="120"/>
        <w:rPr>
          <w:rFonts w:eastAsia="Calibri" w:cstheme="minorHAnsi"/>
          <w:sz w:val="20"/>
          <w:szCs w:val="20"/>
        </w:rPr>
      </w:pPr>
      <w:r w:rsidRPr="0043215C">
        <w:rPr>
          <w:rFonts w:cstheme="minorHAnsi"/>
          <w:bCs/>
          <w:sz w:val="20"/>
          <w:szCs w:val="20"/>
        </w:rPr>
        <w:t xml:space="preserve">In the past 10 years, the EBRD has invested EUR2 billion across 30 projects in Türkiye's energy sector (incl. renewables, energy efficiency, power distribution, </w:t>
      </w:r>
      <w:proofErr w:type="spellStart"/>
      <w:r w:rsidRPr="0043215C">
        <w:rPr>
          <w:rFonts w:cstheme="minorHAnsi"/>
          <w:bCs/>
          <w:sz w:val="20"/>
          <w:szCs w:val="20"/>
        </w:rPr>
        <w:t>etc</w:t>
      </w:r>
      <w:proofErr w:type="spellEnd"/>
      <w:r w:rsidRPr="0043215C">
        <w:rPr>
          <w:rFonts w:cstheme="minorHAnsi"/>
          <w:bCs/>
          <w:sz w:val="20"/>
          <w:szCs w:val="20"/>
        </w:rPr>
        <w:t>). To date, the Bank has invested EUR 9 billion in supporting renewables, including large solar and wind projects. The EBRD has also invested</w:t>
      </w:r>
      <w:r w:rsidRPr="0043215C">
        <w:rPr>
          <w:rFonts w:eastAsia="Calibri" w:cstheme="minorHAnsi"/>
          <w:bCs/>
          <w:sz w:val="20"/>
          <w:szCs w:val="20"/>
        </w:rPr>
        <w:t xml:space="preserve"> in one of the largest geothermal power plants in the world,</w:t>
      </w:r>
      <w:r w:rsidRPr="0043215C">
        <w:rPr>
          <w:rFonts w:eastAsia="Calibri" w:cstheme="minorHAnsi"/>
          <w:sz w:val="20"/>
          <w:szCs w:val="20"/>
        </w:rPr>
        <w:t xml:space="preserve"> which alone increased Türkiye’s geothermal capacity by 30 per cent. Those investments also contributed the strengthening of human capital in the sector by promoting the green and digital skills </w:t>
      </w:r>
      <w:r w:rsidRPr="0043215C">
        <w:rPr>
          <w:rFonts w:eastAsia="Calibri" w:cstheme="minorHAnsi"/>
          <w:sz w:val="20"/>
          <w:szCs w:val="20"/>
        </w:rPr>
        <w:lastRenderedPageBreak/>
        <w:t>development of prospective workforce (</w:t>
      </w:r>
      <w:proofErr w:type="gramStart"/>
      <w:r w:rsidRPr="0043215C">
        <w:rPr>
          <w:rFonts w:eastAsia="Calibri" w:cstheme="minorHAnsi"/>
          <w:sz w:val="20"/>
          <w:szCs w:val="20"/>
        </w:rPr>
        <w:t>i.e.</w:t>
      </w:r>
      <w:proofErr w:type="gramEnd"/>
      <w:r w:rsidRPr="0043215C">
        <w:rPr>
          <w:rFonts w:eastAsia="Calibri" w:cstheme="minorHAnsi"/>
          <w:sz w:val="20"/>
          <w:szCs w:val="20"/>
        </w:rPr>
        <w:t xml:space="preserve"> design, maintenance, remote management of WPPs) via nationally accredited certifications granted by local education institutions. They also supported workforce diversity of the companies through the development and implementation of Equal Opportunity Action Plans.</w:t>
      </w:r>
    </w:p>
    <w:p w14:paraId="29E06C45" w14:textId="77777777" w:rsidR="00347F37" w:rsidRPr="0043215C" w:rsidRDefault="00347F37" w:rsidP="00347F37">
      <w:pPr>
        <w:pStyle w:val="paragraph"/>
        <w:spacing w:before="120" w:beforeAutospacing="0" w:after="0" w:afterAutospacing="0" w:line="240" w:lineRule="auto"/>
        <w:rPr>
          <w:rFonts w:asciiTheme="minorHAnsi" w:hAnsiTheme="minorHAnsi" w:cstheme="minorHAnsi"/>
          <w:color w:val="000000" w:themeColor="text1"/>
          <w:sz w:val="20"/>
          <w:szCs w:val="20"/>
        </w:rPr>
      </w:pPr>
      <w:r w:rsidRPr="0043215C">
        <w:rPr>
          <w:rFonts w:asciiTheme="minorHAnsi" w:hAnsiTheme="minorHAnsi" w:cstheme="minorHAnsi"/>
          <w:color w:val="000000" w:themeColor="text1"/>
          <w:sz w:val="20"/>
          <w:szCs w:val="20"/>
        </w:rPr>
        <w:t>The Bank is also closely cooperating with national authorities to create an enabling environment for economy-wide decarbonization. For example, the EBRD has assisted the local government in developing the Renewable Energy Action Plan (in line with the EU’s Renewable Energy Directive) and in designing post-2020 renewable energy support schemes based on competitive tendering and the National Energy Efficiency Action Plan (NEEAP).</w:t>
      </w:r>
    </w:p>
    <w:p w14:paraId="21A650A9" w14:textId="52A9DF1D" w:rsidR="00347F37" w:rsidRPr="0043215C" w:rsidRDefault="00347F37" w:rsidP="00347F37">
      <w:pPr>
        <w:pStyle w:val="paragraph"/>
        <w:spacing w:before="120" w:beforeAutospacing="0" w:after="0" w:afterAutospacing="0" w:line="240" w:lineRule="auto"/>
        <w:rPr>
          <w:rFonts w:asciiTheme="minorHAnsi" w:hAnsiTheme="minorHAnsi" w:cstheme="minorHAnsi"/>
          <w:color w:val="000000" w:themeColor="text1"/>
          <w:sz w:val="20"/>
          <w:szCs w:val="20"/>
        </w:rPr>
      </w:pPr>
      <w:r w:rsidRPr="0043215C">
        <w:rPr>
          <w:rFonts w:asciiTheme="minorHAnsi" w:hAnsiTheme="minorHAnsi" w:cstheme="minorHAnsi"/>
          <w:color w:val="000000" w:themeColor="text1"/>
          <w:sz w:val="20"/>
          <w:szCs w:val="20"/>
        </w:rPr>
        <w:t xml:space="preserve">Moreover, to help Türkiye achieve its net-zero target by 2053, the EBRD has supported the country to develop low-carbon pathways (LCPs) for 4 hard-to-abate industrial sectors, including steel, cement, </w:t>
      </w:r>
      <w:proofErr w:type="gramStart"/>
      <w:r w:rsidRPr="0043215C">
        <w:rPr>
          <w:rFonts w:asciiTheme="minorHAnsi" w:hAnsiTheme="minorHAnsi" w:cstheme="minorHAnsi"/>
          <w:color w:val="000000" w:themeColor="text1"/>
          <w:sz w:val="20"/>
          <w:szCs w:val="20"/>
        </w:rPr>
        <w:t>aluminum</w:t>
      </w:r>
      <w:proofErr w:type="gramEnd"/>
      <w:r w:rsidRPr="0043215C">
        <w:rPr>
          <w:rFonts w:asciiTheme="minorHAnsi" w:hAnsiTheme="minorHAnsi" w:cstheme="minorHAnsi"/>
          <w:color w:val="000000" w:themeColor="text1"/>
          <w:sz w:val="20"/>
          <w:szCs w:val="20"/>
        </w:rPr>
        <w:t xml:space="preserve"> and fertilizers. The LCPs show that, to decarbonize the selected four sectors, investments of more than </w:t>
      </w:r>
      <w:r w:rsidR="00636124" w:rsidRPr="0043215C">
        <w:rPr>
          <w:rFonts w:asciiTheme="minorHAnsi" w:hAnsiTheme="minorHAnsi" w:cstheme="minorHAnsi"/>
          <w:color w:val="000000" w:themeColor="text1"/>
          <w:sz w:val="20"/>
          <w:szCs w:val="20"/>
        </w:rPr>
        <w:t>US$</w:t>
      </w:r>
      <w:r w:rsidRPr="0043215C">
        <w:rPr>
          <w:rFonts w:asciiTheme="minorHAnsi" w:hAnsiTheme="minorHAnsi" w:cstheme="minorHAnsi"/>
          <w:color w:val="000000" w:themeColor="text1"/>
          <w:sz w:val="20"/>
          <w:szCs w:val="20"/>
        </w:rPr>
        <w:t xml:space="preserve"> 70 billion are needed to reduce emissions by 135 million tCO2 annually compared to BAU. Türkiye launched a national Industrial Decarbonization Platform at Cop28 in Dubai to drive decarbonization efforts and investments across sectors. Massive deployment of renewables, with adequate grid and storage investments, will be required to accompany this ambition. </w:t>
      </w:r>
    </w:p>
    <w:p w14:paraId="047122B7" w14:textId="77777777" w:rsidR="00347F37" w:rsidRPr="0043215C" w:rsidRDefault="00347F37" w:rsidP="00347F37">
      <w:pPr>
        <w:pStyle w:val="paragraph"/>
        <w:spacing w:before="120" w:beforeAutospacing="0" w:after="0" w:afterAutospacing="0" w:line="240" w:lineRule="auto"/>
        <w:rPr>
          <w:rFonts w:asciiTheme="minorHAnsi" w:hAnsiTheme="minorHAnsi" w:cstheme="minorHAnsi"/>
          <w:sz w:val="20"/>
          <w:szCs w:val="20"/>
        </w:rPr>
      </w:pPr>
    </w:p>
    <w:p w14:paraId="034D6641" w14:textId="77777777" w:rsidR="00347F37" w:rsidRPr="0043215C" w:rsidRDefault="00347F37" w:rsidP="00347F37">
      <w:pPr>
        <w:spacing w:after="0"/>
        <w:rPr>
          <w:rFonts w:eastAsia="Calibri" w:cstheme="minorHAnsi"/>
          <w:sz w:val="20"/>
          <w:szCs w:val="20"/>
        </w:rPr>
      </w:pPr>
      <w:r w:rsidRPr="0043215C">
        <w:rPr>
          <w:rFonts w:eastAsia="Calibri" w:cstheme="minorHAnsi"/>
          <w:sz w:val="20"/>
          <w:szCs w:val="20"/>
        </w:rPr>
        <w:t>EBRD is also exploring small battery storage project that is at early stage. EBRD expects to receive increased interest for financing requests in this area starting from 2025.</w:t>
      </w:r>
    </w:p>
    <w:p w14:paraId="4B587FB0" w14:textId="77777777" w:rsidR="00347F37" w:rsidRPr="0043215C" w:rsidRDefault="00347F37" w:rsidP="00347F37">
      <w:pPr>
        <w:spacing w:after="0"/>
        <w:rPr>
          <w:rFonts w:eastAsia="Calibri" w:cstheme="minorHAnsi"/>
          <w:sz w:val="20"/>
          <w:szCs w:val="20"/>
        </w:rPr>
      </w:pPr>
    </w:p>
    <w:p w14:paraId="1D2765FF" w14:textId="2E428723" w:rsidR="00347F37" w:rsidRPr="0043215C" w:rsidRDefault="00347F37" w:rsidP="00347F37">
      <w:pPr>
        <w:rPr>
          <w:rFonts w:eastAsia="Calibri" w:cstheme="minorHAnsi"/>
          <w:sz w:val="20"/>
          <w:szCs w:val="20"/>
        </w:rPr>
      </w:pPr>
      <w:r w:rsidRPr="0043215C">
        <w:rPr>
          <w:rFonts w:eastAsia="Calibri" w:cstheme="minorHAnsi"/>
          <w:sz w:val="20"/>
          <w:szCs w:val="20"/>
        </w:rPr>
        <w:t xml:space="preserve">Moreover, to help Türkiye achieve its net-zero target by 2053, the EBRD has supported the country to develop low-carbon pathways (LCPs) for 4 hard-to-abate industrial sectors, including steel, cement, </w:t>
      </w:r>
      <w:proofErr w:type="gramStart"/>
      <w:r w:rsidRPr="0043215C">
        <w:rPr>
          <w:rFonts w:eastAsia="Calibri" w:cstheme="minorHAnsi"/>
          <w:sz w:val="20"/>
          <w:szCs w:val="20"/>
        </w:rPr>
        <w:t>aluminum</w:t>
      </w:r>
      <w:proofErr w:type="gramEnd"/>
      <w:r w:rsidRPr="0043215C">
        <w:rPr>
          <w:rFonts w:eastAsia="Calibri" w:cstheme="minorHAnsi"/>
          <w:sz w:val="20"/>
          <w:szCs w:val="20"/>
        </w:rPr>
        <w:t xml:space="preserve"> and fertilizers. The LCPs show that, to decarbonize the selected four sectors, investments of more than </w:t>
      </w:r>
      <w:r w:rsidR="00636124" w:rsidRPr="0043215C">
        <w:rPr>
          <w:rFonts w:eastAsia="Calibri" w:cstheme="minorHAnsi"/>
          <w:sz w:val="20"/>
          <w:szCs w:val="20"/>
        </w:rPr>
        <w:t>US$</w:t>
      </w:r>
      <w:r w:rsidRPr="0043215C">
        <w:rPr>
          <w:rFonts w:eastAsia="Calibri" w:cstheme="minorHAnsi"/>
          <w:sz w:val="20"/>
          <w:szCs w:val="20"/>
        </w:rPr>
        <w:t xml:space="preserve"> 70 billion are needed to reduce emissions by 135 million tCO2 annually compared to business-as-usual (BAU). Türkiye launched a national Industrial Decarbonization Platform at COP28 in Dubai to drive decarbonization efforts and investments across sectors. Massive deployment of renewables, with adequate grid and storage investments, will be required to accompany this ambition. </w:t>
      </w:r>
    </w:p>
    <w:p w14:paraId="0B80B710" w14:textId="77777777" w:rsidR="00347F37" w:rsidRPr="0043215C" w:rsidRDefault="00347F37" w:rsidP="00347F37">
      <w:pPr>
        <w:jc w:val="left"/>
        <w:rPr>
          <w:rFonts w:cstheme="minorHAnsi"/>
          <w:sz w:val="20"/>
          <w:szCs w:val="20"/>
          <w:lang w:val="tr"/>
        </w:rPr>
      </w:pPr>
    </w:p>
    <w:p w14:paraId="63FBA8F7" w14:textId="1964CA7D" w:rsidR="00347F37" w:rsidRPr="007C03F8" w:rsidRDefault="00347F37" w:rsidP="007C03F8">
      <w:pPr>
        <w:pStyle w:val="Heading3"/>
        <w:rPr>
          <w:rFonts w:cstheme="minorHAnsi"/>
          <w:sz w:val="20"/>
          <w:szCs w:val="20"/>
        </w:rPr>
      </w:pPr>
      <w:r w:rsidRPr="0043215C">
        <w:rPr>
          <w:rFonts w:cstheme="minorHAnsi"/>
          <w:sz w:val="20"/>
          <w:szCs w:val="20"/>
        </w:rPr>
        <w:br w:type="page"/>
      </w:r>
      <w:bookmarkStart w:id="183" w:name="_Toc162962981"/>
      <w:bookmarkStart w:id="184" w:name="_Toc162964163"/>
      <w:bookmarkStart w:id="185" w:name="_Toc170319856"/>
      <w:r w:rsidRPr="0043215C">
        <w:rPr>
          <w:rFonts w:cstheme="minorHAnsi"/>
          <w:sz w:val="20"/>
          <w:szCs w:val="20"/>
        </w:rPr>
        <w:lastRenderedPageBreak/>
        <w:t>ANNEX 8. Component 1 Brief: Transforming the Power System for REI</w:t>
      </w:r>
      <w:bookmarkEnd w:id="181"/>
      <w:bookmarkEnd w:id="183"/>
      <w:bookmarkEnd w:id="184"/>
      <w:bookmarkEnd w:id="185"/>
    </w:p>
    <w:p w14:paraId="488E08DC" w14:textId="77777777" w:rsidR="00347F37" w:rsidRPr="0043215C" w:rsidRDefault="00347F37" w:rsidP="00347F37">
      <w:pPr>
        <w:spacing w:after="0"/>
        <w:rPr>
          <w:rFonts w:cstheme="minorHAnsi"/>
          <w:sz w:val="20"/>
          <w:szCs w:val="20"/>
        </w:rPr>
      </w:pPr>
      <w:r w:rsidRPr="0043215C">
        <w:rPr>
          <w:rFonts w:eastAsia="Calibri" w:cstheme="minorHAnsi"/>
          <w:i/>
          <w:iCs/>
          <w:color w:val="000000" w:themeColor="text1"/>
          <w:sz w:val="20"/>
          <w:szCs w:val="20"/>
        </w:rPr>
        <w:t xml:space="preserve">Problem Statement </w:t>
      </w:r>
    </w:p>
    <w:p w14:paraId="0BF6C6CD" w14:textId="77777777" w:rsidR="00347F37" w:rsidRPr="0043215C" w:rsidRDefault="00347F37" w:rsidP="00347F37">
      <w:pPr>
        <w:spacing w:after="0"/>
        <w:rPr>
          <w:rFonts w:cstheme="minorHAnsi"/>
          <w:sz w:val="20"/>
          <w:szCs w:val="20"/>
        </w:rPr>
      </w:pPr>
      <w:r w:rsidRPr="0043215C">
        <w:rPr>
          <w:rFonts w:eastAsia="Calibri" w:cstheme="minorHAnsi"/>
          <w:i/>
          <w:iCs/>
          <w:color w:val="000000" w:themeColor="text1"/>
          <w:sz w:val="20"/>
          <w:szCs w:val="20"/>
        </w:rPr>
        <w:t xml:space="preserve"> </w:t>
      </w:r>
    </w:p>
    <w:p w14:paraId="15356903" w14:textId="77777777" w:rsidR="00347F37" w:rsidRPr="0043215C" w:rsidRDefault="00347F37" w:rsidP="00347F37">
      <w:pPr>
        <w:spacing w:after="0"/>
        <w:rPr>
          <w:rFonts w:cstheme="minorHAnsi"/>
          <w:sz w:val="20"/>
          <w:szCs w:val="20"/>
        </w:rPr>
      </w:pPr>
      <w:r w:rsidRPr="0043215C">
        <w:rPr>
          <w:rFonts w:eastAsia="Calibri" w:cstheme="minorHAnsi"/>
          <w:sz w:val="20"/>
          <w:szCs w:val="20"/>
        </w:rPr>
        <w:t xml:space="preserve">Türkiye aspires to achieve carbon neutrality by 2053, but reaching such a goal requires major changes in its energy system. </w:t>
      </w:r>
      <w:r w:rsidRPr="0043215C">
        <w:rPr>
          <w:rFonts w:eastAsia="Times New Roman" w:cstheme="minorHAnsi"/>
          <w:sz w:val="20"/>
          <w:szCs w:val="20"/>
        </w:rPr>
        <w:t xml:space="preserve">Türkiye’s ratification of the Paris Agreement in October 2021 and its pledge to achieve net zero emissions by 2053, were strong signals of the country’s commitment to tackle climate change. As indicated in the World Bank’s Türkiye Country Climate and Development Report (CCDR, 2022), Türkiye can also improve energy security through an accelerated pace of least-cost investments in domestic solar and wind—building on its track record of tripling renewable energy capacity in the last decade and investing in energy efficiency, battery, and pumped storage, geothermal, and gas generation with carbon capture and storage. </w:t>
      </w:r>
    </w:p>
    <w:p w14:paraId="3D0A56F5" w14:textId="77777777" w:rsidR="00347F37" w:rsidRPr="0043215C" w:rsidRDefault="00347F37" w:rsidP="00347F37">
      <w:pPr>
        <w:spacing w:after="0"/>
        <w:rPr>
          <w:rFonts w:cstheme="minorHAnsi"/>
          <w:sz w:val="20"/>
          <w:szCs w:val="20"/>
        </w:rPr>
      </w:pPr>
      <w:r w:rsidRPr="0043215C">
        <w:rPr>
          <w:rFonts w:eastAsia="Calibri" w:cstheme="minorHAnsi"/>
          <w:sz w:val="20"/>
          <w:szCs w:val="20"/>
        </w:rPr>
        <w:t xml:space="preserve"> </w:t>
      </w:r>
    </w:p>
    <w:p w14:paraId="50B6B7B0" w14:textId="494A2F0D" w:rsidR="00347F37" w:rsidRPr="0043215C" w:rsidRDefault="00347F37" w:rsidP="00347F37">
      <w:pPr>
        <w:spacing w:after="0"/>
        <w:rPr>
          <w:rFonts w:cstheme="minorHAnsi"/>
          <w:sz w:val="20"/>
          <w:szCs w:val="20"/>
        </w:rPr>
      </w:pPr>
      <w:r w:rsidRPr="0043215C">
        <w:rPr>
          <w:rFonts w:eastAsia="Calibri" w:cstheme="minorHAnsi"/>
          <w:sz w:val="20"/>
          <w:szCs w:val="20"/>
        </w:rPr>
        <w:t xml:space="preserve">The country’s high dependency on energy imports poses security of supply risk, as well as a high energy bill. Türkiye’s energy imports (99 percent of gas and 93 percent of), accounting for almost 20 percent of Türkiye’s total imports in 2021, contributes to massive current account deficit (nearly </w:t>
      </w:r>
      <w:r w:rsidR="00636124" w:rsidRPr="0043215C">
        <w:rPr>
          <w:rFonts w:eastAsia="Calibri" w:cstheme="minorHAnsi"/>
          <w:sz w:val="20"/>
          <w:szCs w:val="20"/>
        </w:rPr>
        <w:t>US$</w:t>
      </w:r>
      <w:r w:rsidRPr="0043215C">
        <w:rPr>
          <w:rFonts w:eastAsia="Calibri" w:cstheme="minorHAnsi"/>
          <w:sz w:val="20"/>
          <w:szCs w:val="20"/>
        </w:rPr>
        <w:t xml:space="preserve">51 billion in 2021). </w:t>
      </w:r>
    </w:p>
    <w:p w14:paraId="0CB1CE1B" w14:textId="77777777" w:rsidR="00347F37" w:rsidRPr="0043215C" w:rsidRDefault="00347F37" w:rsidP="00347F37">
      <w:pPr>
        <w:spacing w:after="0"/>
        <w:rPr>
          <w:rFonts w:cstheme="minorHAnsi"/>
          <w:sz w:val="20"/>
          <w:szCs w:val="20"/>
        </w:rPr>
      </w:pPr>
      <w:r w:rsidRPr="0043215C">
        <w:rPr>
          <w:rFonts w:eastAsia="Calibri" w:cstheme="minorHAnsi"/>
          <w:sz w:val="20"/>
          <w:szCs w:val="20"/>
        </w:rPr>
        <w:t xml:space="preserve"> </w:t>
      </w:r>
    </w:p>
    <w:p w14:paraId="1C3C9C41" w14:textId="77777777" w:rsidR="00347F37" w:rsidRPr="0043215C" w:rsidRDefault="00347F37" w:rsidP="00347F37">
      <w:pPr>
        <w:spacing w:after="0"/>
        <w:rPr>
          <w:rFonts w:cstheme="minorHAnsi"/>
          <w:sz w:val="20"/>
          <w:szCs w:val="20"/>
        </w:rPr>
      </w:pPr>
      <w:r w:rsidRPr="0043215C">
        <w:rPr>
          <w:rFonts w:eastAsia="Calibri" w:cstheme="minorHAnsi"/>
          <w:sz w:val="20"/>
          <w:szCs w:val="20"/>
        </w:rPr>
        <w:t>Scaling up RE is a core government development policy, critical to both strengthen energy security and achieve the country’s 2053 net zero emission target.</w:t>
      </w:r>
      <w:r w:rsidRPr="0043215C">
        <w:rPr>
          <w:rFonts w:eastAsia="Times New Roman" w:cstheme="minorHAnsi"/>
          <w:sz w:val="20"/>
          <w:szCs w:val="20"/>
        </w:rPr>
        <w:t xml:space="preserve"> Türkiye is endowed with considerable RE resources, including solar, wind, and geothermal. Utilizing these RE resources and achieving energy security has long been at the core of the government strategy. </w:t>
      </w:r>
      <w:r w:rsidRPr="0043215C">
        <w:rPr>
          <w:rFonts w:eastAsia="Calibri" w:cstheme="minorHAnsi"/>
          <w:sz w:val="20"/>
          <w:szCs w:val="20"/>
        </w:rPr>
        <w:t>According to the 2022 NEP, by 2035, the installed capacity of solar and wind is targeted as 52.9 GW and 29.6 GW (24.6 GW onshore, 5 GW offshore), respectively, thus an additional 41.5 GW of solar, 12.8 GW onshore wind and 5 GW offshore wind facilities are planned to be constructed in the coming 11 years (by 2035). Government’s ambitious RE scale up program necessitates strengthening and</w:t>
      </w:r>
      <w:r w:rsidRPr="0043215C">
        <w:rPr>
          <w:rFonts w:eastAsia="Calibri" w:cstheme="minorHAnsi"/>
          <w:color w:val="000000" w:themeColor="text1"/>
          <w:sz w:val="20"/>
          <w:szCs w:val="20"/>
        </w:rPr>
        <w:t xml:space="preserve"> further digitizing the power transmission system</w:t>
      </w:r>
      <w:r w:rsidRPr="003535E7">
        <w:rPr>
          <w:rFonts w:eastAsia="Times New Roman" w:cstheme="minorHAnsi"/>
          <w:sz w:val="20"/>
          <w:szCs w:val="20"/>
        </w:rPr>
        <w:t xml:space="preserve"> and</w:t>
      </w:r>
      <w:r w:rsidRPr="0043215C">
        <w:rPr>
          <w:rFonts w:eastAsia="Times New Roman" w:cstheme="minorHAnsi"/>
          <w:color w:val="000000" w:themeColor="text1"/>
          <w:sz w:val="20"/>
          <w:szCs w:val="20"/>
        </w:rPr>
        <w:t xml:space="preserve"> facilitating large-scale renewable energy integration.</w:t>
      </w:r>
    </w:p>
    <w:p w14:paraId="5C43372A" w14:textId="77777777" w:rsidR="00347F37" w:rsidRPr="0043215C" w:rsidRDefault="00347F37" w:rsidP="00347F37">
      <w:pPr>
        <w:spacing w:after="0"/>
        <w:rPr>
          <w:rFonts w:cstheme="minorHAnsi"/>
          <w:sz w:val="20"/>
          <w:szCs w:val="20"/>
        </w:rPr>
      </w:pPr>
      <w:r w:rsidRPr="0043215C">
        <w:rPr>
          <w:rFonts w:eastAsia="Calibri" w:cstheme="minorHAnsi"/>
          <w:sz w:val="20"/>
          <w:szCs w:val="20"/>
        </w:rPr>
        <w:t xml:space="preserve"> </w:t>
      </w:r>
    </w:p>
    <w:p w14:paraId="19A82006" w14:textId="77777777" w:rsidR="00347F37" w:rsidRPr="0043215C" w:rsidRDefault="00347F37" w:rsidP="00347F37">
      <w:pPr>
        <w:spacing w:after="0"/>
        <w:rPr>
          <w:rFonts w:cstheme="minorHAnsi"/>
          <w:sz w:val="20"/>
          <w:szCs w:val="20"/>
        </w:rPr>
      </w:pPr>
      <w:r w:rsidRPr="0043215C">
        <w:rPr>
          <w:rFonts w:eastAsia="Calibri" w:cstheme="minorHAnsi"/>
          <w:i/>
          <w:iCs/>
          <w:color w:val="000000" w:themeColor="text1"/>
          <w:sz w:val="20"/>
          <w:szCs w:val="20"/>
        </w:rPr>
        <w:t xml:space="preserve">Implementation Readiness </w:t>
      </w:r>
    </w:p>
    <w:p w14:paraId="61E150E2" w14:textId="77777777" w:rsidR="00347F37" w:rsidRPr="0043215C" w:rsidRDefault="00347F37" w:rsidP="00347F37">
      <w:pPr>
        <w:spacing w:after="0"/>
        <w:rPr>
          <w:rFonts w:cstheme="minorHAnsi"/>
          <w:sz w:val="20"/>
          <w:szCs w:val="20"/>
        </w:rPr>
      </w:pPr>
      <w:r w:rsidRPr="0043215C">
        <w:rPr>
          <w:rFonts w:eastAsia="Calibri" w:cstheme="minorHAnsi"/>
          <w:color w:val="000000" w:themeColor="text1"/>
          <w:sz w:val="20"/>
          <w:szCs w:val="20"/>
        </w:rPr>
        <w:t xml:space="preserve"> </w:t>
      </w:r>
    </w:p>
    <w:p w14:paraId="1BE8CB9D" w14:textId="77777777" w:rsidR="00347F37" w:rsidRPr="0043215C" w:rsidRDefault="00347F37" w:rsidP="00347F37">
      <w:pPr>
        <w:spacing w:after="0"/>
        <w:rPr>
          <w:rFonts w:cstheme="minorHAnsi"/>
          <w:sz w:val="20"/>
          <w:szCs w:val="20"/>
        </w:rPr>
      </w:pPr>
      <w:r w:rsidRPr="0043215C">
        <w:rPr>
          <w:rFonts w:eastAsia="Calibri" w:cstheme="minorHAnsi"/>
          <w:sz w:val="20"/>
          <w:szCs w:val="20"/>
        </w:rPr>
        <w:t xml:space="preserve">Implementation of this project requires commitment by the Government and the implementing agency TEİAŞ, which has already been endorsed by the official request letter sent by the </w:t>
      </w:r>
      <w:proofErr w:type="spellStart"/>
      <w:r w:rsidRPr="0043215C">
        <w:rPr>
          <w:rFonts w:eastAsia="Calibri" w:cstheme="minorHAnsi"/>
          <w:sz w:val="20"/>
          <w:szCs w:val="20"/>
        </w:rPr>
        <w:t>MoTF</w:t>
      </w:r>
      <w:proofErr w:type="spellEnd"/>
      <w:r w:rsidRPr="0043215C">
        <w:rPr>
          <w:rFonts w:eastAsia="Calibri" w:cstheme="minorHAnsi"/>
          <w:sz w:val="20"/>
          <w:szCs w:val="20"/>
        </w:rPr>
        <w:t xml:space="preserve"> to the World Bank in January 2024 for the financing of this project by the World Bank and CIF co-financing. </w:t>
      </w:r>
    </w:p>
    <w:p w14:paraId="4CD813E3" w14:textId="77777777" w:rsidR="00347F37" w:rsidRPr="0043215C" w:rsidRDefault="00347F37" w:rsidP="00347F37">
      <w:pPr>
        <w:spacing w:after="0"/>
        <w:rPr>
          <w:rFonts w:cstheme="minorHAnsi"/>
          <w:sz w:val="20"/>
          <w:szCs w:val="20"/>
        </w:rPr>
      </w:pPr>
      <w:r w:rsidRPr="0043215C">
        <w:rPr>
          <w:rFonts w:eastAsia="Calibri" w:cstheme="minorHAnsi"/>
          <w:sz w:val="20"/>
          <w:szCs w:val="20"/>
        </w:rPr>
        <w:t xml:space="preserve"> </w:t>
      </w:r>
    </w:p>
    <w:p w14:paraId="187FBABE" w14:textId="77777777" w:rsidR="00347F37" w:rsidRPr="0043215C" w:rsidRDefault="00347F37" w:rsidP="00347F37">
      <w:pPr>
        <w:spacing w:after="240"/>
        <w:rPr>
          <w:rFonts w:cstheme="minorHAnsi"/>
          <w:sz w:val="20"/>
          <w:szCs w:val="20"/>
        </w:rPr>
      </w:pPr>
      <w:r w:rsidRPr="0043215C">
        <w:rPr>
          <w:rFonts w:eastAsia="Calibri" w:cstheme="minorHAnsi"/>
          <w:sz w:val="20"/>
          <w:szCs w:val="20"/>
        </w:rPr>
        <w:t xml:space="preserve">The proposed project activities will be implemented by TEİAŞ in its roles as the electricity transmission system owner and operator. TEİAŞ is very familiar with the high quality MDB standards, specifically the World Bank’s policies and guidelines, including the procurement, financial management and safeguards aspects. In the last decade it has implemented four other World Bank and/or CTF-REI funded projects, including Renewable Energy Integration Project (REIP), ECSEE APL2, ECSEE APL3, ECSEE APL6, the TEK Restructuring and the National Transmission Grid projects, all of which were completed satisfactorily.  </w:t>
      </w:r>
    </w:p>
    <w:p w14:paraId="772BC53D" w14:textId="77777777" w:rsidR="00347F37" w:rsidRPr="0043215C" w:rsidRDefault="00347F37" w:rsidP="00347F37">
      <w:pPr>
        <w:spacing w:after="240"/>
        <w:rPr>
          <w:rFonts w:cstheme="minorHAnsi"/>
          <w:sz w:val="20"/>
          <w:szCs w:val="20"/>
        </w:rPr>
      </w:pPr>
      <w:r w:rsidRPr="0043215C">
        <w:rPr>
          <w:rFonts w:eastAsia="Calibri" w:cstheme="minorHAnsi"/>
          <w:sz w:val="20"/>
          <w:szCs w:val="20"/>
        </w:rPr>
        <w:t xml:space="preserve">The eligibility of any new or revised investments under the project shall be appraised and selected in accordance with standards, criteria and procedures acceptable to the World Bank, which shall include determining that the proposed investments: (i) are technically feasible; (ii) are economically and financially viable; (iii) are demand and needs driven; (iv) are environmentally sustainable; and (v) are, and can be designed and implemented in manner, in compliance with the World Bank's fiduciary requirements and Environmental and Social Standards, including, as appropriate, the application of the environmental review and land acquisition procedures. </w:t>
      </w:r>
    </w:p>
    <w:p w14:paraId="653ABA88" w14:textId="77777777" w:rsidR="00347F37" w:rsidRPr="0043215C" w:rsidRDefault="00347F37" w:rsidP="00347F37">
      <w:pPr>
        <w:spacing w:after="0"/>
        <w:rPr>
          <w:rFonts w:cstheme="minorHAnsi"/>
          <w:sz w:val="20"/>
          <w:szCs w:val="20"/>
        </w:rPr>
      </w:pPr>
      <w:r w:rsidRPr="0043215C">
        <w:rPr>
          <w:rFonts w:eastAsia="Calibri" w:cstheme="minorHAnsi"/>
          <w:i/>
          <w:iCs/>
          <w:color w:val="000000" w:themeColor="text1"/>
          <w:sz w:val="20"/>
          <w:szCs w:val="20"/>
        </w:rPr>
        <w:t xml:space="preserve">Rationale for CTF Financing </w:t>
      </w:r>
    </w:p>
    <w:p w14:paraId="1912D989" w14:textId="77777777" w:rsidR="00347F37" w:rsidRPr="0043215C" w:rsidRDefault="00347F37" w:rsidP="00347F37">
      <w:pPr>
        <w:spacing w:after="0"/>
        <w:rPr>
          <w:rFonts w:cstheme="minorHAnsi"/>
          <w:sz w:val="20"/>
          <w:szCs w:val="20"/>
        </w:rPr>
      </w:pPr>
      <w:r w:rsidRPr="0043215C">
        <w:rPr>
          <w:rFonts w:eastAsia="Calibri" w:cstheme="minorHAnsi"/>
          <w:color w:val="000000" w:themeColor="text1"/>
          <w:sz w:val="20"/>
          <w:szCs w:val="20"/>
        </w:rPr>
        <w:t xml:space="preserve"> </w:t>
      </w:r>
    </w:p>
    <w:p w14:paraId="0330265A" w14:textId="77777777" w:rsidR="00347F37" w:rsidRPr="0043215C" w:rsidRDefault="00347F37" w:rsidP="00347F37">
      <w:pPr>
        <w:spacing w:after="0"/>
        <w:rPr>
          <w:rFonts w:cstheme="minorHAnsi"/>
          <w:sz w:val="20"/>
          <w:szCs w:val="20"/>
        </w:rPr>
      </w:pPr>
      <w:r w:rsidRPr="0043215C">
        <w:rPr>
          <w:rFonts w:eastAsia="Calibri" w:cstheme="minorHAnsi"/>
          <w:color w:val="000000" w:themeColor="text1"/>
          <w:sz w:val="20"/>
          <w:szCs w:val="20"/>
        </w:rPr>
        <w:t xml:space="preserve">The sub-projects to be financed by this component shall fall within either of following categories: </w:t>
      </w:r>
    </w:p>
    <w:p w14:paraId="693C0C68" w14:textId="77777777" w:rsidR="00347F37" w:rsidRPr="0043215C" w:rsidRDefault="00347F37" w:rsidP="00347F37">
      <w:pPr>
        <w:spacing w:after="0"/>
        <w:rPr>
          <w:rFonts w:cstheme="minorHAnsi"/>
          <w:sz w:val="20"/>
          <w:szCs w:val="20"/>
        </w:rPr>
      </w:pPr>
      <w:r w:rsidRPr="0043215C">
        <w:rPr>
          <w:rFonts w:eastAsia="Calibri" w:cstheme="minorHAnsi"/>
          <w:color w:val="000000" w:themeColor="text1"/>
          <w:sz w:val="20"/>
          <w:szCs w:val="20"/>
        </w:rPr>
        <w:t xml:space="preserve"> </w:t>
      </w:r>
    </w:p>
    <w:p w14:paraId="3FB4D716" w14:textId="77777777" w:rsidR="00347F37" w:rsidRPr="0043215C" w:rsidRDefault="00347F37" w:rsidP="00347F37">
      <w:pPr>
        <w:pStyle w:val="ListParagraph"/>
        <w:numPr>
          <w:ilvl w:val="0"/>
          <w:numId w:val="7"/>
        </w:numPr>
        <w:spacing w:after="0"/>
        <w:rPr>
          <w:rFonts w:eastAsia="Calibri" w:cstheme="minorHAnsi"/>
          <w:color w:val="000000" w:themeColor="text1"/>
          <w:sz w:val="20"/>
          <w:szCs w:val="20"/>
        </w:rPr>
      </w:pPr>
      <w:r w:rsidRPr="0043215C">
        <w:rPr>
          <w:rFonts w:eastAsia="Calibri" w:cstheme="minorHAnsi"/>
          <w:color w:val="000000" w:themeColor="text1"/>
          <w:sz w:val="20"/>
          <w:szCs w:val="20"/>
        </w:rPr>
        <w:lastRenderedPageBreak/>
        <w:t>Development of transmission infrastructure to facilitate scale-up of RE, by integrating the RE to the transmission grid in a timely and efficient manner,</w:t>
      </w:r>
    </w:p>
    <w:p w14:paraId="17AC47A7" w14:textId="77777777" w:rsidR="00347F37" w:rsidRPr="0043215C" w:rsidRDefault="00347F37" w:rsidP="00347F37">
      <w:pPr>
        <w:pStyle w:val="ListParagraph"/>
        <w:numPr>
          <w:ilvl w:val="0"/>
          <w:numId w:val="6"/>
        </w:numPr>
        <w:spacing w:after="0"/>
        <w:rPr>
          <w:rFonts w:eastAsia="Calibri" w:cstheme="minorHAnsi"/>
          <w:color w:val="000000" w:themeColor="text1"/>
          <w:sz w:val="20"/>
          <w:szCs w:val="20"/>
        </w:rPr>
      </w:pPr>
      <w:r w:rsidRPr="0043215C">
        <w:rPr>
          <w:rFonts w:eastAsia="Calibri" w:cstheme="minorHAnsi"/>
          <w:color w:val="000000" w:themeColor="text1"/>
          <w:sz w:val="20"/>
          <w:szCs w:val="20"/>
        </w:rPr>
        <w:t>Strengthening of transmission networks and interconnections, to cater to growing demand and supply of electricity in Türkiye,</w:t>
      </w:r>
    </w:p>
    <w:p w14:paraId="47459148" w14:textId="77777777" w:rsidR="00347F37" w:rsidRPr="0043215C" w:rsidRDefault="00347F37" w:rsidP="00347F37">
      <w:pPr>
        <w:pStyle w:val="ListParagraph"/>
        <w:numPr>
          <w:ilvl w:val="0"/>
          <w:numId w:val="6"/>
        </w:numPr>
        <w:spacing w:after="0"/>
        <w:rPr>
          <w:rFonts w:eastAsia="Calibri" w:cstheme="minorHAnsi"/>
          <w:color w:val="000000" w:themeColor="text1"/>
          <w:sz w:val="20"/>
          <w:szCs w:val="20"/>
        </w:rPr>
      </w:pPr>
      <w:r w:rsidRPr="0043215C">
        <w:rPr>
          <w:rFonts w:eastAsia="Calibri" w:cstheme="minorHAnsi"/>
          <w:color w:val="000000" w:themeColor="text1"/>
          <w:sz w:val="20"/>
          <w:szCs w:val="20"/>
        </w:rPr>
        <w:t>Digital and smart-grid investments to strengthen grid operation and management, and</w:t>
      </w:r>
    </w:p>
    <w:p w14:paraId="52E35929" w14:textId="77777777" w:rsidR="00347F37" w:rsidRPr="0043215C" w:rsidRDefault="00347F37" w:rsidP="00347F37">
      <w:pPr>
        <w:pStyle w:val="ListParagraph"/>
        <w:numPr>
          <w:ilvl w:val="0"/>
          <w:numId w:val="6"/>
        </w:numPr>
        <w:spacing w:after="0"/>
        <w:rPr>
          <w:rFonts w:eastAsia="Calibri" w:cstheme="minorHAnsi"/>
          <w:color w:val="000000" w:themeColor="text1"/>
          <w:sz w:val="20"/>
          <w:szCs w:val="20"/>
        </w:rPr>
      </w:pPr>
      <w:r w:rsidRPr="0043215C">
        <w:rPr>
          <w:rFonts w:eastAsia="Calibri" w:cstheme="minorHAnsi"/>
          <w:color w:val="000000" w:themeColor="text1"/>
          <w:sz w:val="20"/>
          <w:szCs w:val="20"/>
        </w:rPr>
        <w:t>Technical Assistance and Capacity Building activities to help TEİAŞ improve its REI capacity, including but not limited to technical assistance for introduction of HVDC capacity building and training for SCADA/EMS, and system management for VRE integration.</w:t>
      </w:r>
    </w:p>
    <w:p w14:paraId="76E06A36" w14:textId="77777777" w:rsidR="00347F37" w:rsidRPr="0043215C" w:rsidRDefault="00347F37" w:rsidP="00347F37">
      <w:pPr>
        <w:spacing w:after="82"/>
        <w:ind w:left="720"/>
        <w:rPr>
          <w:rFonts w:cstheme="minorHAnsi"/>
          <w:sz w:val="20"/>
          <w:szCs w:val="20"/>
        </w:rPr>
      </w:pPr>
      <w:r w:rsidRPr="0043215C">
        <w:rPr>
          <w:rFonts w:eastAsia="Calibri" w:cstheme="minorHAnsi"/>
          <w:color w:val="000000" w:themeColor="text1"/>
          <w:sz w:val="20"/>
          <w:szCs w:val="20"/>
        </w:rPr>
        <w:t xml:space="preserve"> </w:t>
      </w:r>
    </w:p>
    <w:p w14:paraId="1A577E2C" w14:textId="77777777" w:rsidR="00347F37" w:rsidRPr="0043215C" w:rsidRDefault="00347F37" w:rsidP="00347F37">
      <w:pPr>
        <w:spacing w:after="0"/>
        <w:rPr>
          <w:rFonts w:cstheme="minorHAnsi"/>
          <w:sz w:val="20"/>
          <w:szCs w:val="20"/>
        </w:rPr>
      </w:pPr>
      <w:r w:rsidRPr="0043215C">
        <w:rPr>
          <w:rFonts w:eastAsia="Calibri" w:cstheme="minorHAnsi"/>
          <w:color w:val="000000" w:themeColor="text1"/>
          <w:sz w:val="20"/>
          <w:szCs w:val="20"/>
        </w:rPr>
        <w:t xml:space="preserve">All of these shall contribute to current or future integration of </w:t>
      </w:r>
      <w:r w:rsidRPr="0043215C">
        <w:rPr>
          <w:rFonts w:eastAsia="Calibri" w:cstheme="minorHAnsi"/>
          <w:color w:val="333C42"/>
          <w:sz w:val="20"/>
          <w:szCs w:val="20"/>
        </w:rPr>
        <w:t>scaled up RE investments and technologies with significant potential for long-term greenhouse gas emissions savings.</w:t>
      </w:r>
    </w:p>
    <w:p w14:paraId="29902ED5" w14:textId="77777777" w:rsidR="00347F37" w:rsidRPr="0043215C" w:rsidRDefault="00347F37" w:rsidP="00347F37">
      <w:pPr>
        <w:spacing w:after="0"/>
        <w:rPr>
          <w:rFonts w:cstheme="minorHAnsi"/>
          <w:sz w:val="20"/>
          <w:szCs w:val="20"/>
        </w:rPr>
      </w:pPr>
      <w:r w:rsidRPr="0043215C">
        <w:rPr>
          <w:rFonts w:eastAsia="Calibri" w:cstheme="minorHAnsi"/>
          <w:color w:val="333C42"/>
          <w:sz w:val="20"/>
          <w:szCs w:val="20"/>
        </w:rPr>
        <w:t xml:space="preserve"> </w:t>
      </w:r>
    </w:p>
    <w:p w14:paraId="1B617AD9" w14:textId="77777777" w:rsidR="00347F37" w:rsidRPr="0043215C" w:rsidRDefault="00347F37" w:rsidP="00347F37">
      <w:pPr>
        <w:spacing w:after="0"/>
        <w:rPr>
          <w:rFonts w:cstheme="minorHAnsi"/>
          <w:sz w:val="20"/>
          <w:szCs w:val="20"/>
        </w:rPr>
      </w:pPr>
      <w:r w:rsidRPr="0043215C">
        <w:rPr>
          <w:rFonts w:eastAsia="Calibri" w:cstheme="minorHAnsi"/>
          <w:i/>
          <w:iCs/>
          <w:color w:val="333C42"/>
          <w:sz w:val="20"/>
          <w:szCs w:val="20"/>
        </w:rPr>
        <w:t>Results Indicators</w:t>
      </w:r>
    </w:p>
    <w:p w14:paraId="05B285AB" w14:textId="77777777" w:rsidR="00347F37" w:rsidRPr="0043215C" w:rsidRDefault="00347F37" w:rsidP="00347F37">
      <w:pPr>
        <w:spacing w:after="0"/>
        <w:rPr>
          <w:rFonts w:cstheme="minorHAnsi"/>
          <w:sz w:val="20"/>
          <w:szCs w:val="20"/>
        </w:rPr>
      </w:pPr>
      <w:r w:rsidRPr="0043215C">
        <w:rPr>
          <w:rFonts w:eastAsia="Calibri" w:cstheme="minorHAnsi"/>
          <w:i/>
          <w:iCs/>
          <w:color w:val="333C42"/>
          <w:sz w:val="20"/>
          <w:szCs w:val="20"/>
        </w:rPr>
        <w:t xml:space="preserve"> </w:t>
      </w:r>
    </w:p>
    <w:p w14:paraId="2CBE9264" w14:textId="77777777" w:rsidR="00347F37" w:rsidRPr="0043215C" w:rsidRDefault="00347F37" w:rsidP="00347F37">
      <w:pPr>
        <w:spacing w:after="0"/>
        <w:rPr>
          <w:rFonts w:eastAsia="Calibri" w:cstheme="minorHAnsi"/>
          <w:color w:val="000000" w:themeColor="text1"/>
          <w:sz w:val="20"/>
          <w:szCs w:val="20"/>
        </w:rPr>
      </w:pPr>
      <w:r w:rsidRPr="0043215C">
        <w:rPr>
          <w:rFonts w:eastAsia="Calibri" w:cstheme="minorHAnsi"/>
          <w:color w:val="000000" w:themeColor="text1"/>
          <w:sz w:val="20"/>
          <w:szCs w:val="20"/>
        </w:rPr>
        <w:t>The indicative result indicators to be monitored throughout the execution of this project within CTF-REI Investment Plan for Türkiye are as follows:</w:t>
      </w:r>
    </w:p>
    <w:p w14:paraId="2602D2AF" w14:textId="77777777" w:rsidR="00347F37" w:rsidRPr="0043215C" w:rsidRDefault="00347F37" w:rsidP="00347F37">
      <w:pPr>
        <w:spacing w:after="0"/>
        <w:rPr>
          <w:rFonts w:cstheme="minorHAnsi"/>
          <w:b/>
          <w:bCs/>
          <w:sz w:val="20"/>
          <w:szCs w:val="20"/>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8982"/>
      </w:tblGrid>
      <w:tr w:rsidR="00347F37" w:rsidRPr="0043215C" w14:paraId="5B28D951" w14:textId="77777777" w:rsidTr="00651F36">
        <w:trPr>
          <w:trHeight w:val="300"/>
        </w:trPr>
        <w:tc>
          <w:tcPr>
            <w:tcW w:w="8982" w:type="dxa"/>
          </w:tcPr>
          <w:p w14:paraId="55593A92" w14:textId="77777777" w:rsidR="00347F37" w:rsidRPr="0043215C" w:rsidRDefault="00347F37" w:rsidP="00651F36">
            <w:pPr>
              <w:spacing w:after="0"/>
              <w:rPr>
                <w:rFonts w:cstheme="minorHAnsi"/>
                <w:sz w:val="20"/>
                <w:szCs w:val="20"/>
              </w:rPr>
            </w:pPr>
            <w:r w:rsidRPr="1E9D41E1">
              <w:rPr>
                <w:rFonts w:eastAsia="Calibri"/>
                <w:sz w:val="20"/>
                <w:szCs w:val="20"/>
              </w:rPr>
              <w:t>1. Reduction in CO2 emissions (Mt CO</w:t>
            </w:r>
            <w:r w:rsidRPr="1E9D41E1">
              <w:rPr>
                <w:rFonts w:eastAsia="Calibri"/>
                <w:sz w:val="20"/>
                <w:szCs w:val="20"/>
                <w:vertAlign w:val="subscript"/>
              </w:rPr>
              <w:t>2</w:t>
            </w:r>
            <w:r w:rsidRPr="1E9D41E1">
              <w:rPr>
                <w:rFonts w:eastAsia="Calibri"/>
                <w:sz w:val="20"/>
                <w:szCs w:val="20"/>
              </w:rPr>
              <w:t xml:space="preserve"> eq)</w:t>
            </w:r>
            <w:r w:rsidRPr="1E9D41E1">
              <w:rPr>
                <w:rFonts w:eastAsia="Calibri"/>
                <w:sz w:val="20"/>
                <w:szCs w:val="20"/>
              </w:rPr>
              <w:footnoteReference w:id="49"/>
            </w:r>
            <w:r w:rsidRPr="1E9D41E1">
              <w:rPr>
                <w:rFonts w:eastAsia="Calibri"/>
                <w:sz w:val="20"/>
                <w:szCs w:val="20"/>
              </w:rPr>
              <w:t xml:space="preserve"> </w:t>
            </w:r>
          </w:p>
        </w:tc>
      </w:tr>
      <w:tr w:rsidR="00347F37" w:rsidRPr="0043215C" w14:paraId="4AA73062" w14:textId="77777777" w:rsidTr="00651F36">
        <w:trPr>
          <w:trHeight w:val="300"/>
        </w:trPr>
        <w:tc>
          <w:tcPr>
            <w:tcW w:w="8982" w:type="dxa"/>
          </w:tcPr>
          <w:p w14:paraId="4925CFF1" w14:textId="77777777" w:rsidR="00347F37" w:rsidRPr="0043215C" w:rsidRDefault="00347F37" w:rsidP="00651F36">
            <w:pPr>
              <w:spacing w:after="0"/>
              <w:rPr>
                <w:rFonts w:cstheme="minorHAnsi"/>
                <w:sz w:val="20"/>
                <w:szCs w:val="20"/>
              </w:rPr>
            </w:pPr>
            <w:r w:rsidRPr="0043215C">
              <w:rPr>
                <w:rFonts w:eastAsia="Calibri" w:cstheme="minorHAnsi"/>
                <w:sz w:val="20"/>
                <w:szCs w:val="20"/>
              </w:rPr>
              <w:t xml:space="preserve">2. Variable Renewable Energy Installed Capacity in Türkiye (MW) </w:t>
            </w:r>
          </w:p>
        </w:tc>
      </w:tr>
      <w:tr w:rsidR="00347F37" w:rsidRPr="0043215C" w14:paraId="67FDC0A4" w14:textId="77777777" w:rsidTr="00651F36">
        <w:trPr>
          <w:trHeight w:val="300"/>
        </w:trPr>
        <w:tc>
          <w:tcPr>
            <w:tcW w:w="8982" w:type="dxa"/>
          </w:tcPr>
          <w:p w14:paraId="0AF805A8" w14:textId="77777777" w:rsidR="00347F37" w:rsidRPr="0043215C" w:rsidRDefault="00347F37" w:rsidP="00651F36">
            <w:pPr>
              <w:spacing w:after="0"/>
              <w:rPr>
                <w:rFonts w:cstheme="minorHAnsi"/>
                <w:sz w:val="20"/>
                <w:szCs w:val="20"/>
              </w:rPr>
            </w:pPr>
            <w:r w:rsidRPr="0043215C">
              <w:rPr>
                <w:rFonts w:eastAsia="Calibri" w:cstheme="minorHAnsi"/>
                <w:sz w:val="20"/>
                <w:szCs w:val="20"/>
              </w:rPr>
              <w:t xml:space="preserve">3. Renewable Energy Production in Türkiye (GWh/year) </w:t>
            </w:r>
          </w:p>
        </w:tc>
      </w:tr>
      <w:tr w:rsidR="00347F37" w:rsidRPr="0043215C" w14:paraId="459F73DC" w14:textId="77777777" w:rsidTr="00651F36">
        <w:trPr>
          <w:trHeight w:val="300"/>
        </w:trPr>
        <w:tc>
          <w:tcPr>
            <w:tcW w:w="8982" w:type="dxa"/>
          </w:tcPr>
          <w:p w14:paraId="0CD43FC7" w14:textId="055FEA99" w:rsidR="00347F37" w:rsidRPr="0043215C" w:rsidRDefault="00347F37" w:rsidP="00651F36">
            <w:pPr>
              <w:spacing w:after="0"/>
              <w:rPr>
                <w:rFonts w:cstheme="minorHAnsi"/>
                <w:sz w:val="20"/>
                <w:szCs w:val="20"/>
              </w:rPr>
            </w:pPr>
            <w:r w:rsidRPr="0043215C">
              <w:rPr>
                <w:rFonts w:eastAsia="Calibri" w:cstheme="minorHAnsi"/>
                <w:sz w:val="20"/>
                <w:szCs w:val="20"/>
              </w:rPr>
              <w:t>4. Co-Financing (</w:t>
            </w:r>
            <w:r w:rsidR="00636124" w:rsidRPr="0043215C">
              <w:rPr>
                <w:rFonts w:eastAsia="Calibri" w:cstheme="minorHAnsi"/>
                <w:sz w:val="20"/>
                <w:szCs w:val="20"/>
              </w:rPr>
              <w:t>US$</w:t>
            </w:r>
            <w:r w:rsidRPr="0043215C">
              <w:rPr>
                <w:rFonts w:eastAsia="Calibri" w:cstheme="minorHAnsi"/>
                <w:sz w:val="20"/>
                <w:szCs w:val="20"/>
              </w:rPr>
              <w:t xml:space="preserve">) </w:t>
            </w:r>
          </w:p>
        </w:tc>
      </w:tr>
      <w:tr w:rsidR="00347F37" w:rsidRPr="0043215C" w14:paraId="7507785D" w14:textId="77777777" w:rsidTr="00651F36">
        <w:trPr>
          <w:trHeight w:val="300"/>
        </w:trPr>
        <w:tc>
          <w:tcPr>
            <w:tcW w:w="8982" w:type="dxa"/>
          </w:tcPr>
          <w:p w14:paraId="112C8C1A" w14:textId="77777777" w:rsidR="00347F37" w:rsidRPr="0043215C" w:rsidRDefault="00347F37" w:rsidP="00651F36">
            <w:pPr>
              <w:spacing w:after="0"/>
              <w:rPr>
                <w:rFonts w:cstheme="minorHAnsi"/>
                <w:sz w:val="20"/>
                <w:szCs w:val="20"/>
              </w:rPr>
            </w:pPr>
            <w:r w:rsidRPr="0043215C">
              <w:rPr>
                <w:rFonts w:eastAsia="Calibri" w:cstheme="minorHAnsi"/>
                <w:sz w:val="20"/>
                <w:szCs w:val="20"/>
              </w:rPr>
              <w:t>5. RE capacity connected to sub-stations funded under the project (GW)</w:t>
            </w:r>
          </w:p>
        </w:tc>
      </w:tr>
      <w:tr w:rsidR="00347F37" w:rsidRPr="0043215C" w14:paraId="62BC9D24" w14:textId="77777777" w:rsidTr="00651F36">
        <w:trPr>
          <w:trHeight w:val="300"/>
        </w:trPr>
        <w:tc>
          <w:tcPr>
            <w:tcW w:w="8982" w:type="dxa"/>
            <w:vAlign w:val="center"/>
          </w:tcPr>
          <w:p w14:paraId="3AA18D75" w14:textId="77777777" w:rsidR="00347F37" w:rsidRPr="0043215C" w:rsidRDefault="00347F37" w:rsidP="00651F36">
            <w:pPr>
              <w:spacing w:after="0"/>
              <w:rPr>
                <w:rFonts w:cstheme="minorHAnsi"/>
                <w:sz w:val="20"/>
                <w:szCs w:val="20"/>
              </w:rPr>
            </w:pPr>
            <w:r w:rsidRPr="0043215C">
              <w:rPr>
                <w:rFonts w:eastAsia="Calibri" w:cstheme="minorHAnsi"/>
                <w:sz w:val="20"/>
                <w:szCs w:val="20"/>
              </w:rPr>
              <w:t>6. RE generated from plants connected to sub-stations funded under the project (GWh)</w:t>
            </w:r>
          </w:p>
        </w:tc>
      </w:tr>
      <w:tr w:rsidR="00347F37" w:rsidRPr="0043215C" w14:paraId="0FDC6A59" w14:textId="77777777" w:rsidTr="00651F36">
        <w:trPr>
          <w:trHeight w:val="300"/>
        </w:trPr>
        <w:tc>
          <w:tcPr>
            <w:tcW w:w="8982" w:type="dxa"/>
            <w:vAlign w:val="center"/>
          </w:tcPr>
          <w:p w14:paraId="78E54D89" w14:textId="77777777" w:rsidR="00347F37" w:rsidRPr="0043215C" w:rsidRDefault="00347F37" w:rsidP="00651F36">
            <w:pPr>
              <w:spacing w:after="0"/>
              <w:rPr>
                <w:rFonts w:cstheme="minorHAnsi"/>
                <w:sz w:val="20"/>
                <w:szCs w:val="20"/>
              </w:rPr>
            </w:pPr>
            <w:r w:rsidRPr="0043215C">
              <w:rPr>
                <w:rFonts w:eastAsia="Calibri" w:cstheme="minorHAnsi"/>
                <w:sz w:val="20"/>
                <w:szCs w:val="20"/>
              </w:rPr>
              <w:t>7. Percentage of grievances recorded by the Project and resolved within one-month period (%)</w:t>
            </w:r>
          </w:p>
        </w:tc>
      </w:tr>
      <w:tr w:rsidR="00347F37" w:rsidRPr="0043215C" w14:paraId="14E69A45" w14:textId="77777777" w:rsidTr="00651F36">
        <w:trPr>
          <w:trHeight w:val="300"/>
        </w:trPr>
        <w:tc>
          <w:tcPr>
            <w:tcW w:w="8982" w:type="dxa"/>
            <w:vAlign w:val="center"/>
          </w:tcPr>
          <w:p w14:paraId="15E88943" w14:textId="77777777" w:rsidR="00347F37" w:rsidRPr="0043215C" w:rsidRDefault="00347F37" w:rsidP="00651F36">
            <w:pPr>
              <w:spacing w:after="0"/>
              <w:rPr>
                <w:rFonts w:cstheme="minorHAnsi"/>
                <w:sz w:val="20"/>
                <w:szCs w:val="20"/>
              </w:rPr>
            </w:pPr>
            <w:r w:rsidRPr="1E9D41E1">
              <w:rPr>
                <w:rFonts w:eastAsia="Calibri"/>
                <w:sz w:val="20"/>
                <w:szCs w:val="20"/>
              </w:rPr>
              <w:t>8. Transmission lines constructed or rehabilitated under the project (km)</w:t>
            </w:r>
            <w:r w:rsidRPr="1E9D41E1">
              <w:rPr>
                <w:rFonts w:eastAsia="Calibri"/>
                <w:sz w:val="20"/>
                <w:szCs w:val="20"/>
              </w:rPr>
              <w:footnoteReference w:id="50"/>
            </w:r>
            <w:r w:rsidRPr="1E9D41E1">
              <w:rPr>
                <w:rFonts w:eastAsia="Calibri"/>
                <w:sz w:val="20"/>
                <w:szCs w:val="20"/>
              </w:rPr>
              <w:t xml:space="preserve"> </w:t>
            </w:r>
          </w:p>
        </w:tc>
      </w:tr>
    </w:tbl>
    <w:p w14:paraId="6DB9151E" w14:textId="77777777" w:rsidR="00347F37" w:rsidRPr="0043215C" w:rsidRDefault="00347F37" w:rsidP="00347F37">
      <w:pPr>
        <w:pStyle w:val="BodyText"/>
        <w:rPr>
          <w:rFonts w:asciiTheme="minorHAnsi" w:hAnsiTheme="minorHAnsi" w:cstheme="minorHAnsi"/>
          <w:color w:val="333C42"/>
          <w:sz w:val="20"/>
          <w:szCs w:val="20"/>
        </w:rPr>
      </w:pPr>
    </w:p>
    <w:p w14:paraId="706C07BF" w14:textId="77777777" w:rsidR="00347F37" w:rsidRPr="0043215C" w:rsidRDefault="00347F37" w:rsidP="00347F37">
      <w:pPr>
        <w:spacing w:after="0"/>
        <w:rPr>
          <w:rFonts w:eastAsia="Calibri" w:cstheme="minorHAnsi"/>
          <w:i/>
          <w:iCs/>
          <w:color w:val="333C42"/>
          <w:sz w:val="20"/>
          <w:szCs w:val="20"/>
        </w:rPr>
      </w:pPr>
      <w:bookmarkStart w:id="186" w:name="_Toc162898790"/>
      <w:bookmarkStart w:id="187" w:name="_Toc162898857"/>
      <w:bookmarkStart w:id="188" w:name="_Toc162899070"/>
      <w:bookmarkStart w:id="189" w:name="_Toc162962982"/>
      <w:bookmarkStart w:id="190" w:name="_Toc162964164"/>
      <w:r w:rsidRPr="0043215C">
        <w:rPr>
          <w:rFonts w:eastAsia="Calibri" w:cstheme="minorHAnsi"/>
          <w:i/>
          <w:iCs/>
          <w:color w:val="333C42"/>
          <w:sz w:val="20"/>
          <w:szCs w:val="20"/>
        </w:rPr>
        <w:t>Financing plan, including financial instruments</w:t>
      </w:r>
      <w:bookmarkEnd w:id="186"/>
      <w:bookmarkEnd w:id="187"/>
      <w:bookmarkEnd w:id="188"/>
      <w:bookmarkEnd w:id="189"/>
      <w:bookmarkEnd w:id="190"/>
      <w:r w:rsidRPr="0043215C">
        <w:rPr>
          <w:rFonts w:eastAsia="Calibri" w:cstheme="minorHAnsi"/>
          <w:i/>
          <w:iCs/>
          <w:color w:val="333C42"/>
          <w:sz w:val="20"/>
          <w:szCs w:val="20"/>
        </w:rPr>
        <w:t xml:space="preserve"> </w:t>
      </w:r>
      <w:bookmarkStart w:id="191" w:name="_Toc162898791"/>
      <w:bookmarkStart w:id="192" w:name="_Toc162898858"/>
      <w:bookmarkStart w:id="193" w:name="_Toc162899071"/>
    </w:p>
    <w:p w14:paraId="7B72214B" w14:textId="77777777" w:rsidR="00347F37" w:rsidRPr="0043215C" w:rsidRDefault="00347F37" w:rsidP="00347F37">
      <w:pPr>
        <w:spacing w:after="0"/>
        <w:rPr>
          <w:rFonts w:eastAsia="Calibri" w:cstheme="minorHAnsi"/>
          <w:color w:val="333C42"/>
          <w:sz w:val="20"/>
          <w:szCs w:val="20"/>
        </w:rPr>
      </w:pPr>
    </w:p>
    <w:p w14:paraId="647444A3" w14:textId="74329FE6" w:rsidR="00347F37" w:rsidRPr="0043215C" w:rsidRDefault="00347F37" w:rsidP="00347F37">
      <w:pPr>
        <w:rPr>
          <w:rFonts w:cstheme="minorHAnsi"/>
          <w:sz w:val="20"/>
          <w:szCs w:val="20"/>
        </w:rPr>
      </w:pPr>
      <w:bookmarkStart w:id="194" w:name="_Toc162962983"/>
      <w:bookmarkStart w:id="195" w:name="_Toc162964165"/>
      <w:r w:rsidRPr="0043215C">
        <w:rPr>
          <w:rFonts w:eastAsia="Calibri" w:cstheme="minorHAnsi"/>
          <w:sz w:val="20"/>
          <w:szCs w:val="20"/>
        </w:rPr>
        <w:t xml:space="preserve">Financing from CTF-REI is proposed to co-finance Transforming Power Transmission System Project, that will be financed by the World Bank in an amount of </w:t>
      </w:r>
      <w:r w:rsidR="00636124" w:rsidRPr="0043215C">
        <w:rPr>
          <w:rFonts w:eastAsia="Calibri" w:cstheme="minorHAnsi"/>
          <w:sz w:val="20"/>
          <w:szCs w:val="20"/>
        </w:rPr>
        <w:t>US$</w:t>
      </w:r>
      <w:r w:rsidRPr="0043215C">
        <w:rPr>
          <w:rFonts w:eastAsia="Calibri" w:cstheme="minorHAnsi"/>
          <w:sz w:val="20"/>
          <w:szCs w:val="20"/>
        </w:rPr>
        <w:t xml:space="preserve">750 m., as a response to the Government’s official request from the World Bank. The CTF-REI is proposed to co-finance </w:t>
      </w:r>
      <w:r w:rsidR="00636124" w:rsidRPr="0043215C">
        <w:rPr>
          <w:rFonts w:eastAsia="Calibri" w:cstheme="minorHAnsi"/>
          <w:sz w:val="20"/>
          <w:szCs w:val="20"/>
        </w:rPr>
        <w:t>US$</w:t>
      </w:r>
      <w:r w:rsidRPr="0043215C">
        <w:rPr>
          <w:rFonts w:eastAsia="Calibri" w:cstheme="minorHAnsi"/>
          <w:sz w:val="20"/>
          <w:szCs w:val="20"/>
        </w:rPr>
        <w:t>60 m. of the sub-component 1 and sub-component 2, to lower its financing costs of this sizable project, lengthen the loan periods, and diversify its funding sources, thus better responding to the financing needs of private and public investors in sustainable energy in Türkiye. I</w:t>
      </w:r>
      <w:bookmarkEnd w:id="194"/>
      <w:bookmarkEnd w:id="195"/>
      <w:r w:rsidRPr="0043215C">
        <w:rPr>
          <w:rFonts w:cstheme="minorHAnsi"/>
          <w:sz w:val="20"/>
          <w:szCs w:val="20"/>
        </w:rPr>
        <w:t xml:space="preserve">n addition, a </w:t>
      </w:r>
      <w:r w:rsidR="00636124" w:rsidRPr="0043215C">
        <w:rPr>
          <w:rFonts w:cstheme="minorHAnsi"/>
          <w:sz w:val="20"/>
          <w:szCs w:val="20"/>
        </w:rPr>
        <w:t>US$</w:t>
      </w:r>
      <w:r w:rsidRPr="0043215C">
        <w:rPr>
          <w:rFonts w:cstheme="minorHAnsi"/>
          <w:sz w:val="20"/>
          <w:szCs w:val="20"/>
        </w:rPr>
        <w:t xml:space="preserve">3 m CTF grant financing is being sought by the Government to finance the TA activities under the sub-component 4 of the project. In case, this </w:t>
      </w:r>
      <w:r w:rsidR="009A3ACC" w:rsidRPr="0043215C">
        <w:rPr>
          <w:rFonts w:cstheme="minorHAnsi"/>
          <w:sz w:val="20"/>
          <w:szCs w:val="20"/>
        </w:rPr>
        <w:t>cannot</w:t>
      </w:r>
      <w:r w:rsidRPr="0043215C">
        <w:rPr>
          <w:rFonts w:cstheme="minorHAnsi"/>
          <w:sz w:val="20"/>
          <w:szCs w:val="20"/>
        </w:rPr>
        <w:t xml:space="preserve"> be realized, the same amount of concessional CTF-REI financing is requested.  </w:t>
      </w:r>
    </w:p>
    <w:p w14:paraId="5EFD6FBC" w14:textId="77777777" w:rsidR="009A3ACC" w:rsidRDefault="009A3ACC" w:rsidP="00347F37">
      <w:pPr>
        <w:spacing w:after="0"/>
        <w:rPr>
          <w:rFonts w:eastAsia="Calibri" w:cstheme="minorHAnsi"/>
          <w:i/>
          <w:iCs/>
          <w:color w:val="333C42"/>
          <w:sz w:val="20"/>
          <w:szCs w:val="20"/>
        </w:rPr>
      </w:pPr>
      <w:bookmarkStart w:id="196" w:name="_Toc162962984"/>
      <w:bookmarkStart w:id="197" w:name="_Toc162964166"/>
    </w:p>
    <w:p w14:paraId="127E71DD" w14:textId="77777777" w:rsidR="009A3ACC" w:rsidRDefault="009A3ACC" w:rsidP="00347F37">
      <w:pPr>
        <w:spacing w:after="0"/>
        <w:rPr>
          <w:rFonts w:eastAsia="Calibri" w:cstheme="minorHAnsi"/>
          <w:i/>
          <w:iCs/>
          <w:color w:val="333C42"/>
          <w:sz w:val="20"/>
          <w:szCs w:val="20"/>
        </w:rPr>
      </w:pPr>
    </w:p>
    <w:p w14:paraId="5B7A0DEF" w14:textId="61F62CE4" w:rsidR="00347F37" w:rsidRPr="0043215C" w:rsidRDefault="00347F37" w:rsidP="00347F37">
      <w:pPr>
        <w:spacing w:after="0"/>
        <w:rPr>
          <w:rFonts w:eastAsia="Calibri" w:cstheme="minorHAnsi"/>
          <w:i/>
          <w:iCs/>
          <w:color w:val="333C42"/>
          <w:sz w:val="20"/>
          <w:szCs w:val="20"/>
        </w:rPr>
      </w:pPr>
      <w:r w:rsidRPr="0043215C">
        <w:rPr>
          <w:rFonts w:eastAsia="Calibri" w:cstheme="minorHAnsi"/>
          <w:i/>
          <w:iCs/>
          <w:color w:val="333C42"/>
          <w:sz w:val="20"/>
          <w:szCs w:val="20"/>
        </w:rPr>
        <w:lastRenderedPageBreak/>
        <w:t>Project preparation timetable</w:t>
      </w:r>
      <w:bookmarkEnd w:id="191"/>
      <w:bookmarkEnd w:id="192"/>
      <w:bookmarkEnd w:id="193"/>
      <w:bookmarkEnd w:id="196"/>
      <w:bookmarkEnd w:id="197"/>
      <w:r w:rsidRPr="0043215C">
        <w:rPr>
          <w:rFonts w:eastAsia="Calibri" w:cstheme="minorHAnsi"/>
          <w:i/>
          <w:iCs/>
          <w:color w:val="333C42"/>
          <w:sz w:val="20"/>
          <w:szCs w:val="20"/>
        </w:rPr>
        <w:t xml:space="preserve"> </w:t>
      </w:r>
      <w:r w:rsidR="00E643B9">
        <w:rPr>
          <w:rFonts w:eastAsia="Calibri" w:cstheme="minorHAnsi"/>
          <w:i/>
          <w:iCs/>
          <w:color w:val="333C42"/>
          <w:sz w:val="20"/>
          <w:szCs w:val="20"/>
        </w:rPr>
        <w:t>for Phase 1:</w:t>
      </w:r>
    </w:p>
    <w:p w14:paraId="7475792A" w14:textId="77777777" w:rsidR="00347F37" w:rsidRPr="0043215C" w:rsidRDefault="00347F37" w:rsidP="00347F37">
      <w:pPr>
        <w:spacing w:after="0"/>
        <w:rPr>
          <w:rFonts w:eastAsia="Calibri" w:cstheme="minorHAnsi"/>
          <w:color w:val="333C42"/>
          <w:sz w:val="20"/>
          <w:szCs w:val="20"/>
        </w:rPr>
      </w:pPr>
    </w:p>
    <w:p w14:paraId="59B63D50" w14:textId="77777777" w:rsidR="00347F37" w:rsidRPr="0043215C" w:rsidRDefault="00347F37" w:rsidP="00347F37">
      <w:pPr>
        <w:pStyle w:val="BodyText"/>
        <w:spacing w:line="257" w:lineRule="auto"/>
        <w:rPr>
          <w:rFonts w:asciiTheme="minorHAnsi" w:eastAsia="Times New Roman" w:hAnsiTheme="minorHAnsi" w:cstheme="minorHAnsi"/>
          <w:color w:val="000000" w:themeColor="text1"/>
          <w:sz w:val="20"/>
          <w:szCs w:val="20"/>
        </w:rPr>
      </w:pPr>
      <w:r w:rsidRPr="0043215C">
        <w:rPr>
          <w:rFonts w:asciiTheme="minorHAnsi" w:hAnsiTheme="minorHAnsi" w:cstheme="minorHAnsi"/>
          <w:sz w:val="20"/>
          <w:szCs w:val="20"/>
        </w:rPr>
        <w:t xml:space="preserve">The major milestones and their respective timeline </w:t>
      </w:r>
      <w:proofErr w:type="gramStart"/>
      <w:r w:rsidRPr="0043215C">
        <w:rPr>
          <w:rFonts w:asciiTheme="minorHAnsi" w:hAnsiTheme="minorHAnsi" w:cstheme="minorHAnsi"/>
          <w:sz w:val="20"/>
          <w:szCs w:val="20"/>
        </w:rPr>
        <w:t>with regard to</w:t>
      </w:r>
      <w:proofErr w:type="gramEnd"/>
      <w:r w:rsidRPr="0043215C">
        <w:rPr>
          <w:rFonts w:asciiTheme="minorHAnsi" w:hAnsiTheme="minorHAnsi" w:cstheme="minorHAnsi"/>
          <w:sz w:val="20"/>
          <w:szCs w:val="20"/>
        </w:rPr>
        <w:t xml:space="preserve"> the project, as agreed with the Government are as follows: </w:t>
      </w:r>
    </w:p>
    <w:p w14:paraId="3F5B060C" w14:textId="77777777" w:rsidR="00347F37" w:rsidRPr="0043215C" w:rsidRDefault="00347F37" w:rsidP="00347F37">
      <w:pPr>
        <w:spacing w:after="0" w:line="257" w:lineRule="auto"/>
        <w:rPr>
          <w:rFonts w:cstheme="minorHAnsi"/>
          <w:sz w:val="20"/>
          <w:szCs w:val="20"/>
        </w:rPr>
      </w:pPr>
      <w:r w:rsidRPr="0043215C">
        <w:rPr>
          <w:rFonts w:eastAsia="Times New Roman" w:cstheme="minorHAnsi"/>
          <w:color w:val="000000" w:themeColor="text1"/>
          <w:sz w:val="20"/>
          <w:szCs w:val="20"/>
        </w:rPr>
        <w:t xml:space="preserve"> </w:t>
      </w:r>
    </w:p>
    <w:p w14:paraId="7FAF0269" w14:textId="77777777" w:rsidR="00A15FDE" w:rsidRPr="0043215C" w:rsidRDefault="00A15FDE" w:rsidP="00A15FDE">
      <w:pPr>
        <w:pStyle w:val="ListParagraph"/>
        <w:numPr>
          <w:ilvl w:val="0"/>
          <w:numId w:val="3"/>
        </w:numPr>
        <w:spacing w:after="0" w:line="240" w:lineRule="auto"/>
        <w:rPr>
          <w:rFonts w:eastAsia="Times New Roman" w:cstheme="minorHAnsi"/>
          <w:sz w:val="20"/>
          <w:szCs w:val="20"/>
        </w:rPr>
      </w:pPr>
      <w:r w:rsidRPr="0043215C">
        <w:rPr>
          <w:rFonts w:eastAsia="Times New Roman" w:cstheme="minorHAnsi"/>
          <w:sz w:val="20"/>
          <w:szCs w:val="20"/>
        </w:rPr>
        <w:t>Concept review</w:t>
      </w:r>
      <w:r w:rsidRPr="0043215C">
        <w:rPr>
          <w:rFonts w:eastAsia="Times New Roman" w:cstheme="minorHAnsi"/>
          <w:sz w:val="20"/>
          <w:szCs w:val="20"/>
        </w:rPr>
        <w:tab/>
      </w:r>
      <w:r w:rsidRPr="0043215C">
        <w:rPr>
          <w:rFonts w:eastAsia="Times New Roman" w:cstheme="minorHAnsi"/>
          <w:sz w:val="20"/>
          <w:szCs w:val="20"/>
        </w:rPr>
        <w:tab/>
      </w:r>
      <w:r w:rsidRPr="0043215C">
        <w:rPr>
          <w:rFonts w:eastAsia="Times New Roman" w:cstheme="minorHAnsi"/>
          <w:sz w:val="20"/>
          <w:szCs w:val="20"/>
        </w:rPr>
        <w:tab/>
      </w:r>
      <w:r w:rsidRPr="0043215C">
        <w:rPr>
          <w:rFonts w:eastAsia="Times New Roman" w:cstheme="minorHAnsi"/>
          <w:sz w:val="20"/>
          <w:szCs w:val="20"/>
        </w:rPr>
        <w:tab/>
      </w:r>
      <w:r w:rsidRPr="0043215C">
        <w:rPr>
          <w:rFonts w:eastAsia="Times New Roman" w:cstheme="minorHAnsi"/>
          <w:sz w:val="20"/>
          <w:szCs w:val="20"/>
        </w:rPr>
        <w:tab/>
      </w:r>
      <w:r w:rsidRPr="0043215C">
        <w:rPr>
          <w:rFonts w:eastAsia="Times New Roman" w:cstheme="minorHAnsi"/>
          <w:sz w:val="20"/>
          <w:szCs w:val="20"/>
        </w:rPr>
        <w:tab/>
        <w:t>: September 2024</w:t>
      </w:r>
    </w:p>
    <w:p w14:paraId="77FC83C2" w14:textId="77777777" w:rsidR="00A15FDE" w:rsidRPr="0043215C" w:rsidRDefault="00A15FDE" w:rsidP="00A15FDE">
      <w:pPr>
        <w:pStyle w:val="ListParagraph"/>
        <w:numPr>
          <w:ilvl w:val="0"/>
          <w:numId w:val="3"/>
        </w:numPr>
        <w:spacing w:after="0" w:line="240" w:lineRule="auto"/>
        <w:rPr>
          <w:rFonts w:eastAsia="Times New Roman" w:cstheme="minorHAnsi"/>
          <w:sz w:val="20"/>
          <w:szCs w:val="20"/>
        </w:rPr>
      </w:pPr>
      <w:r w:rsidRPr="0043215C">
        <w:rPr>
          <w:rFonts w:eastAsia="Times New Roman" w:cstheme="minorHAnsi"/>
          <w:sz w:val="20"/>
          <w:szCs w:val="20"/>
        </w:rPr>
        <w:t xml:space="preserve">Project appraisal      </w:t>
      </w:r>
      <w:r w:rsidRPr="0043215C">
        <w:rPr>
          <w:rFonts w:cstheme="minorHAnsi"/>
          <w:sz w:val="20"/>
          <w:szCs w:val="20"/>
        </w:rPr>
        <w:tab/>
      </w:r>
      <w:r w:rsidRPr="0043215C">
        <w:rPr>
          <w:rFonts w:eastAsia="Times New Roman" w:cstheme="minorHAnsi"/>
          <w:sz w:val="20"/>
          <w:szCs w:val="20"/>
        </w:rPr>
        <w:t xml:space="preserve">      </w:t>
      </w:r>
      <w:r w:rsidRPr="0043215C">
        <w:rPr>
          <w:rFonts w:cstheme="minorHAnsi"/>
          <w:sz w:val="20"/>
          <w:szCs w:val="20"/>
        </w:rPr>
        <w:tab/>
      </w:r>
      <w:r w:rsidRPr="0043215C">
        <w:rPr>
          <w:rFonts w:cstheme="minorHAnsi"/>
          <w:sz w:val="20"/>
          <w:szCs w:val="20"/>
        </w:rPr>
        <w:tab/>
      </w:r>
      <w:r w:rsidRPr="0043215C">
        <w:rPr>
          <w:rFonts w:cstheme="minorHAnsi"/>
          <w:sz w:val="20"/>
          <w:szCs w:val="20"/>
        </w:rPr>
        <w:tab/>
      </w:r>
      <w:r w:rsidRPr="0043215C">
        <w:rPr>
          <w:rFonts w:cstheme="minorHAnsi"/>
          <w:sz w:val="20"/>
          <w:szCs w:val="20"/>
        </w:rPr>
        <w:tab/>
      </w:r>
      <w:r w:rsidRPr="0043215C">
        <w:rPr>
          <w:rFonts w:eastAsia="Times New Roman" w:cstheme="minorHAnsi"/>
          <w:sz w:val="20"/>
          <w:szCs w:val="20"/>
        </w:rPr>
        <w:t>: December 2024</w:t>
      </w:r>
    </w:p>
    <w:p w14:paraId="2D578F02" w14:textId="77777777" w:rsidR="00A15FDE" w:rsidRPr="0043215C" w:rsidRDefault="00A15FDE" w:rsidP="00A15FDE">
      <w:pPr>
        <w:pStyle w:val="ListParagraph"/>
        <w:numPr>
          <w:ilvl w:val="0"/>
          <w:numId w:val="3"/>
        </w:numPr>
        <w:spacing w:after="0" w:line="240" w:lineRule="auto"/>
        <w:rPr>
          <w:rFonts w:eastAsia="Times New Roman" w:cstheme="minorHAnsi"/>
          <w:sz w:val="20"/>
          <w:szCs w:val="20"/>
        </w:rPr>
      </w:pPr>
      <w:r w:rsidRPr="0043215C">
        <w:rPr>
          <w:rFonts w:eastAsia="Times New Roman" w:cstheme="minorHAnsi"/>
          <w:sz w:val="20"/>
          <w:szCs w:val="20"/>
        </w:rPr>
        <w:t xml:space="preserve">Negotiations </w:t>
      </w:r>
      <w:r w:rsidRPr="0043215C">
        <w:rPr>
          <w:rFonts w:cstheme="minorHAnsi"/>
          <w:sz w:val="20"/>
          <w:szCs w:val="20"/>
        </w:rPr>
        <w:tab/>
      </w:r>
      <w:r w:rsidRPr="0043215C">
        <w:rPr>
          <w:rFonts w:cstheme="minorHAnsi"/>
          <w:sz w:val="20"/>
          <w:szCs w:val="20"/>
        </w:rPr>
        <w:tab/>
      </w:r>
      <w:r w:rsidRPr="0043215C">
        <w:rPr>
          <w:rFonts w:cstheme="minorHAnsi"/>
          <w:sz w:val="20"/>
          <w:szCs w:val="20"/>
        </w:rPr>
        <w:tab/>
      </w:r>
      <w:r w:rsidRPr="0043215C">
        <w:rPr>
          <w:rFonts w:cstheme="minorHAnsi"/>
          <w:sz w:val="20"/>
          <w:szCs w:val="20"/>
        </w:rPr>
        <w:tab/>
      </w:r>
      <w:r w:rsidRPr="0043215C">
        <w:rPr>
          <w:rFonts w:cstheme="minorHAnsi"/>
          <w:sz w:val="20"/>
          <w:szCs w:val="20"/>
        </w:rPr>
        <w:tab/>
      </w:r>
      <w:r w:rsidRPr="0043215C">
        <w:rPr>
          <w:rFonts w:cstheme="minorHAnsi"/>
          <w:sz w:val="20"/>
          <w:szCs w:val="20"/>
        </w:rPr>
        <w:tab/>
      </w:r>
      <w:r w:rsidRPr="0043215C">
        <w:rPr>
          <w:rFonts w:eastAsia="Times New Roman" w:cstheme="minorHAnsi"/>
          <w:sz w:val="20"/>
          <w:szCs w:val="20"/>
        </w:rPr>
        <w:t>: March 2025</w:t>
      </w:r>
    </w:p>
    <w:p w14:paraId="1315F800" w14:textId="77777777" w:rsidR="00A15FDE" w:rsidRPr="0043215C" w:rsidRDefault="00A15FDE" w:rsidP="00A15FDE">
      <w:pPr>
        <w:pStyle w:val="ListParagraph"/>
        <w:numPr>
          <w:ilvl w:val="0"/>
          <w:numId w:val="3"/>
        </w:numPr>
        <w:spacing w:after="0" w:line="240" w:lineRule="auto"/>
        <w:rPr>
          <w:rFonts w:eastAsia="Times New Roman" w:cstheme="minorHAnsi"/>
          <w:sz w:val="20"/>
          <w:szCs w:val="20"/>
        </w:rPr>
      </w:pPr>
      <w:r w:rsidRPr="0043215C">
        <w:rPr>
          <w:rFonts w:eastAsia="Times New Roman" w:cstheme="minorHAnsi"/>
          <w:sz w:val="20"/>
          <w:szCs w:val="20"/>
        </w:rPr>
        <w:t>World Bank Board of Executive Directors’ approval</w:t>
      </w:r>
      <w:r w:rsidRPr="0043215C">
        <w:rPr>
          <w:rFonts w:cstheme="minorHAnsi"/>
          <w:sz w:val="20"/>
          <w:szCs w:val="20"/>
        </w:rPr>
        <w:tab/>
      </w:r>
      <w:r>
        <w:rPr>
          <w:rFonts w:cstheme="minorHAnsi"/>
          <w:sz w:val="20"/>
          <w:szCs w:val="20"/>
        </w:rPr>
        <w:tab/>
      </w:r>
      <w:r w:rsidRPr="0043215C">
        <w:rPr>
          <w:rFonts w:eastAsia="Times New Roman" w:cstheme="minorHAnsi"/>
          <w:sz w:val="20"/>
          <w:szCs w:val="20"/>
        </w:rPr>
        <w:t>: May 2025</w:t>
      </w:r>
    </w:p>
    <w:p w14:paraId="4CD7DB49" w14:textId="77777777" w:rsidR="00A15FDE" w:rsidRPr="0043215C" w:rsidRDefault="00A15FDE" w:rsidP="00A15FDE">
      <w:pPr>
        <w:pStyle w:val="ListParagraph"/>
        <w:numPr>
          <w:ilvl w:val="0"/>
          <w:numId w:val="3"/>
        </w:numPr>
        <w:spacing w:after="0" w:line="240" w:lineRule="auto"/>
        <w:rPr>
          <w:rFonts w:cstheme="minorHAnsi"/>
          <w:sz w:val="20"/>
          <w:szCs w:val="20"/>
        </w:rPr>
      </w:pPr>
      <w:r w:rsidRPr="0043215C">
        <w:rPr>
          <w:rFonts w:eastAsia="Times New Roman" w:cstheme="minorHAnsi"/>
          <w:sz w:val="20"/>
          <w:szCs w:val="20"/>
        </w:rPr>
        <w:t>Effectiveness and start of implementation</w:t>
      </w:r>
      <w:r w:rsidRPr="0043215C">
        <w:rPr>
          <w:rFonts w:cstheme="minorHAnsi"/>
          <w:sz w:val="20"/>
          <w:szCs w:val="20"/>
        </w:rPr>
        <w:tab/>
      </w:r>
      <w:r w:rsidRPr="0043215C">
        <w:rPr>
          <w:rFonts w:cstheme="minorHAnsi"/>
          <w:sz w:val="20"/>
          <w:szCs w:val="20"/>
        </w:rPr>
        <w:tab/>
      </w:r>
      <w:r>
        <w:rPr>
          <w:rFonts w:cstheme="minorHAnsi"/>
          <w:sz w:val="20"/>
          <w:szCs w:val="20"/>
        </w:rPr>
        <w:tab/>
      </w:r>
      <w:r w:rsidRPr="0043215C">
        <w:rPr>
          <w:rFonts w:eastAsia="Times New Roman" w:cstheme="minorHAnsi"/>
          <w:sz w:val="20"/>
          <w:szCs w:val="20"/>
        </w:rPr>
        <w:t xml:space="preserve">: September 2025 </w:t>
      </w:r>
    </w:p>
    <w:p w14:paraId="22DF4AFF" w14:textId="3C1CF4CD" w:rsidR="00347F37" w:rsidRPr="00A15FDE" w:rsidRDefault="00347F37" w:rsidP="00A15FDE">
      <w:pPr>
        <w:spacing w:after="0" w:line="240" w:lineRule="auto"/>
        <w:jc w:val="left"/>
        <w:rPr>
          <w:rFonts w:cstheme="minorHAnsi"/>
          <w:b/>
          <w:color w:val="000000" w:themeColor="text1"/>
          <w:sz w:val="20"/>
          <w:szCs w:val="20"/>
        </w:rPr>
      </w:pPr>
      <w:r w:rsidRPr="00A15FDE">
        <w:rPr>
          <w:rFonts w:cstheme="minorHAnsi"/>
          <w:sz w:val="20"/>
          <w:szCs w:val="20"/>
        </w:rPr>
        <w:br w:type="page"/>
      </w:r>
    </w:p>
    <w:p w14:paraId="760F09B1" w14:textId="6B4CD0E8" w:rsidR="000C5237" w:rsidRPr="0043215C" w:rsidRDefault="000C5237" w:rsidP="00347F37">
      <w:pPr>
        <w:tabs>
          <w:tab w:val="left" w:pos="2262"/>
        </w:tabs>
        <w:rPr>
          <w:rFonts w:cstheme="minorHAnsi"/>
          <w:b/>
          <w:sz w:val="20"/>
          <w:szCs w:val="20"/>
        </w:rPr>
      </w:pPr>
    </w:p>
    <w:p w14:paraId="6F0E267B" w14:textId="616FB873" w:rsidR="00347F37" w:rsidRPr="0043215C" w:rsidRDefault="00347F37" w:rsidP="00347F37">
      <w:pPr>
        <w:pStyle w:val="Heading3"/>
        <w:rPr>
          <w:rFonts w:cstheme="minorHAnsi"/>
          <w:sz w:val="20"/>
          <w:szCs w:val="20"/>
        </w:rPr>
      </w:pPr>
      <w:bookmarkStart w:id="198" w:name="_Toc170319857"/>
      <w:r w:rsidRPr="0043215C">
        <w:rPr>
          <w:rFonts w:cstheme="minorHAnsi"/>
          <w:sz w:val="20"/>
          <w:szCs w:val="20"/>
        </w:rPr>
        <w:t>ANNEX 9: Component 2 Brief: Power System Flexibility, Balancing and Stability</w:t>
      </w:r>
      <w:r w:rsidRPr="0043215C">
        <w:rPr>
          <w:rFonts w:cstheme="minorHAnsi"/>
          <w:color w:val="000000" w:themeColor="text1"/>
          <w:sz w:val="20"/>
          <w:szCs w:val="20"/>
        </w:rPr>
        <w:t xml:space="preserve"> and Strengthening Power Infrastructure</w:t>
      </w:r>
      <w:bookmarkEnd w:id="198"/>
    </w:p>
    <w:p w14:paraId="0CE721C4" w14:textId="77777777" w:rsidR="00347F37" w:rsidRPr="0043215C" w:rsidRDefault="00347F37" w:rsidP="00347F37">
      <w:pPr>
        <w:pStyle w:val="BodyText"/>
        <w:rPr>
          <w:rFonts w:asciiTheme="minorHAnsi" w:hAnsiTheme="minorHAnsi" w:cstheme="minorHAnsi"/>
          <w:color w:val="FF0000"/>
          <w:sz w:val="20"/>
          <w:szCs w:val="20"/>
          <w:lang w:val="tr"/>
        </w:rPr>
      </w:pPr>
      <w:bookmarkStart w:id="199" w:name="_Toc162898793"/>
      <w:bookmarkStart w:id="200" w:name="_Toc162898860"/>
      <w:bookmarkStart w:id="201" w:name="_Toc162899074"/>
      <w:r w:rsidRPr="0043215C">
        <w:rPr>
          <w:rFonts w:asciiTheme="minorHAnsi" w:hAnsiTheme="minorHAnsi" w:cstheme="minorHAnsi"/>
          <w:sz w:val="20"/>
          <w:szCs w:val="20"/>
        </w:rPr>
        <w:t>Sub-Components:</w:t>
      </w:r>
      <w:r w:rsidRPr="0043215C">
        <w:rPr>
          <w:rFonts w:asciiTheme="minorHAnsi" w:hAnsiTheme="minorHAnsi" w:cstheme="minorHAnsi"/>
          <w:color w:val="000000" w:themeColor="text1"/>
          <w:sz w:val="20"/>
          <w:szCs w:val="20"/>
        </w:rPr>
        <w:t xml:space="preserve"> </w:t>
      </w:r>
    </w:p>
    <w:p w14:paraId="1A071108" w14:textId="77777777" w:rsidR="00347F37" w:rsidRPr="0043215C" w:rsidRDefault="00347F37" w:rsidP="00347F37">
      <w:pPr>
        <w:pStyle w:val="BodyText"/>
        <w:numPr>
          <w:ilvl w:val="0"/>
          <w:numId w:val="18"/>
        </w:numPr>
        <w:rPr>
          <w:rFonts w:asciiTheme="minorHAnsi" w:hAnsiTheme="minorHAnsi" w:cstheme="minorHAnsi"/>
          <w:sz w:val="20"/>
          <w:szCs w:val="20"/>
          <w:lang w:val="tr"/>
        </w:rPr>
      </w:pPr>
      <w:r w:rsidRPr="0043215C">
        <w:rPr>
          <w:rFonts w:asciiTheme="minorHAnsi" w:hAnsiTheme="minorHAnsi" w:cstheme="minorHAnsi"/>
          <w:sz w:val="20"/>
          <w:szCs w:val="20"/>
        </w:rPr>
        <w:t>Battery Storage (EBRD and IFC)</w:t>
      </w:r>
    </w:p>
    <w:p w14:paraId="1C25158F" w14:textId="77777777" w:rsidR="00347F37" w:rsidRPr="0043215C" w:rsidRDefault="00347F37" w:rsidP="00347F37">
      <w:pPr>
        <w:pStyle w:val="BodyText"/>
        <w:numPr>
          <w:ilvl w:val="0"/>
          <w:numId w:val="18"/>
        </w:numPr>
        <w:rPr>
          <w:rFonts w:asciiTheme="minorHAnsi" w:hAnsiTheme="minorHAnsi" w:cstheme="minorHAnsi"/>
          <w:sz w:val="20"/>
          <w:szCs w:val="20"/>
        </w:rPr>
      </w:pPr>
      <w:r w:rsidRPr="0043215C">
        <w:rPr>
          <w:rFonts w:asciiTheme="minorHAnsi" w:hAnsiTheme="minorHAnsi" w:cstheme="minorHAnsi"/>
          <w:sz w:val="20"/>
          <w:szCs w:val="20"/>
        </w:rPr>
        <w:t>E-Mobility (Electric Vehicle (EV) Charging Stations) (EBRD and IFC)</w:t>
      </w:r>
    </w:p>
    <w:p w14:paraId="55B8C486" w14:textId="77777777" w:rsidR="00347F37" w:rsidRPr="0043215C" w:rsidRDefault="00347F37" w:rsidP="00347F37">
      <w:pPr>
        <w:pStyle w:val="BodyText"/>
        <w:numPr>
          <w:ilvl w:val="0"/>
          <w:numId w:val="18"/>
        </w:numPr>
        <w:rPr>
          <w:rFonts w:asciiTheme="minorHAnsi" w:hAnsiTheme="minorHAnsi" w:cstheme="minorHAnsi"/>
          <w:sz w:val="20"/>
          <w:szCs w:val="20"/>
        </w:rPr>
      </w:pPr>
      <w:r w:rsidRPr="0043215C">
        <w:rPr>
          <w:rFonts w:asciiTheme="minorHAnsi" w:hAnsiTheme="minorHAnsi" w:cstheme="minorHAnsi"/>
          <w:sz w:val="20"/>
          <w:szCs w:val="20"/>
        </w:rPr>
        <w:t>Digitalization of the Power Distribution Grid (EBRD)</w:t>
      </w:r>
    </w:p>
    <w:p w14:paraId="2C581DA6" w14:textId="77777777" w:rsidR="00347F37" w:rsidRPr="0043215C" w:rsidRDefault="00347F37" w:rsidP="00347F37">
      <w:pPr>
        <w:pStyle w:val="BodyText"/>
        <w:ind w:left="720"/>
        <w:rPr>
          <w:rFonts w:asciiTheme="minorHAnsi" w:hAnsiTheme="minorHAnsi" w:cstheme="minorHAnsi"/>
          <w:sz w:val="20"/>
          <w:szCs w:val="20"/>
        </w:rPr>
      </w:pPr>
    </w:p>
    <w:p w14:paraId="4B764265" w14:textId="77777777" w:rsidR="00347F37" w:rsidRPr="0043215C" w:rsidRDefault="00347F37" w:rsidP="00347F37">
      <w:pPr>
        <w:pStyle w:val="ListParagraph"/>
        <w:numPr>
          <w:ilvl w:val="1"/>
          <w:numId w:val="4"/>
        </w:numPr>
        <w:spacing w:after="0" w:line="240" w:lineRule="auto"/>
        <w:ind w:left="360"/>
        <w:rPr>
          <w:rFonts w:cstheme="minorHAnsi"/>
          <w:b/>
          <w:bCs/>
          <w:sz w:val="20"/>
          <w:szCs w:val="20"/>
          <w:u w:val="single"/>
        </w:rPr>
      </w:pPr>
      <w:r w:rsidRPr="0043215C">
        <w:rPr>
          <w:rFonts w:cstheme="minorHAnsi"/>
          <w:b/>
          <w:bCs/>
          <w:sz w:val="20"/>
          <w:szCs w:val="20"/>
          <w:u w:val="single"/>
        </w:rPr>
        <w:t>Battery Storage (EBRD and IFC)</w:t>
      </w:r>
    </w:p>
    <w:p w14:paraId="12DDF569" w14:textId="77777777" w:rsidR="00347F37" w:rsidRPr="0043215C" w:rsidRDefault="00347F37" w:rsidP="00347F37">
      <w:pPr>
        <w:pStyle w:val="ListParagraph"/>
        <w:spacing w:after="0" w:line="240" w:lineRule="auto"/>
        <w:ind w:left="0"/>
        <w:rPr>
          <w:rFonts w:cstheme="minorHAnsi"/>
          <w:b/>
          <w:bCs/>
          <w:sz w:val="20"/>
          <w:szCs w:val="20"/>
          <w:u w:val="single"/>
        </w:rPr>
      </w:pPr>
    </w:p>
    <w:p w14:paraId="681C7304" w14:textId="77777777" w:rsidR="00347F37" w:rsidRPr="0043215C" w:rsidRDefault="00347F37" w:rsidP="00347F37">
      <w:pPr>
        <w:pStyle w:val="Heading2"/>
        <w:spacing w:before="0" w:line="240" w:lineRule="auto"/>
        <w:rPr>
          <w:rFonts w:cstheme="minorHAnsi"/>
          <w:i/>
          <w:iCs/>
          <w:sz w:val="20"/>
          <w:szCs w:val="20"/>
        </w:rPr>
      </w:pPr>
      <w:bookmarkStart w:id="202" w:name="_Toc162962987"/>
      <w:bookmarkStart w:id="203" w:name="_Toc162964169"/>
      <w:bookmarkStart w:id="204" w:name="_Toc170211391"/>
      <w:bookmarkStart w:id="205" w:name="_Toc170319858"/>
      <w:r w:rsidRPr="0043215C">
        <w:rPr>
          <w:rFonts w:cstheme="minorHAnsi"/>
          <w:i/>
          <w:iCs/>
          <w:sz w:val="20"/>
          <w:szCs w:val="20"/>
        </w:rPr>
        <w:t>Problem statement</w:t>
      </w:r>
      <w:bookmarkEnd w:id="199"/>
      <w:bookmarkEnd w:id="200"/>
      <w:bookmarkEnd w:id="201"/>
      <w:bookmarkEnd w:id="202"/>
      <w:bookmarkEnd w:id="203"/>
      <w:bookmarkEnd w:id="204"/>
      <w:bookmarkEnd w:id="205"/>
    </w:p>
    <w:p w14:paraId="2675514C" w14:textId="77777777" w:rsidR="00347F37" w:rsidRPr="0043215C" w:rsidRDefault="00347F37" w:rsidP="00347F37">
      <w:pPr>
        <w:spacing w:after="0" w:line="240" w:lineRule="auto"/>
        <w:rPr>
          <w:rFonts w:cstheme="minorHAnsi"/>
          <w:sz w:val="20"/>
          <w:szCs w:val="20"/>
        </w:rPr>
      </w:pPr>
    </w:p>
    <w:p w14:paraId="7DBC9936" w14:textId="77777777" w:rsidR="00347F37" w:rsidRPr="0043215C" w:rsidRDefault="00347F37" w:rsidP="00347F37">
      <w:pPr>
        <w:rPr>
          <w:rFonts w:cstheme="minorHAnsi"/>
          <w:sz w:val="20"/>
          <w:szCs w:val="20"/>
        </w:rPr>
      </w:pPr>
      <w:r w:rsidRPr="0043215C">
        <w:rPr>
          <w:rFonts w:cstheme="minorHAnsi"/>
          <w:sz w:val="20"/>
          <w:szCs w:val="20"/>
        </w:rPr>
        <w:t>T</w:t>
      </w:r>
      <w:r w:rsidRPr="0043215C">
        <w:rPr>
          <w:rFonts w:cstheme="minorHAnsi"/>
          <w:sz w:val="20"/>
          <w:szCs w:val="20"/>
          <w:lang w:val="tr-TR"/>
        </w:rPr>
        <w:t>ü</w:t>
      </w:r>
      <w:proofErr w:type="spellStart"/>
      <w:r w:rsidRPr="0043215C">
        <w:rPr>
          <w:rFonts w:cstheme="minorHAnsi"/>
          <w:sz w:val="20"/>
          <w:szCs w:val="20"/>
        </w:rPr>
        <w:t>rkiye</w:t>
      </w:r>
      <w:proofErr w:type="spellEnd"/>
      <w:r w:rsidRPr="0043215C">
        <w:rPr>
          <w:rFonts w:cstheme="minorHAnsi"/>
          <w:sz w:val="20"/>
          <w:szCs w:val="20"/>
        </w:rPr>
        <w:t xml:space="preserve"> faces critical challenges in its energy sector, marked by a growing demand for electricity, increasing penetration of renewable energy sources, and a need for grid stability. These challenges highlight the urgent requirement for significant investments in battery storage infrastructure and technologies throughout the country. Despite having more than 50% of installed power generation from renewable sources, actual generation in the country is heavily dependent on fossil fuel. Government of T</w:t>
      </w:r>
      <w:r w:rsidRPr="0043215C">
        <w:rPr>
          <w:rFonts w:cstheme="minorHAnsi"/>
          <w:sz w:val="20"/>
          <w:szCs w:val="20"/>
          <w:lang w:val="tr-TR"/>
        </w:rPr>
        <w:t>ü</w:t>
      </w:r>
      <w:proofErr w:type="spellStart"/>
      <w:r w:rsidRPr="0043215C">
        <w:rPr>
          <w:rFonts w:cstheme="minorHAnsi"/>
          <w:sz w:val="20"/>
          <w:szCs w:val="20"/>
        </w:rPr>
        <w:t>rkiye’s</w:t>
      </w:r>
      <w:proofErr w:type="spellEnd"/>
      <w:r w:rsidRPr="0043215C">
        <w:rPr>
          <w:rFonts w:cstheme="minorHAnsi"/>
          <w:sz w:val="20"/>
          <w:szCs w:val="20"/>
        </w:rPr>
        <w:t xml:space="preserve"> RE scale up plan can only address decarbonization concerns if battery storage is also adopted and implemented successfully in tandem.</w:t>
      </w:r>
    </w:p>
    <w:p w14:paraId="474EAD32" w14:textId="77777777" w:rsidR="00347F37" w:rsidRPr="0043215C" w:rsidRDefault="00347F37" w:rsidP="00347F37">
      <w:pPr>
        <w:spacing w:after="0" w:line="240" w:lineRule="auto"/>
        <w:rPr>
          <w:rFonts w:cstheme="minorHAnsi"/>
          <w:sz w:val="20"/>
          <w:szCs w:val="20"/>
        </w:rPr>
      </w:pPr>
      <w:r w:rsidRPr="0043215C">
        <w:rPr>
          <w:rFonts w:cstheme="minorHAnsi"/>
          <w:sz w:val="20"/>
          <w:szCs w:val="20"/>
        </w:rPr>
        <w:t>By embracing battery storage investments as a cornerstone of its energy transition strategy, T</w:t>
      </w:r>
      <w:r w:rsidRPr="0043215C">
        <w:rPr>
          <w:rFonts w:cstheme="minorHAnsi"/>
          <w:sz w:val="20"/>
          <w:szCs w:val="20"/>
          <w:lang w:val="tr-TR"/>
        </w:rPr>
        <w:t>ü</w:t>
      </w:r>
      <w:proofErr w:type="spellStart"/>
      <w:r w:rsidRPr="0043215C">
        <w:rPr>
          <w:rFonts w:cstheme="minorHAnsi"/>
          <w:sz w:val="20"/>
          <w:szCs w:val="20"/>
        </w:rPr>
        <w:t>rkiye</w:t>
      </w:r>
      <w:proofErr w:type="spellEnd"/>
      <w:r w:rsidRPr="0043215C">
        <w:rPr>
          <w:rFonts w:cstheme="minorHAnsi"/>
          <w:sz w:val="20"/>
          <w:szCs w:val="20"/>
        </w:rPr>
        <w:t xml:space="preserve"> can unlock a range of benefits, including enhanced grid stability, reduced carbon emissions, improved energy security, and economic growth. However, achieving these objectives will require collaboration amongst government, industry stakeholders, and the broader energy community to overcome regulatory barriers, mobilize investment, and accelerate the adoption of battery storage solutions across the country.</w:t>
      </w:r>
    </w:p>
    <w:p w14:paraId="30572551" w14:textId="77777777" w:rsidR="00347F37" w:rsidRPr="0043215C" w:rsidRDefault="00347F37" w:rsidP="00347F37">
      <w:pPr>
        <w:spacing w:after="0" w:line="240" w:lineRule="auto"/>
        <w:rPr>
          <w:rFonts w:cstheme="minorHAnsi"/>
          <w:sz w:val="20"/>
          <w:szCs w:val="20"/>
        </w:rPr>
      </w:pPr>
    </w:p>
    <w:p w14:paraId="1A3F5936" w14:textId="77777777" w:rsidR="00347F37" w:rsidRPr="0043215C" w:rsidRDefault="00347F37" w:rsidP="00347F37">
      <w:pPr>
        <w:pStyle w:val="Heading2"/>
        <w:spacing w:before="0" w:line="240" w:lineRule="auto"/>
        <w:rPr>
          <w:rFonts w:cstheme="minorHAnsi"/>
          <w:i/>
          <w:iCs/>
          <w:sz w:val="20"/>
          <w:szCs w:val="20"/>
        </w:rPr>
      </w:pPr>
      <w:bookmarkStart w:id="206" w:name="_Toc162898794"/>
      <w:bookmarkStart w:id="207" w:name="_Toc162898861"/>
      <w:bookmarkStart w:id="208" w:name="_Toc162899075"/>
      <w:bookmarkStart w:id="209" w:name="_Toc162962988"/>
      <w:bookmarkStart w:id="210" w:name="_Toc162964170"/>
      <w:bookmarkStart w:id="211" w:name="_Toc170211392"/>
      <w:bookmarkStart w:id="212" w:name="_Toc170319859"/>
      <w:r w:rsidRPr="0043215C">
        <w:rPr>
          <w:rFonts w:cstheme="minorHAnsi"/>
          <w:i/>
          <w:iCs/>
          <w:sz w:val="20"/>
          <w:szCs w:val="20"/>
        </w:rPr>
        <w:t xml:space="preserve">Proposed contribution to initiating </w:t>
      </w:r>
      <w:proofErr w:type="gramStart"/>
      <w:r w:rsidRPr="0043215C">
        <w:rPr>
          <w:rFonts w:cstheme="minorHAnsi"/>
          <w:i/>
          <w:iCs/>
          <w:sz w:val="20"/>
          <w:szCs w:val="20"/>
        </w:rPr>
        <w:t>transformation</w:t>
      </w:r>
      <w:bookmarkEnd w:id="206"/>
      <w:bookmarkEnd w:id="207"/>
      <w:bookmarkEnd w:id="208"/>
      <w:bookmarkEnd w:id="209"/>
      <w:bookmarkEnd w:id="210"/>
      <w:bookmarkEnd w:id="211"/>
      <w:bookmarkEnd w:id="212"/>
      <w:proofErr w:type="gramEnd"/>
    </w:p>
    <w:p w14:paraId="0B4E3CB8" w14:textId="77777777" w:rsidR="00347F37" w:rsidRPr="0043215C" w:rsidRDefault="00347F37" w:rsidP="00347F37">
      <w:pPr>
        <w:spacing w:after="0" w:line="240" w:lineRule="auto"/>
        <w:rPr>
          <w:rFonts w:cstheme="minorHAnsi"/>
          <w:sz w:val="20"/>
          <w:szCs w:val="20"/>
          <w:u w:val="single"/>
        </w:rPr>
      </w:pPr>
    </w:p>
    <w:p w14:paraId="537C18FD" w14:textId="40CCB1B6" w:rsidR="00347F37" w:rsidRPr="0043215C" w:rsidRDefault="00347F37" w:rsidP="00347F37">
      <w:pPr>
        <w:spacing w:after="0" w:line="240" w:lineRule="auto"/>
        <w:rPr>
          <w:rFonts w:cstheme="minorHAnsi"/>
          <w:sz w:val="20"/>
          <w:szCs w:val="20"/>
        </w:rPr>
      </w:pPr>
      <w:r w:rsidRPr="0043215C">
        <w:rPr>
          <w:rFonts w:cstheme="minorHAnsi"/>
          <w:sz w:val="20"/>
          <w:szCs w:val="20"/>
        </w:rPr>
        <w:t xml:space="preserve">The Turkish battery storage market is set for substantial growth, driven by the effects of recent storage pre-license applications and the National Energy Action plan targets. More than 25 GW of battery storage licenses have been awarded, translating into more than </w:t>
      </w:r>
      <w:r w:rsidR="00636124" w:rsidRPr="0043215C">
        <w:rPr>
          <w:rFonts w:cstheme="minorHAnsi"/>
          <w:sz w:val="20"/>
          <w:szCs w:val="20"/>
        </w:rPr>
        <w:t>US$</w:t>
      </w:r>
      <w:r w:rsidRPr="0043215C">
        <w:rPr>
          <w:rFonts w:cstheme="minorHAnsi"/>
          <w:sz w:val="20"/>
          <w:szCs w:val="20"/>
        </w:rPr>
        <w:t xml:space="preserve"> 20 billion required investments in the medium term. However, it is worth noting that despite the regulatory progress, private sector players are still in the early stages of understanding costs associated with building battery storage systems and navigating their revenue structures. Consequently, clients in EBRD and IFC’s pipelines are primarily interested in developing trial battery storage projects with smaller capacities to assess system functionality before committing to larger future investments. Enabling such early mover transformational battery storage projects will require concessional financing due to the nascent stage of the storage industry.</w:t>
      </w:r>
    </w:p>
    <w:p w14:paraId="5AD779F3" w14:textId="77777777" w:rsidR="00347F37" w:rsidRPr="0043215C" w:rsidRDefault="00347F37" w:rsidP="00347F37">
      <w:pPr>
        <w:spacing w:after="0" w:line="240" w:lineRule="auto"/>
        <w:rPr>
          <w:rFonts w:cstheme="minorHAnsi"/>
          <w:sz w:val="20"/>
          <w:szCs w:val="20"/>
        </w:rPr>
      </w:pPr>
    </w:p>
    <w:p w14:paraId="176E4987" w14:textId="77777777" w:rsidR="00347F37" w:rsidRPr="0043215C" w:rsidRDefault="00347F37" w:rsidP="00347F37">
      <w:pPr>
        <w:pStyle w:val="Heading2"/>
        <w:spacing w:before="0" w:line="240" w:lineRule="auto"/>
        <w:rPr>
          <w:rFonts w:cstheme="minorHAnsi"/>
          <w:i/>
          <w:iCs/>
          <w:sz w:val="20"/>
          <w:szCs w:val="20"/>
        </w:rPr>
      </w:pPr>
      <w:bookmarkStart w:id="213" w:name="_Toc162898795"/>
      <w:bookmarkStart w:id="214" w:name="_Toc162898862"/>
      <w:bookmarkStart w:id="215" w:name="_Toc162899076"/>
      <w:bookmarkStart w:id="216" w:name="_Toc162962989"/>
      <w:bookmarkStart w:id="217" w:name="_Toc162964171"/>
      <w:bookmarkStart w:id="218" w:name="_Toc170211393"/>
      <w:bookmarkStart w:id="219" w:name="_Toc170319860"/>
      <w:r w:rsidRPr="0043215C">
        <w:rPr>
          <w:rFonts w:cstheme="minorHAnsi"/>
          <w:i/>
          <w:iCs/>
          <w:sz w:val="20"/>
          <w:szCs w:val="20"/>
        </w:rPr>
        <w:t>Implementation readiness</w:t>
      </w:r>
      <w:bookmarkEnd w:id="213"/>
      <w:bookmarkEnd w:id="214"/>
      <w:bookmarkEnd w:id="215"/>
      <w:bookmarkEnd w:id="216"/>
      <w:bookmarkEnd w:id="217"/>
      <w:bookmarkEnd w:id="218"/>
      <w:bookmarkEnd w:id="219"/>
      <w:r w:rsidRPr="0043215C">
        <w:rPr>
          <w:rFonts w:cstheme="minorHAnsi"/>
          <w:i/>
          <w:iCs/>
          <w:sz w:val="20"/>
          <w:szCs w:val="20"/>
        </w:rPr>
        <w:t xml:space="preserve"> </w:t>
      </w:r>
    </w:p>
    <w:p w14:paraId="7D07893F" w14:textId="77777777" w:rsidR="00347F37" w:rsidRPr="0043215C" w:rsidRDefault="00347F37" w:rsidP="00347F37">
      <w:pPr>
        <w:spacing w:after="0" w:line="240" w:lineRule="auto"/>
        <w:rPr>
          <w:rFonts w:cstheme="minorHAnsi"/>
          <w:sz w:val="20"/>
          <w:szCs w:val="20"/>
          <w:u w:val="single"/>
        </w:rPr>
      </w:pPr>
    </w:p>
    <w:p w14:paraId="2529217C" w14:textId="7047853B" w:rsidR="00347F37" w:rsidRPr="0043215C" w:rsidRDefault="00347F37" w:rsidP="00347F37">
      <w:pPr>
        <w:spacing w:after="0" w:line="240" w:lineRule="auto"/>
        <w:rPr>
          <w:rFonts w:cstheme="minorHAnsi"/>
          <w:sz w:val="20"/>
          <w:szCs w:val="20"/>
        </w:rPr>
      </w:pPr>
      <w:r w:rsidRPr="0043215C">
        <w:rPr>
          <w:rFonts w:cstheme="minorHAnsi"/>
          <w:sz w:val="20"/>
          <w:szCs w:val="20"/>
        </w:rPr>
        <w:t xml:space="preserve">Private sector activities closely follow developments in the market, driven by the regulatory and policy regime set by the Government of Türkiye. It is expected that projects will start gaining traction in 2025. EBRD has completed concept review for a potential project with an approximate investment volume of </w:t>
      </w:r>
      <w:r w:rsidR="00636124" w:rsidRPr="0043215C">
        <w:rPr>
          <w:rFonts w:cstheme="minorHAnsi"/>
          <w:sz w:val="20"/>
          <w:szCs w:val="20"/>
        </w:rPr>
        <w:t>US$</w:t>
      </w:r>
      <w:r w:rsidRPr="0043215C">
        <w:rPr>
          <w:rFonts w:cstheme="minorHAnsi"/>
          <w:sz w:val="20"/>
          <w:szCs w:val="20"/>
        </w:rPr>
        <w:t xml:space="preserve"> 5 million and is in discussions with the client regarding project details. Further, EBRD expects to receive increased interest for financing requests for battery storage starting from 2025. IFC is considering several potential projects with energy storage and expects a requirement of </w:t>
      </w:r>
      <w:r w:rsidR="00636124" w:rsidRPr="0043215C">
        <w:rPr>
          <w:rFonts w:cstheme="minorHAnsi"/>
          <w:sz w:val="20"/>
          <w:szCs w:val="20"/>
        </w:rPr>
        <w:t>US$</w:t>
      </w:r>
      <w:r w:rsidRPr="0043215C">
        <w:rPr>
          <w:rFonts w:cstheme="minorHAnsi"/>
          <w:sz w:val="20"/>
          <w:szCs w:val="20"/>
        </w:rPr>
        <w:t xml:space="preserve"> 15-20 million concessional financing to be applied in early 2025.</w:t>
      </w:r>
    </w:p>
    <w:p w14:paraId="35F66598" w14:textId="77777777" w:rsidR="00347F37" w:rsidRPr="0043215C" w:rsidRDefault="00347F37" w:rsidP="00347F37">
      <w:pPr>
        <w:spacing w:after="0" w:line="240" w:lineRule="auto"/>
        <w:rPr>
          <w:rFonts w:cstheme="minorHAnsi"/>
          <w:sz w:val="20"/>
          <w:szCs w:val="20"/>
        </w:rPr>
      </w:pPr>
    </w:p>
    <w:p w14:paraId="48A44000" w14:textId="77777777" w:rsidR="00347F37" w:rsidRPr="0043215C" w:rsidRDefault="00347F37" w:rsidP="00347F37">
      <w:pPr>
        <w:pStyle w:val="Heading2"/>
        <w:spacing w:before="0" w:line="240" w:lineRule="auto"/>
        <w:rPr>
          <w:rFonts w:cstheme="minorHAnsi"/>
          <w:i/>
          <w:iCs/>
          <w:sz w:val="20"/>
          <w:szCs w:val="20"/>
        </w:rPr>
      </w:pPr>
      <w:bookmarkStart w:id="220" w:name="_Toc162898796"/>
      <w:bookmarkStart w:id="221" w:name="_Toc162898863"/>
      <w:bookmarkStart w:id="222" w:name="_Toc162899077"/>
      <w:bookmarkStart w:id="223" w:name="_Toc162962990"/>
      <w:bookmarkStart w:id="224" w:name="_Toc162964172"/>
      <w:bookmarkStart w:id="225" w:name="_Toc170211394"/>
      <w:bookmarkStart w:id="226" w:name="_Toc170319861"/>
      <w:r w:rsidRPr="0043215C">
        <w:rPr>
          <w:rFonts w:cstheme="minorHAnsi"/>
          <w:i/>
          <w:iCs/>
          <w:sz w:val="20"/>
          <w:szCs w:val="20"/>
        </w:rPr>
        <w:t>Rationale for REI financing</w:t>
      </w:r>
      <w:bookmarkEnd w:id="220"/>
      <w:bookmarkEnd w:id="221"/>
      <w:bookmarkEnd w:id="222"/>
      <w:bookmarkEnd w:id="223"/>
      <w:bookmarkEnd w:id="224"/>
      <w:bookmarkEnd w:id="225"/>
      <w:bookmarkEnd w:id="226"/>
      <w:r w:rsidRPr="0043215C">
        <w:rPr>
          <w:rFonts w:cstheme="minorHAnsi"/>
          <w:i/>
          <w:iCs/>
          <w:sz w:val="20"/>
          <w:szCs w:val="20"/>
        </w:rPr>
        <w:t xml:space="preserve"> </w:t>
      </w:r>
    </w:p>
    <w:p w14:paraId="60381A49" w14:textId="77777777" w:rsidR="00347F37" w:rsidRPr="0043215C" w:rsidRDefault="00347F37" w:rsidP="00347F37">
      <w:pPr>
        <w:spacing w:after="0" w:line="240" w:lineRule="auto"/>
        <w:rPr>
          <w:rFonts w:cstheme="minorHAnsi"/>
          <w:sz w:val="20"/>
          <w:szCs w:val="20"/>
          <w:u w:val="single"/>
        </w:rPr>
      </w:pPr>
    </w:p>
    <w:p w14:paraId="63555E00" w14:textId="77777777" w:rsidR="00347F37" w:rsidRPr="0043215C" w:rsidRDefault="00347F37" w:rsidP="00347F37">
      <w:pPr>
        <w:rPr>
          <w:rFonts w:cstheme="minorHAnsi"/>
          <w:sz w:val="20"/>
          <w:szCs w:val="20"/>
        </w:rPr>
      </w:pPr>
      <w:r w:rsidRPr="0043215C">
        <w:rPr>
          <w:rFonts w:cstheme="minorHAnsi"/>
          <w:sz w:val="20"/>
          <w:szCs w:val="20"/>
        </w:rPr>
        <w:t xml:space="preserve">Financing battery storage projects is crucial for enhancing grid flexibility and integrating higher shares of variable renewable energy. These projects address technical and operational barriers, stabilize the grid, and support off-grid </w:t>
      </w:r>
      <w:r w:rsidRPr="0043215C">
        <w:rPr>
          <w:rFonts w:cstheme="minorHAnsi"/>
          <w:sz w:val="20"/>
          <w:szCs w:val="20"/>
        </w:rPr>
        <w:lastRenderedPageBreak/>
        <w:t>access to clean energy. By providing ancillary services and improving market design, battery storage accelerates the transition to a low-carbon energy system in line with the Paris Agreement's goals.</w:t>
      </w:r>
    </w:p>
    <w:p w14:paraId="5D040D06" w14:textId="77777777" w:rsidR="00347F37" w:rsidRPr="0043215C" w:rsidRDefault="00347F37" w:rsidP="00347F37">
      <w:pPr>
        <w:spacing w:after="0" w:line="240" w:lineRule="auto"/>
        <w:rPr>
          <w:rFonts w:cstheme="minorHAnsi"/>
          <w:sz w:val="20"/>
          <w:szCs w:val="20"/>
        </w:rPr>
      </w:pPr>
    </w:p>
    <w:p w14:paraId="7F749603" w14:textId="77777777" w:rsidR="00347F37" w:rsidRPr="0043215C" w:rsidRDefault="00347F37" w:rsidP="00347F37">
      <w:pPr>
        <w:pStyle w:val="Heading2"/>
        <w:spacing w:before="0" w:line="240" w:lineRule="auto"/>
        <w:rPr>
          <w:rFonts w:cstheme="minorHAnsi"/>
          <w:i/>
          <w:iCs/>
          <w:sz w:val="20"/>
          <w:szCs w:val="20"/>
        </w:rPr>
      </w:pPr>
      <w:bookmarkStart w:id="227" w:name="_Toc162898797"/>
      <w:bookmarkStart w:id="228" w:name="_Toc162898864"/>
      <w:bookmarkStart w:id="229" w:name="_Toc162899078"/>
      <w:bookmarkStart w:id="230" w:name="_Toc162962991"/>
      <w:bookmarkStart w:id="231" w:name="_Toc162964173"/>
      <w:bookmarkStart w:id="232" w:name="_Toc170211395"/>
      <w:bookmarkStart w:id="233" w:name="_Toc170319862"/>
      <w:r w:rsidRPr="0043215C">
        <w:rPr>
          <w:rFonts w:cstheme="minorHAnsi"/>
          <w:i/>
          <w:iCs/>
          <w:sz w:val="20"/>
          <w:szCs w:val="20"/>
        </w:rPr>
        <w:t>Results indicators</w:t>
      </w:r>
      <w:bookmarkEnd w:id="227"/>
      <w:bookmarkEnd w:id="228"/>
      <w:bookmarkEnd w:id="229"/>
      <w:bookmarkEnd w:id="230"/>
      <w:bookmarkEnd w:id="231"/>
      <w:bookmarkEnd w:id="232"/>
      <w:bookmarkEnd w:id="233"/>
      <w:r w:rsidRPr="0043215C">
        <w:rPr>
          <w:rFonts w:cstheme="minorHAnsi"/>
          <w:i/>
          <w:iCs/>
          <w:sz w:val="20"/>
          <w:szCs w:val="20"/>
        </w:rPr>
        <w:t xml:space="preserve"> </w:t>
      </w:r>
    </w:p>
    <w:p w14:paraId="36ABF471" w14:textId="77777777" w:rsidR="00347F37" w:rsidRPr="0043215C" w:rsidRDefault="00347F37" w:rsidP="00347F37">
      <w:pPr>
        <w:spacing w:after="0" w:line="240" w:lineRule="auto"/>
        <w:rPr>
          <w:rFonts w:cstheme="minorHAnsi"/>
          <w:sz w:val="20"/>
          <w:szCs w:val="20"/>
        </w:rPr>
      </w:pPr>
    </w:p>
    <w:p w14:paraId="7DCD568F" w14:textId="77777777" w:rsidR="00347F37" w:rsidRPr="0043215C" w:rsidRDefault="00347F37" w:rsidP="00347F37">
      <w:pPr>
        <w:spacing w:after="0" w:line="240" w:lineRule="auto"/>
        <w:rPr>
          <w:rFonts w:cstheme="minorHAnsi"/>
          <w:sz w:val="20"/>
          <w:szCs w:val="20"/>
        </w:rPr>
      </w:pPr>
      <w:r w:rsidRPr="0043215C">
        <w:rPr>
          <w:rFonts w:cstheme="minorHAnsi"/>
          <w:sz w:val="20"/>
          <w:szCs w:val="20"/>
        </w:rPr>
        <w:t>Refer to indicators in Section VIII. Monitoring and Evaluation and elaborate their definitions and targets.</w:t>
      </w:r>
    </w:p>
    <w:p w14:paraId="497E9F0A" w14:textId="77777777" w:rsidR="00347F37" w:rsidRPr="0043215C" w:rsidRDefault="00347F37" w:rsidP="00347F37">
      <w:pPr>
        <w:spacing w:after="0" w:line="240" w:lineRule="auto"/>
        <w:rPr>
          <w:rFonts w:cstheme="minorHAnsi"/>
          <w:sz w:val="20"/>
          <w:szCs w:val="20"/>
        </w:rPr>
      </w:pPr>
    </w:p>
    <w:p w14:paraId="19A81C79" w14:textId="77777777" w:rsidR="00347F37" w:rsidRPr="0043215C" w:rsidRDefault="00347F37" w:rsidP="00347F37">
      <w:pPr>
        <w:spacing w:after="0" w:line="240" w:lineRule="auto"/>
        <w:rPr>
          <w:rFonts w:cstheme="minorHAnsi"/>
          <w:sz w:val="20"/>
          <w:szCs w:val="20"/>
        </w:rPr>
      </w:pPr>
      <w:r w:rsidRPr="0043215C">
        <w:rPr>
          <w:rFonts w:cstheme="minorHAnsi"/>
          <w:sz w:val="20"/>
          <w:szCs w:val="20"/>
        </w:rPr>
        <w:t>The final list of indicators will be available during the project preparation stage. Anticipated outcomes of the project include the following.</w:t>
      </w:r>
    </w:p>
    <w:p w14:paraId="61591FA1" w14:textId="77777777" w:rsidR="00347F37" w:rsidRPr="0043215C" w:rsidRDefault="00347F37" w:rsidP="00347F37">
      <w:pPr>
        <w:spacing w:after="0" w:line="240"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47F37" w:rsidRPr="0043215C" w14:paraId="506F51F6" w14:textId="77777777" w:rsidTr="006211BF">
        <w:tc>
          <w:tcPr>
            <w:tcW w:w="9350" w:type="dxa"/>
          </w:tcPr>
          <w:p w14:paraId="331F3CE1" w14:textId="77777777" w:rsidR="00347F37" w:rsidRPr="0043215C" w:rsidRDefault="00347F37" w:rsidP="00651F36">
            <w:pPr>
              <w:pStyle w:val="ListParagraph"/>
              <w:numPr>
                <w:ilvl w:val="0"/>
                <w:numId w:val="21"/>
              </w:numPr>
              <w:rPr>
                <w:rFonts w:cstheme="minorHAnsi"/>
                <w:sz w:val="20"/>
                <w:szCs w:val="20"/>
              </w:rPr>
            </w:pPr>
            <w:r w:rsidRPr="0043215C">
              <w:rPr>
                <w:rFonts w:cstheme="minorHAnsi"/>
                <w:sz w:val="20"/>
                <w:szCs w:val="20"/>
              </w:rPr>
              <w:t>Greenhouse gas (GHG) emissions reduction/avoidance (metric tons/year)</w:t>
            </w:r>
          </w:p>
        </w:tc>
      </w:tr>
      <w:tr w:rsidR="00347F37" w:rsidRPr="0043215C" w14:paraId="26252D07" w14:textId="77777777" w:rsidTr="006211BF">
        <w:tc>
          <w:tcPr>
            <w:tcW w:w="9350" w:type="dxa"/>
          </w:tcPr>
          <w:p w14:paraId="59A83C7B" w14:textId="77777777" w:rsidR="00347F37" w:rsidRPr="0043215C" w:rsidRDefault="00347F37" w:rsidP="00651F36">
            <w:pPr>
              <w:pStyle w:val="ListParagraph"/>
              <w:numPr>
                <w:ilvl w:val="0"/>
                <w:numId w:val="21"/>
              </w:numPr>
              <w:rPr>
                <w:rFonts w:cstheme="minorHAnsi"/>
                <w:sz w:val="20"/>
                <w:szCs w:val="20"/>
              </w:rPr>
            </w:pPr>
            <w:r w:rsidRPr="0043215C">
              <w:rPr>
                <w:rFonts w:cstheme="minorHAnsi"/>
                <w:sz w:val="20"/>
                <w:szCs w:val="20"/>
              </w:rPr>
              <w:t>Installed capacity of variable renewable energy available to the grid (MW)</w:t>
            </w:r>
          </w:p>
        </w:tc>
      </w:tr>
      <w:tr w:rsidR="00347F37" w:rsidRPr="0043215C" w14:paraId="7303DA54" w14:textId="77777777" w:rsidTr="006211BF">
        <w:tc>
          <w:tcPr>
            <w:tcW w:w="9350" w:type="dxa"/>
          </w:tcPr>
          <w:p w14:paraId="7B3D200F" w14:textId="77777777" w:rsidR="00347F37" w:rsidRPr="0043215C" w:rsidRDefault="00347F37" w:rsidP="00651F36">
            <w:pPr>
              <w:pStyle w:val="ListParagraph"/>
              <w:numPr>
                <w:ilvl w:val="0"/>
                <w:numId w:val="21"/>
              </w:numPr>
              <w:rPr>
                <w:rFonts w:cstheme="minorHAnsi"/>
                <w:sz w:val="20"/>
                <w:szCs w:val="20"/>
              </w:rPr>
            </w:pPr>
            <w:r w:rsidRPr="0043215C">
              <w:rPr>
                <w:rFonts w:cstheme="minorHAnsi"/>
                <w:sz w:val="20"/>
                <w:szCs w:val="20"/>
              </w:rPr>
              <w:t>Annual renewable energy output (MWh)</w:t>
            </w:r>
          </w:p>
        </w:tc>
      </w:tr>
      <w:tr w:rsidR="00347F37" w:rsidRPr="0043215C" w14:paraId="0B0F13D6" w14:textId="77777777" w:rsidTr="006211BF">
        <w:tc>
          <w:tcPr>
            <w:tcW w:w="9350" w:type="dxa"/>
          </w:tcPr>
          <w:p w14:paraId="75DBC485" w14:textId="77777777" w:rsidR="00347F37" w:rsidRPr="0043215C" w:rsidRDefault="00347F37" w:rsidP="00651F36">
            <w:pPr>
              <w:pStyle w:val="ListParagraph"/>
              <w:numPr>
                <w:ilvl w:val="0"/>
                <w:numId w:val="21"/>
              </w:numPr>
              <w:rPr>
                <w:rFonts w:cstheme="minorHAnsi"/>
                <w:sz w:val="20"/>
                <w:szCs w:val="20"/>
              </w:rPr>
            </w:pPr>
            <w:r w:rsidRPr="0043215C">
              <w:rPr>
                <w:rFonts w:cstheme="minorHAnsi"/>
                <w:sz w:val="20"/>
                <w:szCs w:val="20"/>
              </w:rPr>
              <w:t>Increase in available grid services and improvements (see examples below)</w:t>
            </w:r>
          </w:p>
        </w:tc>
      </w:tr>
      <w:tr w:rsidR="00347F37" w:rsidRPr="0043215C" w14:paraId="1D87A59A" w14:textId="77777777" w:rsidTr="006211BF">
        <w:tc>
          <w:tcPr>
            <w:tcW w:w="9350" w:type="dxa"/>
          </w:tcPr>
          <w:p w14:paraId="5C78B369" w14:textId="77777777" w:rsidR="00347F37" w:rsidRPr="0043215C" w:rsidRDefault="00347F37" w:rsidP="00651F36">
            <w:pPr>
              <w:pStyle w:val="ListParagraph"/>
              <w:numPr>
                <w:ilvl w:val="1"/>
                <w:numId w:val="21"/>
              </w:numPr>
              <w:ind w:left="720"/>
              <w:rPr>
                <w:rFonts w:cstheme="minorHAnsi"/>
                <w:sz w:val="20"/>
                <w:szCs w:val="20"/>
              </w:rPr>
            </w:pPr>
            <w:r w:rsidRPr="0043215C">
              <w:rPr>
                <w:rFonts w:cstheme="minorHAnsi"/>
                <w:sz w:val="20"/>
                <w:szCs w:val="20"/>
              </w:rPr>
              <w:t># of new front-of-the-meter (utility-scale) battery storage systems installed</w:t>
            </w:r>
          </w:p>
        </w:tc>
      </w:tr>
      <w:tr w:rsidR="00347F37" w:rsidRPr="0043215C" w14:paraId="39DA6C29" w14:textId="77777777" w:rsidTr="006211BF">
        <w:tc>
          <w:tcPr>
            <w:tcW w:w="9350" w:type="dxa"/>
          </w:tcPr>
          <w:p w14:paraId="77E8D258" w14:textId="77777777" w:rsidR="00347F37" w:rsidRPr="0043215C" w:rsidRDefault="00347F37" w:rsidP="00651F36">
            <w:pPr>
              <w:pStyle w:val="ListParagraph"/>
              <w:numPr>
                <w:ilvl w:val="1"/>
                <w:numId w:val="21"/>
              </w:numPr>
              <w:ind w:left="720"/>
              <w:rPr>
                <w:rFonts w:cstheme="minorHAnsi"/>
                <w:sz w:val="20"/>
                <w:szCs w:val="20"/>
              </w:rPr>
            </w:pPr>
            <w:r w:rsidRPr="0043215C">
              <w:rPr>
                <w:rFonts w:cstheme="minorHAnsi"/>
                <w:sz w:val="20"/>
                <w:szCs w:val="20"/>
              </w:rPr>
              <w:t># of new behind-the-meter (residential or commercial and industrial) battery storage systems installed</w:t>
            </w:r>
          </w:p>
        </w:tc>
      </w:tr>
      <w:tr w:rsidR="00347F37" w:rsidRPr="0043215C" w14:paraId="03F59BDF" w14:textId="77777777" w:rsidTr="006211BF">
        <w:tc>
          <w:tcPr>
            <w:tcW w:w="9350" w:type="dxa"/>
          </w:tcPr>
          <w:p w14:paraId="0B7433D8" w14:textId="77777777" w:rsidR="00347F37" w:rsidRPr="0043215C" w:rsidRDefault="00347F37" w:rsidP="00651F36">
            <w:pPr>
              <w:pStyle w:val="ListParagraph"/>
              <w:numPr>
                <w:ilvl w:val="0"/>
                <w:numId w:val="21"/>
              </w:numPr>
              <w:rPr>
                <w:rFonts w:cstheme="minorHAnsi"/>
                <w:sz w:val="20"/>
                <w:szCs w:val="20"/>
              </w:rPr>
            </w:pPr>
            <w:r w:rsidRPr="0043215C">
              <w:rPr>
                <w:rFonts w:cstheme="minorHAnsi"/>
                <w:sz w:val="20"/>
                <w:szCs w:val="20"/>
              </w:rPr>
              <w:t>Financing mobilized, including from MDBs and other parties</w:t>
            </w:r>
          </w:p>
        </w:tc>
      </w:tr>
    </w:tbl>
    <w:p w14:paraId="0069688C" w14:textId="77777777" w:rsidR="00347F37" w:rsidRPr="0043215C" w:rsidRDefault="00347F37" w:rsidP="00347F37">
      <w:pPr>
        <w:rPr>
          <w:rFonts w:cstheme="minorHAnsi"/>
          <w:sz w:val="20"/>
          <w:szCs w:val="20"/>
        </w:rPr>
      </w:pPr>
    </w:p>
    <w:p w14:paraId="66DC6E9E" w14:textId="77777777" w:rsidR="00347F37" w:rsidRPr="0043215C" w:rsidRDefault="00347F37" w:rsidP="00347F37">
      <w:pPr>
        <w:pStyle w:val="ListParagraph"/>
        <w:numPr>
          <w:ilvl w:val="1"/>
          <w:numId w:val="4"/>
        </w:numPr>
        <w:spacing w:after="0" w:line="240" w:lineRule="auto"/>
        <w:ind w:left="360"/>
        <w:rPr>
          <w:rFonts w:cstheme="minorHAnsi"/>
          <w:b/>
          <w:bCs/>
          <w:sz w:val="20"/>
          <w:szCs w:val="20"/>
          <w:u w:val="single"/>
        </w:rPr>
      </w:pPr>
      <w:bookmarkStart w:id="234" w:name="_Toc162898798"/>
      <w:bookmarkStart w:id="235" w:name="_Toc162898865"/>
      <w:bookmarkStart w:id="236" w:name="_Toc162899079"/>
      <w:bookmarkStart w:id="237" w:name="_Toc162962992"/>
      <w:bookmarkStart w:id="238" w:name="_Toc162964174"/>
      <w:r w:rsidRPr="0043215C">
        <w:rPr>
          <w:rFonts w:cstheme="minorHAnsi"/>
          <w:b/>
          <w:bCs/>
          <w:sz w:val="20"/>
          <w:szCs w:val="20"/>
          <w:u w:val="single"/>
        </w:rPr>
        <w:t>E-Mobility (EV Charging Stations) (EBRD and IFC)</w:t>
      </w:r>
    </w:p>
    <w:p w14:paraId="318C803D" w14:textId="77777777" w:rsidR="00347F37" w:rsidRPr="0043215C" w:rsidRDefault="00347F37" w:rsidP="00347F37">
      <w:pPr>
        <w:spacing w:after="0" w:line="240" w:lineRule="auto"/>
        <w:rPr>
          <w:rFonts w:cstheme="minorHAnsi"/>
          <w:b/>
          <w:bCs/>
          <w:sz w:val="20"/>
          <w:szCs w:val="20"/>
          <w:u w:val="single"/>
        </w:rPr>
      </w:pPr>
    </w:p>
    <w:p w14:paraId="7620680B" w14:textId="77777777" w:rsidR="00347F37" w:rsidRPr="0043215C" w:rsidRDefault="00347F37" w:rsidP="00347F37">
      <w:pPr>
        <w:pStyle w:val="Heading2"/>
        <w:spacing w:before="0" w:line="240" w:lineRule="auto"/>
        <w:rPr>
          <w:rFonts w:cstheme="minorHAnsi"/>
          <w:i/>
          <w:iCs/>
          <w:sz w:val="20"/>
          <w:szCs w:val="20"/>
        </w:rPr>
      </w:pPr>
      <w:bookmarkStart w:id="239" w:name="_Toc170211396"/>
      <w:bookmarkStart w:id="240" w:name="_Toc170319863"/>
      <w:r w:rsidRPr="0043215C">
        <w:rPr>
          <w:rFonts w:cstheme="minorHAnsi"/>
          <w:i/>
          <w:iCs/>
          <w:sz w:val="20"/>
          <w:szCs w:val="20"/>
        </w:rPr>
        <w:t>Problem statement</w:t>
      </w:r>
      <w:bookmarkEnd w:id="239"/>
      <w:bookmarkEnd w:id="240"/>
    </w:p>
    <w:p w14:paraId="54445D90" w14:textId="77777777" w:rsidR="00347F37" w:rsidRPr="0043215C" w:rsidRDefault="00347F37" w:rsidP="00347F37">
      <w:pPr>
        <w:spacing w:after="0" w:line="240" w:lineRule="auto"/>
        <w:rPr>
          <w:rFonts w:cstheme="minorHAnsi"/>
          <w:sz w:val="20"/>
          <w:szCs w:val="20"/>
        </w:rPr>
      </w:pPr>
    </w:p>
    <w:p w14:paraId="5DC648FC" w14:textId="7D9A9E6B" w:rsidR="00347F37" w:rsidRPr="0043215C" w:rsidRDefault="00347F37" w:rsidP="00347F37">
      <w:pPr>
        <w:spacing w:after="0" w:line="240" w:lineRule="auto"/>
        <w:rPr>
          <w:rFonts w:cstheme="minorHAnsi"/>
          <w:sz w:val="20"/>
          <w:szCs w:val="20"/>
        </w:rPr>
      </w:pPr>
      <w:r w:rsidRPr="0043215C" w:rsidDel="00EB30AB">
        <w:rPr>
          <w:rFonts w:cstheme="minorHAnsi"/>
          <w:sz w:val="20"/>
          <w:szCs w:val="20"/>
        </w:rPr>
        <w:t>T</w:t>
      </w:r>
      <w:r w:rsidRPr="0043215C" w:rsidDel="00EB30AB">
        <w:rPr>
          <w:rFonts w:cstheme="minorHAnsi"/>
          <w:sz w:val="20"/>
          <w:szCs w:val="20"/>
          <w:lang w:val="tr-TR"/>
        </w:rPr>
        <w:t>ü</w:t>
      </w:r>
      <w:proofErr w:type="spellStart"/>
      <w:r w:rsidRPr="0043215C" w:rsidDel="00EB30AB">
        <w:rPr>
          <w:rFonts w:cstheme="minorHAnsi"/>
          <w:sz w:val="20"/>
          <w:szCs w:val="20"/>
        </w:rPr>
        <w:t>rkiye</w:t>
      </w:r>
      <w:proofErr w:type="spellEnd"/>
      <w:r w:rsidRPr="0043215C" w:rsidDel="00EB30AB">
        <w:rPr>
          <w:rFonts w:cstheme="minorHAnsi"/>
          <w:sz w:val="20"/>
          <w:szCs w:val="20"/>
        </w:rPr>
        <w:t>, as a rapidly developing nation with a burgeoning population and growing urbanization, is confronted with a pressing challenge: the escalating environmental and economic toll of conventional transportation systems. The reliance on fossil fuel-powered vehicles in T</w:t>
      </w:r>
      <w:r w:rsidRPr="0043215C" w:rsidDel="00EB30AB">
        <w:rPr>
          <w:rFonts w:cstheme="minorHAnsi"/>
          <w:sz w:val="20"/>
          <w:szCs w:val="20"/>
          <w:lang w:val="tr-TR"/>
        </w:rPr>
        <w:t>ü</w:t>
      </w:r>
      <w:proofErr w:type="spellStart"/>
      <w:r w:rsidRPr="0043215C" w:rsidDel="00EB30AB">
        <w:rPr>
          <w:rFonts w:cstheme="minorHAnsi"/>
          <w:sz w:val="20"/>
          <w:szCs w:val="20"/>
        </w:rPr>
        <w:t>rkiye's</w:t>
      </w:r>
      <w:proofErr w:type="spellEnd"/>
      <w:r w:rsidRPr="0043215C" w:rsidDel="00EB30AB">
        <w:rPr>
          <w:rFonts w:cstheme="minorHAnsi"/>
          <w:sz w:val="20"/>
          <w:szCs w:val="20"/>
        </w:rPr>
        <w:t xml:space="preserve"> transportation sector has led to severe environmental impacts, including detrimental air quality, and heightened greenhouse gas emissions. Additionally, the dependence on imported fossil fuels and unsustainable energy consumption increases the country’s vulnerability to global energy price fluctuations, which adversely affects energy security and economic growth. To combat these issues and foster a more sustainable future, there is an urgent need for substantial investments in e-mobility infrastructure and technologies across Türkiye. Decarbonization of the transportation system is not only a key pillar of the country's net zero carbon path by 2053, but also a way to stimulate economic growth. Decarbonization initiatives such as electric vehicles and related transportation infrastructure can stimulate economic growth by creating new industries, jobs, and business opportunities in the clean energy sector.</w:t>
      </w:r>
    </w:p>
    <w:p w14:paraId="1AEAC610" w14:textId="77777777" w:rsidR="00347F37" w:rsidRPr="0043215C" w:rsidDel="00EB30AB" w:rsidRDefault="00347F37" w:rsidP="00347F37">
      <w:pPr>
        <w:spacing w:after="0" w:line="240" w:lineRule="auto"/>
        <w:rPr>
          <w:rFonts w:cstheme="minorHAnsi"/>
          <w:sz w:val="20"/>
          <w:szCs w:val="20"/>
        </w:rPr>
      </w:pPr>
    </w:p>
    <w:p w14:paraId="3BBD1779" w14:textId="77777777" w:rsidR="00347F37" w:rsidRPr="0043215C" w:rsidDel="00EB30AB" w:rsidRDefault="00347F37" w:rsidP="00347F37">
      <w:pPr>
        <w:spacing w:after="0" w:line="240" w:lineRule="auto"/>
        <w:rPr>
          <w:rFonts w:cstheme="minorHAnsi"/>
          <w:sz w:val="20"/>
          <w:szCs w:val="20"/>
        </w:rPr>
      </w:pPr>
      <w:r w:rsidRPr="0043215C" w:rsidDel="00EB30AB">
        <w:rPr>
          <w:rFonts w:cstheme="minorHAnsi"/>
          <w:sz w:val="20"/>
          <w:szCs w:val="20"/>
        </w:rPr>
        <w:t>By taking decisive action to transition towards e-mobility, T</w:t>
      </w:r>
      <w:r w:rsidRPr="0043215C" w:rsidDel="00EB30AB">
        <w:rPr>
          <w:rFonts w:cstheme="minorHAnsi"/>
          <w:sz w:val="20"/>
          <w:szCs w:val="20"/>
          <w:lang w:val="tr-TR"/>
        </w:rPr>
        <w:t>ü</w:t>
      </w:r>
      <w:proofErr w:type="spellStart"/>
      <w:r w:rsidRPr="0043215C" w:rsidDel="00EB30AB">
        <w:rPr>
          <w:rFonts w:cstheme="minorHAnsi"/>
          <w:sz w:val="20"/>
          <w:szCs w:val="20"/>
        </w:rPr>
        <w:t>rkiye</w:t>
      </w:r>
      <w:proofErr w:type="spellEnd"/>
      <w:r w:rsidRPr="0043215C" w:rsidDel="00EB30AB">
        <w:rPr>
          <w:rFonts w:cstheme="minorHAnsi"/>
          <w:sz w:val="20"/>
          <w:szCs w:val="20"/>
        </w:rPr>
        <w:t xml:space="preserve"> can mitigate environmental degradation, reduce fossil energy dependency, alleviate urban congestion, improve air quality, reduce noise pollution, and seize the economic opportunities presented by technological innovation in the burgeoning clean energy sector. However, achieving these goals will require concerted efforts from government, industry stakeholders, and civil society to overcome barriers and accelerate the adoption of sustainable transportation solutions across the nation.</w:t>
      </w:r>
    </w:p>
    <w:p w14:paraId="603A579E" w14:textId="77777777" w:rsidR="00347F37" w:rsidRPr="0043215C" w:rsidRDefault="00347F37" w:rsidP="00347F37">
      <w:pPr>
        <w:pStyle w:val="Heading2"/>
        <w:spacing w:before="0" w:line="240" w:lineRule="auto"/>
        <w:rPr>
          <w:rFonts w:cstheme="minorHAnsi"/>
          <w:sz w:val="20"/>
          <w:szCs w:val="20"/>
        </w:rPr>
      </w:pPr>
      <w:r w:rsidRPr="0043215C">
        <w:rPr>
          <w:rFonts w:cstheme="minorHAnsi"/>
          <w:sz w:val="20"/>
          <w:szCs w:val="20"/>
        </w:rPr>
        <w:br/>
      </w:r>
      <w:bookmarkStart w:id="241" w:name="_Toc170211397"/>
      <w:bookmarkStart w:id="242" w:name="_Toc170319864"/>
      <w:r w:rsidRPr="0043215C">
        <w:rPr>
          <w:rFonts w:cstheme="minorHAnsi"/>
          <w:i/>
          <w:iCs/>
          <w:sz w:val="20"/>
          <w:szCs w:val="20"/>
        </w:rPr>
        <w:t xml:space="preserve">Proposed contribution to initiating </w:t>
      </w:r>
      <w:proofErr w:type="gramStart"/>
      <w:r w:rsidRPr="0043215C">
        <w:rPr>
          <w:rFonts w:cstheme="minorHAnsi"/>
          <w:i/>
          <w:iCs/>
          <w:sz w:val="20"/>
          <w:szCs w:val="20"/>
        </w:rPr>
        <w:t>transformation</w:t>
      </w:r>
      <w:bookmarkEnd w:id="241"/>
      <w:bookmarkEnd w:id="242"/>
      <w:proofErr w:type="gramEnd"/>
    </w:p>
    <w:p w14:paraId="3940405C" w14:textId="77777777" w:rsidR="00347F37" w:rsidRPr="0043215C" w:rsidRDefault="00347F37" w:rsidP="00347F37">
      <w:pPr>
        <w:spacing w:after="0" w:line="240" w:lineRule="auto"/>
        <w:rPr>
          <w:rFonts w:cstheme="minorHAnsi"/>
          <w:sz w:val="20"/>
          <w:szCs w:val="20"/>
        </w:rPr>
      </w:pPr>
    </w:p>
    <w:p w14:paraId="70F1DBD7" w14:textId="77777777" w:rsidR="00347F37" w:rsidRPr="0043215C" w:rsidRDefault="00347F37" w:rsidP="00347F37">
      <w:pPr>
        <w:spacing w:after="0" w:line="240" w:lineRule="auto"/>
        <w:rPr>
          <w:rFonts w:cstheme="minorHAnsi"/>
          <w:sz w:val="20"/>
          <w:szCs w:val="20"/>
        </w:rPr>
      </w:pPr>
      <w:r w:rsidRPr="0043215C">
        <w:rPr>
          <w:rFonts w:cstheme="minorHAnsi"/>
          <w:sz w:val="20"/>
          <w:szCs w:val="20"/>
        </w:rPr>
        <w:t>With the increasing adoption of EVs, there is a growing need for infrastructure to support EV adoption in Türkiye. As of November 2023, the number of EVs amounted to 80,043, representing 0.53% of the total vehicle fleet in the country, meaning that there is significant growth potential. Furthermore, the increase of EVs on traffic was 5.5-fold in 2023 evidencing the need for accelerated investments in the EV infrastructure. According to the statement made by the Ministry, the number of EV charging sockets, which was 3,378 in 2023, is expected to increase to 37,946 in 2053 to support the EV scale up. Charging infrastructure must, therefore, grow in tandem with vehicle sales to ensure an efficient and extensive transition to EVs.</w:t>
      </w:r>
    </w:p>
    <w:p w14:paraId="098BBFD2" w14:textId="77777777" w:rsidR="00347F37" w:rsidRPr="0043215C" w:rsidRDefault="00347F37" w:rsidP="00347F37">
      <w:pPr>
        <w:spacing w:after="0" w:line="240" w:lineRule="auto"/>
        <w:rPr>
          <w:rFonts w:cstheme="minorHAnsi"/>
          <w:sz w:val="20"/>
          <w:szCs w:val="20"/>
        </w:rPr>
      </w:pPr>
    </w:p>
    <w:p w14:paraId="514A8061" w14:textId="77777777" w:rsidR="00347F37" w:rsidRPr="0043215C" w:rsidRDefault="00347F37" w:rsidP="00347F37">
      <w:pPr>
        <w:spacing w:after="0" w:line="240" w:lineRule="auto"/>
        <w:rPr>
          <w:rFonts w:cstheme="minorHAnsi"/>
          <w:sz w:val="20"/>
          <w:szCs w:val="20"/>
        </w:rPr>
      </w:pPr>
      <w:r w:rsidRPr="0043215C">
        <w:rPr>
          <w:rFonts w:cstheme="minorHAnsi"/>
          <w:sz w:val="20"/>
          <w:szCs w:val="20"/>
        </w:rPr>
        <w:lastRenderedPageBreak/>
        <w:t>The proposed project will focus on identifying opportunities for private sector participation and financing for options promoting the adoption of e-mobility solutions. This project will primarily focus on expanding EV charging infrastructure.</w:t>
      </w:r>
    </w:p>
    <w:p w14:paraId="322BDFB5" w14:textId="77777777" w:rsidR="00347F37" w:rsidRPr="0043215C" w:rsidRDefault="00347F37" w:rsidP="00347F37">
      <w:pPr>
        <w:spacing w:after="0" w:line="240" w:lineRule="auto"/>
        <w:rPr>
          <w:rFonts w:cstheme="minorHAnsi"/>
          <w:sz w:val="20"/>
          <w:szCs w:val="20"/>
        </w:rPr>
      </w:pPr>
    </w:p>
    <w:p w14:paraId="5831EDC2" w14:textId="77777777" w:rsidR="00347F37" w:rsidRPr="0043215C" w:rsidRDefault="00347F37" w:rsidP="00347F37">
      <w:pPr>
        <w:pStyle w:val="Heading2"/>
        <w:spacing w:before="0" w:line="240" w:lineRule="auto"/>
        <w:rPr>
          <w:rFonts w:cstheme="minorHAnsi"/>
          <w:i/>
          <w:iCs/>
          <w:sz w:val="20"/>
          <w:szCs w:val="20"/>
        </w:rPr>
      </w:pPr>
      <w:bookmarkStart w:id="243" w:name="_Toc170211398"/>
      <w:bookmarkStart w:id="244" w:name="_Toc170319865"/>
      <w:r w:rsidRPr="0043215C">
        <w:rPr>
          <w:rFonts w:cstheme="minorHAnsi"/>
          <w:i/>
          <w:iCs/>
          <w:sz w:val="20"/>
          <w:szCs w:val="20"/>
        </w:rPr>
        <w:t>Implementation readiness</w:t>
      </w:r>
      <w:bookmarkEnd w:id="243"/>
      <w:bookmarkEnd w:id="244"/>
      <w:r w:rsidRPr="0043215C">
        <w:rPr>
          <w:rFonts w:cstheme="minorHAnsi"/>
          <w:i/>
          <w:iCs/>
          <w:sz w:val="20"/>
          <w:szCs w:val="20"/>
        </w:rPr>
        <w:t xml:space="preserve"> </w:t>
      </w:r>
    </w:p>
    <w:p w14:paraId="0E7AFE80" w14:textId="77777777" w:rsidR="00347F37" w:rsidRPr="0043215C" w:rsidRDefault="00347F37" w:rsidP="00347F37">
      <w:pPr>
        <w:spacing w:after="0" w:line="240" w:lineRule="auto"/>
        <w:rPr>
          <w:rFonts w:cstheme="minorHAnsi"/>
          <w:sz w:val="20"/>
          <w:szCs w:val="20"/>
        </w:rPr>
      </w:pPr>
    </w:p>
    <w:p w14:paraId="1F8231DE" w14:textId="77777777" w:rsidR="00347F37" w:rsidRPr="0043215C" w:rsidRDefault="00347F37" w:rsidP="00347F37">
      <w:pPr>
        <w:spacing w:after="0" w:line="240" w:lineRule="auto"/>
        <w:rPr>
          <w:rFonts w:eastAsia="Times New Roman" w:cstheme="minorHAnsi"/>
          <w:color w:val="1F497D"/>
          <w:sz w:val="20"/>
          <w:szCs w:val="20"/>
        </w:rPr>
      </w:pPr>
      <w:r w:rsidRPr="0043215C">
        <w:rPr>
          <w:rFonts w:cstheme="minorHAnsi"/>
          <w:sz w:val="20"/>
          <w:szCs w:val="20"/>
        </w:rPr>
        <w:t>The National Energy and Mining Policy announced by the Ministry of Energy and Natural Resources in 2019 set a target for electric and hybrid vehicles to constitute 30% of all vehicles in Türkiye by 2030. The updated NDC of T</w:t>
      </w:r>
      <w:r w:rsidRPr="0043215C">
        <w:rPr>
          <w:rFonts w:cstheme="minorHAnsi"/>
          <w:sz w:val="20"/>
          <w:szCs w:val="20"/>
          <w:lang w:val="tr-TR"/>
        </w:rPr>
        <w:t>ürkiye</w:t>
      </w:r>
      <w:r w:rsidRPr="0043215C">
        <w:rPr>
          <w:rFonts w:cstheme="minorHAnsi"/>
          <w:sz w:val="20"/>
          <w:szCs w:val="20"/>
        </w:rPr>
        <w:t>, announced in 2023,</w:t>
      </w:r>
      <w:r w:rsidRPr="0043215C">
        <w:rPr>
          <w:rFonts w:cstheme="minorHAnsi"/>
          <w:sz w:val="20"/>
          <w:szCs w:val="20"/>
          <w:lang w:val="tr-TR"/>
        </w:rPr>
        <w:t xml:space="preserve"> listed the main mitigation policies in the transport sector until 2030. Among other policies, i) increasing the use of electricity instead of fossil fuels on highways, ii) promotion of electric vehicles by establishing a national fast charging station network are included in the NDC. The Medium-Term Development Plan (2024-2026) also refers to the policy to enhance charging station </w:t>
      </w:r>
      <w:r w:rsidRPr="0043215C">
        <w:rPr>
          <w:rFonts w:cstheme="minorHAnsi"/>
          <w:sz w:val="20"/>
          <w:szCs w:val="20"/>
        </w:rPr>
        <w:t>network to promote electric vehicles, encourage the use of domestic electric vehicles under the Green Transformation section. The Ministry of Industry and Technology and Energy Market Regulatory Authority (EMRA) are leading the efforts to establish the legislation for Electric Vehicles charging infrastructure. A set of regulations was unveiled in February 2022. The Ministry also prepared a support program and tendered out the installation of 1,572 units of fast-charging stations across the country by April 2023. According to EMRA, there are more than 6,058 charging stations installed by January 2024. EMRA has already provided licenses to 152 companies for the installation of electric charging stations.</w:t>
      </w:r>
      <w:r w:rsidRPr="0043215C">
        <w:rPr>
          <w:rFonts w:eastAsia="Times New Roman" w:cstheme="minorHAnsi"/>
          <w:color w:val="1F497D"/>
          <w:sz w:val="20"/>
          <w:szCs w:val="20"/>
        </w:rPr>
        <w:t xml:space="preserve"> </w:t>
      </w:r>
    </w:p>
    <w:p w14:paraId="60BFE26B" w14:textId="77777777" w:rsidR="00347F37" w:rsidRPr="0043215C" w:rsidRDefault="00347F37" w:rsidP="00347F37">
      <w:pPr>
        <w:spacing w:after="0" w:line="240" w:lineRule="auto"/>
        <w:rPr>
          <w:rFonts w:cstheme="minorHAnsi"/>
          <w:sz w:val="20"/>
          <w:szCs w:val="20"/>
        </w:rPr>
      </w:pPr>
    </w:p>
    <w:p w14:paraId="3C5E1BBB" w14:textId="77777777" w:rsidR="00347F37" w:rsidRPr="0043215C" w:rsidRDefault="00347F37" w:rsidP="00347F37">
      <w:pPr>
        <w:spacing w:after="0" w:line="240" w:lineRule="auto"/>
        <w:rPr>
          <w:rFonts w:cstheme="minorHAnsi"/>
          <w:sz w:val="20"/>
          <w:szCs w:val="20"/>
        </w:rPr>
      </w:pPr>
      <w:r w:rsidRPr="0043215C">
        <w:rPr>
          <w:rFonts w:cstheme="minorHAnsi"/>
          <w:sz w:val="20"/>
          <w:szCs w:val="20"/>
        </w:rPr>
        <w:t>Ambitious government targets, coupled with regulations and incentives, are helping to drive the e-mobility market and EV adoption in the country. Several private sector companies are currently considering investments to expand EV charging infrastructure, spurred on by the strong policy support for electrification. EBRD and IFC engagements can support this developing pipeline in Türkiye, with a view to finance projects that can establish a track record to help accelerate the deployment of e-mobility technologies to decarbonize the transport system.</w:t>
      </w:r>
    </w:p>
    <w:p w14:paraId="015AAE41" w14:textId="77777777" w:rsidR="00347F37" w:rsidRPr="0043215C" w:rsidRDefault="00347F37" w:rsidP="00347F37">
      <w:pPr>
        <w:spacing w:after="0" w:line="240" w:lineRule="auto"/>
        <w:rPr>
          <w:rFonts w:cstheme="minorHAnsi"/>
          <w:sz w:val="20"/>
          <w:szCs w:val="20"/>
        </w:rPr>
      </w:pPr>
    </w:p>
    <w:p w14:paraId="0EDB9483" w14:textId="77777777" w:rsidR="00347F37" w:rsidRPr="0043215C" w:rsidRDefault="00347F37" w:rsidP="00347F37">
      <w:pPr>
        <w:spacing w:after="0" w:line="240" w:lineRule="auto"/>
        <w:rPr>
          <w:rFonts w:cstheme="minorHAnsi"/>
          <w:sz w:val="20"/>
          <w:szCs w:val="20"/>
        </w:rPr>
      </w:pPr>
      <w:r w:rsidRPr="0043215C">
        <w:rPr>
          <w:rFonts w:cstheme="minorHAnsi"/>
          <w:sz w:val="20"/>
          <w:szCs w:val="20"/>
        </w:rPr>
        <w:t xml:space="preserve">EBRD and IFC have already engaged with </w:t>
      </w:r>
      <w:proofErr w:type="gramStart"/>
      <w:r w:rsidRPr="0043215C">
        <w:rPr>
          <w:rFonts w:cstheme="minorHAnsi"/>
          <w:sz w:val="20"/>
          <w:szCs w:val="20"/>
        </w:rPr>
        <w:t>a number of</w:t>
      </w:r>
      <w:proofErr w:type="gramEnd"/>
      <w:r w:rsidRPr="0043215C">
        <w:rPr>
          <w:rFonts w:cstheme="minorHAnsi"/>
          <w:sz w:val="20"/>
          <w:szCs w:val="20"/>
        </w:rPr>
        <w:t xml:space="preserve"> its existing and new clients to explore new business opportunities in the e-mobility sector such as the leading players in EV infrastructure. Most of these companies are experienced energy generation/distribution companies trying to expand into EV business. The potential projects focus mostly on EV charging station investments, with the financing product of choice (i.e., debt, equity, etc.) being dependent on the financial strength of the potential counterparties.</w:t>
      </w:r>
    </w:p>
    <w:p w14:paraId="3C10C34E" w14:textId="77777777" w:rsidR="00597178" w:rsidRPr="0043215C" w:rsidRDefault="00597178" w:rsidP="00347F37">
      <w:pPr>
        <w:spacing w:after="0" w:line="240" w:lineRule="auto"/>
        <w:rPr>
          <w:rFonts w:cstheme="minorHAnsi"/>
          <w:sz w:val="20"/>
          <w:szCs w:val="20"/>
        </w:rPr>
      </w:pPr>
    </w:p>
    <w:p w14:paraId="18DD0F1B" w14:textId="547C6A6B" w:rsidR="00347F37" w:rsidRPr="0043215C" w:rsidRDefault="00347F37" w:rsidP="00347F37">
      <w:pPr>
        <w:spacing w:after="0" w:line="240" w:lineRule="auto"/>
        <w:rPr>
          <w:rFonts w:cstheme="minorHAnsi"/>
          <w:sz w:val="20"/>
          <w:szCs w:val="20"/>
        </w:rPr>
      </w:pPr>
      <w:r w:rsidRPr="0043215C">
        <w:rPr>
          <w:rFonts w:cstheme="minorHAnsi"/>
          <w:sz w:val="20"/>
          <w:szCs w:val="20"/>
        </w:rPr>
        <w:t xml:space="preserve">To date, EBRD has provided </w:t>
      </w:r>
      <w:r w:rsidR="00636124" w:rsidRPr="0043215C">
        <w:rPr>
          <w:rFonts w:cstheme="minorHAnsi"/>
          <w:sz w:val="20"/>
          <w:szCs w:val="20"/>
        </w:rPr>
        <w:t>US$</w:t>
      </w:r>
      <w:r w:rsidRPr="0043215C">
        <w:rPr>
          <w:rFonts w:cstheme="minorHAnsi"/>
          <w:sz w:val="20"/>
          <w:szCs w:val="20"/>
        </w:rPr>
        <w:t xml:space="preserve"> 25 million financing for EV charging infrastructure development and the Bank’s intention is to increase its exposure in the sector to the extent possible and feasible. EBRD has a private sector pipeline focused on EV charging infrastructure. Notably, prominent energy players are actively investing in EV infrastructure, and our team is well-informed about the pipeline clients in this sector. Currently, EBRD is in discussions with </w:t>
      </w:r>
      <w:proofErr w:type="gramStart"/>
      <w:r w:rsidRPr="0043215C">
        <w:rPr>
          <w:rFonts w:cstheme="minorHAnsi"/>
          <w:sz w:val="20"/>
          <w:szCs w:val="20"/>
        </w:rPr>
        <w:t>a number of</w:t>
      </w:r>
      <w:proofErr w:type="gramEnd"/>
      <w:r w:rsidRPr="0043215C">
        <w:rPr>
          <w:rFonts w:cstheme="minorHAnsi"/>
          <w:sz w:val="20"/>
          <w:szCs w:val="20"/>
        </w:rPr>
        <w:t xml:space="preserve"> companies for an up to </w:t>
      </w:r>
      <w:r w:rsidR="00636124" w:rsidRPr="0043215C">
        <w:rPr>
          <w:rFonts w:cstheme="minorHAnsi"/>
          <w:sz w:val="20"/>
          <w:szCs w:val="20"/>
        </w:rPr>
        <w:t>US$</w:t>
      </w:r>
      <w:r w:rsidRPr="0043215C">
        <w:rPr>
          <w:rFonts w:cstheme="minorHAnsi"/>
          <w:sz w:val="20"/>
          <w:szCs w:val="20"/>
        </w:rPr>
        <w:t xml:space="preserve"> 30-40 million financing to support the expansion of EV charging infrastructure. The investments are expected to start in 2025 in line with the EV adoption progress in the country. IFC has a pipeline of private sector players looking to expand their EV charging infrastructure and is in early discussions with a selected number of EV charging infrastructure companies for an investment size of </w:t>
      </w:r>
      <w:r w:rsidR="00636124" w:rsidRPr="0043215C">
        <w:rPr>
          <w:rFonts w:cstheme="minorHAnsi"/>
          <w:sz w:val="20"/>
          <w:szCs w:val="20"/>
        </w:rPr>
        <w:t>US$</w:t>
      </w:r>
      <w:r w:rsidRPr="0043215C">
        <w:rPr>
          <w:rFonts w:cstheme="minorHAnsi"/>
          <w:sz w:val="20"/>
          <w:szCs w:val="20"/>
        </w:rPr>
        <w:t xml:space="preserve"> 20-30 million financing, expected to be implemented in 2025-26.</w:t>
      </w:r>
    </w:p>
    <w:p w14:paraId="73992F8C" w14:textId="77777777" w:rsidR="00347F37" w:rsidRPr="0043215C" w:rsidRDefault="00347F37" w:rsidP="00347F37">
      <w:pPr>
        <w:spacing w:after="0" w:line="240" w:lineRule="auto"/>
        <w:rPr>
          <w:rFonts w:cstheme="minorHAnsi"/>
          <w:sz w:val="20"/>
          <w:szCs w:val="20"/>
        </w:rPr>
      </w:pPr>
    </w:p>
    <w:p w14:paraId="56C200E9" w14:textId="77777777" w:rsidR="00347F37" w:rsidRPr="0043215C" w:rsidRDefault="00347F37" w:rsidP="00347F37">
      <w:pPr>
        <w:pStyle w:val="Heading2"/>
        <w:spacing w:before="0" w:line="240" w:lineRule="auto"/>
        <w:rPr>
          <w:rFonts w:cstheme="minorHAnsi"/>
          <w:i/>
          <w:iCs/>
          <w:sz w:val="20"/>
          <w:szCs w:val="20"/>
        </w:rPr>
      </w:pPr>
      <w:bookmarkStart w:id="245" w:name="_Toc170211399"/>
      <w:bookmarkStart w:id="246" w:name="_Toc170319866"/>
      <w:r w:rsidRPr="0043215C">
        <w:rPr>
          <w:rFonts w:cstheme="minorHAnsi"/>
          <w:i/>
          <w:iCs/>
          <w:sz w:val="20"/>
          <w:szCs w:val="20"/>
        </w:rPr>
        <w:t>Rationale for REI financing</w:t>
      </w:r>
      <w:bookmarkEnd w:id="245"/>
      <w:bookmarkEnd w:id="246"/>
      <w:r w:rsidRPr="0043215C">
        <w:rPr>
          <w:rFonts w:cstheme="minorHAnsi"/>
          <w:i/>
          <w:iCs/>
          <w:sz w:val="20"/>
          <w:szCs w:val="20"/>
        </w:rPr>
        <w:t xml:space="preserve"> </w:t>
      </w:r>
    </w:p>
    <w:p w14:paraId="6BA9D437" w14:textId="77777777" w:rsidR="00347F37" w:rsidRPr="0043215C" w:rsidRDefault="00347F37" w:rsidP="00347F37">
      <w:pPr>
        <w:spacing w:after="0" w:line="240" w:lineRule="auto"/>
        <w:rPr>
          <w:rFonts w:cstheme="minorHAnsi"/>
          <w:sz w:val="20"/>
          <w:szCs w:val="20"/>
        </w:rPr>
      </w:pPr>
    </w:p>
    <w:p w14:paraId="6D3F3F8F" w14:textId="627BB0B4" w:rsidR="00347F37" w:rsidRPr="0043215C" w:rsidRDefault="00347F37" w:rsidP="00347F37">
      <w:pPr>
        <w:spacing w:after="0" w:line="240" w:lineRule="auto"/>
        <w:rPr>
          <w:rFonts w:cstheme="minorHAnsi"/>
          <w:sz w:val="20"/>
          <w:szCs w:val="20"/>
        </w:rPr>
      </w:pPr>
      <w:r w:rsidRPr="0043215C">
        <w:rPr>
          <w:rFonts w:cstheme="minorHAnsi"/>
          <w:sz w:val="20"/>
          <w:szCs w:val="20"/>
        </w:rPr>
        <w:t xml:space="preserve">The suggested interventions in the sector of e-mobility are in line with REI’s overall objective of enhancing RE enabling technologies including for transportation and overall decarbonization. CIF REI concessional finance support is needed to address market barriers through a programmatic approach, tackling barriers outlined in Section </w:t>
      </w:r>
      <w:r w:rsidR="00DA2632" w:rsidRPr="0043215C">
        <w:rPr>
          <w:rFonts w:cstheme="minorHAnsi"/>
          <w:sz w:val="20"/>
          <w:szCs w:val="20"/>
        </w:rPr>
        <w:t xml:space="preserve">II </w:t>
      </w:r>
      <w:r w:rsidR="00F909A8" w:rsidRPr="0043215C">
        <w:rPr>
          <w:rFonts w:cstheme="minorHAnsi"/>
          <w:sz w:val="20"/>
          <w:szCs w:val="20"/>
        </w:rPr>
        <w:t>Country Context.</w:t>
      </w:r>
      <w:r w:rsidRPr="0043215C">
        <w:rPr>
          <w:rFonts w:cstheme="minorHAnsi"/>
          <w:sz w:val="20"/>
          <w:szCs w:val="20"/>
        </w:rPr>
        <w:t xml:space="preserve"> Additionally, the CIF REI financing will help overcome first-mover costs, build confidence among local stakeholders and communities, and accelerate the participation of private sector players and commercial lenders along the process.</w:t>
      </w:r>
    </w:p>
    <w:p w14:paraId="2E763B46" w14:textId="77777777" w:rsidR="00347F37" w:rsidRPr="0043215C" w:rsidRDefault="00347F37" w:rsidP="00347F37">
      <w:pPr>
        <w:spacing w:after="0" w:line="240" w:lineRule="auto"/>
        <w:rPr>
          <w:rFonts w:cstheme="minorHAnsi"/>
          <w:sz w:val="20"/>
          <w:szCs w:val="20"/>
        </w:rPr>
      </w:pPr>
    </w:p>
    <w:p w14:paraId="08CCBCAE" w14:textId="77777777" w:rsidR="00347F37" w:rsidRPr="0043215C" w:rsidRDefault="00347F37" w:rsidP="00347F37">
      <w:pPr>
        <w:pStyle w:val="Heading2"/>
        <w:spacing w:before="0" w:line="240" w:lineRule="auto"/>
        <w:rPr>
          <w:rFonts w:cstheme="minorHAnsi"/>
          <w:i/>
          <w:iCs/>
          <w:sz w:val="20"/>
          <w:szCs w:val="20"/>
        </w:rPr>
      </w:pPr>
      <w:bookmarkStart w:id="247" w:name="_Toc170211400"/>
      <w:bookmarkStart w:id="248" w:name="_Toc170319867"/>
      <w:r w:rsidRPr="0043215C">
        <w:rPr>
          <w:rFonts w:cstheme="minorHAnsi"/>
          <w:i/>
          <w:iCs/>
          <w:sz w:val="20"/>
          <w:szCs w:val="20"/>
        </w:rPr>
        <w:t>Results indicators</w:t>
      </w:r>
      <w:bookmarkEnd w:id="247"/>
      <w:bookmarkEnd w:id="248"/>
      <w:r w:rsidRPr="0043215C">
        <w:rPr>
          <w:rFonts w:cstheme="minorHAnsi"/>
          <w:i/>
          <w:iCs/>
          <w:sz w:val="20"/>
          <w:szCs w:val="20"/>
        </w:rPr>
        <w:t xml:space="preserve"> </w:t>
      </w:r>
    </w:p>
    <w:p w14:paraId="316F274B" w14:textId="77777777" w:rsidR="00347F37" w:rsidRPr="0043215C" w:rsidRDefault="00347F37" w:rsidP="00347F37">
      <w:pPr>
        <w:spacing w:after="0" w:line="240" w:lineRule="auto"/>
        <w:rPr>
          <w:rFonts w:cstheme="minorHAnsi"/>
          <w:sz w:val="20"/>
          <w:szCs w:val="20"/>
        </w:rPr>
      </w:pPr>
    </w:p>
    <w:p w14:paraId="1043380C" w14:textId="77777777" w:rsidR="00347F37" w:rsidRPr="0043215C" w:rsidRDefault="00347F37" w:rsidP="00347F37">
      <w:pPr>
        <w:spacing w:after="0" w:line="240" w:lineRule="auto"/>
        <w:rPr>
          <w:rFonts w:cstheme="minorHAnsi"/>
          <w:sz w:val="20"/>
          <w:szCs w:val="20"/>
        </w:rPr>
      </w:pPr>
      <w:r w:rsidRPr="0043215C">
        <w:rPr>
          <w:rFonts w:cstheme="minorHAnsi"/>
          <w:sz w:val="20"/>
          <w:szCs w:val="20"/>
        </w:rPr>
        <w:lastRenderedPageBreak/>
        <w:t>Refer to indicators in Section VIII. Monitoring and Evaluation and elaborate their definitions and targets.</w:t>
      </w:r>
    </w:p>
    <w:p w14:paraId="7DC9E8FE" w14:textId="77777777" w:rsidR="00347F37" w:rsidRPr="0043215C" w:rsidRDefault="00347F37" w:rsidP="00347F37">
      <w:pPr>
        <w:spacing w:after="0" w:line="240" w:lineRule="auto"/>
        <w:rPr>
          <w:rFonts w:cstheme="minorHAnsi"/>
          <w:sz w:val="20"/>
          <w:szCs w:val="20"/>
        </w:rPr>
      </w:pPr>
    </w:p>
    <w:p w14:paraId="45FC40CC" w14:textId="77777777" w:rsidR="00347F37" w:rsidRPr="0043215C" w:rsidRDefault="00347F37" w:rsidP="00347F37">
      <w:pPr>
        <w:spacing w:after="0" w:line="240" w:lineRule="auto"/>
        <w:rPr>
          <w:rFonts w:cstheme="minorHAnsi"/>
          <w:sz w:val="20"/>
          <w:szCs w:val="20"/>
        </w:rPr>
      </w:pPr>
      <w:r w:rsidRPr="0043215C">
        <w:rPr>
          <w:rFonts w:cstheme="minorHAnsi"/>
          <w:sz w:val="20"/>
          <w:szCs w:val="20"/>
        </w:rPr>
        <w:t xml:space="preserve">The final list of indicators will be available during the project preparation stage. Anticipated outcomes of the project include the following: </w:t>
      </w:r>
    </w:p>
    <w:p w14:paraId="794EBAEE" w14:textId="77777777" w:rsidR="00347F37" w:rsidRPr="0043215C" w:rsidRDefault="00347F37" w:rsidP="00347F37">
      <w:pPr>
        <w:spacing w:after="0" w:line="240" w:lineRule="auto"/>
        <w:rPr>
          <w:rFonts w:cstheme="minorHAnsi"/>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47F37" w:rsidRPr="0043215C" w14:paraId="59DBAFF3" w14:textId="77777777" w:rsidTr="006211BF">
        <w:tc>
          <w:tcPr>
            <w:tcW w:w="9350" w:type="dxa"/>
          </w:tcPr>
          <w:p w14:paraId="5C664115" w14:textId="77777777" w:rsidR="00347F37" w:rsidRPr="0043215C" w:rsidRDefault="00347F37" w:rsidP="00651F36">
            <w:pPr>
              <w:pStyle w:val="ListParagraph"/>
              <w:numPr>
                <w:ilvl w:val="0"/>
                <w:numId w:val="19"/>
              </w:numPr>
              <w:rPr>
                <w:rFonts w:cstheme="minorHAnsi"/>
                <w:sz w:val="20"/>
                <w:szCs w:val="20"/>
              </w:rPr>
            </w:pPr>
            <w:r w:rsidRPr="0043215C">
              <w:rPr>
                <w:rFonts w:cstheme="minorHAnsi"/>
                <w:sz w:val="20"/>
                <w:szCs w:val="20"/>
              </w:rPr>
              <w:t>Greenhouse gas (GHG) emissions reduction/avoidance (metric tons/year)</w:t>
            </w:r>
          </w:p>
        </w:tc>
      </w:tr>
      <w:tr w:rsidR="00347F37" w:rsidRPr="0043215C" w14:paraId="1AD28AAB" w14:textId="77777777" w:rsidTr="006211BF">
        <w:tc>
          <w:tcPr>
            <w:tcW w:w="9350" w:type="dxa"/>
          </w:tcPr>
          <w:p w14:paraId="5BF9D7A4" w14:textId="77777777" w:rsidR="00347F37" w:rsidRPr="0043215C" w:rsidRDefault="00347F37" w:rsidP="00651F36">
            <w:pPr>
              <w:pStyle w:val="ListParagraph"/>
              <w:numPr>
                <w:ilvl w:val="0"/>
                <w:numId w:val="19"/>
              </w:numPr>
              <w:rPr>
                <w:rFonts w:cstheme="minorHAnsi"/>
                <w:sz w:val="20"/>
                <w:szCs w:val="20"/>
              </w:rPr>
            </w:pPr>
            <w:r w:rsidRPr="0043215C">
              <w:rPr>
                <w:rFonts w:cstheme="minorHAnsi"/>
                <w:sz w:val="20"/>
                <w:szCs w:val="20"/>
              </w:rPr>
              <w:t>Installed capacity of variable renewable energy available to the grid (MW)</w:t>
            </w:r>
          </w:p>
        </w:tc>
      </w:tr>
      <w:tr w:rsidR="00347F37" w:rsidRPr="0043215C" w14:paraId="1EEE109C" w14:textId="77777777" w:rsidTr="006211BF">
        <w:tc>
          <w:tcPr>
            <w:tcW w:w="9350" w:type="dxa"/>
          </w:tcPr>
          <w:p w14:paraId="1A1E7EAA" w14:textId="77777777" w:rsidR="00347F37" w:rsidRPr="0043215C" w:rsidRDefault="00347F37" w:rsidP="00651F36">
            <w:pPr>
              <w:pStyle w:val="ListParagraph"/>
              <w:numPr>
                <w:ilvl w:val="0"/>
                <w:numId w:val="19"/>
              </w:numPr>
              <w:rPr>
                <w:rFonts w:cstheme="minorHAnsi"/>
                <w:sz w:val="20"/>
                <w:szCs w:val="20"/>
              </w:rPr>
            </w:pPr>
            <w:r w:rsidRPr="0043215C">
              <w:rPr>
                <w:rFonts w:cstheme="minorHAnsi"/>
                <w:sz w:val="20"/>
                <w:szCs w:val="20"/>
              </w:rPr>
              <w:t>Increase in new smart-charging EV stations installed (#)</w:t>
            </w:r>
          </w:p>
        </w:tc>
      </w:tr>
      <w:tr w:rsidR="00347F37" w:rsidRPr="0043215C" w14:paraId="4CD1F81F" w14:textId="77777777" w:rsidTr="006211BF">
        <w:tc>
          <w:tcPr>
            <w:tcW w:w="9350" w:type="dxa"/>
          </w:tcPr>
          <w:p w14:paraId="2DFFE3C6" w14:textId="77777777" w:rsidR="00347F37" w:rsidRPr="0043215C" w:rsidRDefault="00347F37" w:rsidP="00651F36">
            <w:pPr>
              <w:pStyle w:val="ListParagraph"/>
              <w:numPr>
                <w:ilvl w:val="0"/>
                <w:numId w:val="19"/>
              </w:numPr>
              <w:rPr>
                <w:rFonts w:cstheme="minorHAnsi"/>
                <w:sz w:val="20"/>
                <w:szCs w:val="20"/>
              </w:rPr>
            </w:pPr>
            <w:r w:rsidRPr="0043215C">
              <w:rPr>
                <w:rFonts w:cstheme="minorHAnsi"/>
                <w:sz w:val="20"/>
                <w:szCs w:val="20"/>
              </w:rPr>
              <w:t>Financing mobilized, including from MDBs and other parties</w:t>
            </w:r>
          </w:p>
        </w:tc>
      </w:tr>
    </w:tbl>
    <w:p w14:paraId="2E28AB42" w14:textId="77777777" w:rsidR="00347F37" w:rsidRPr="0043215C" w:rsidRDefault="00347F37" w:rsidP="00347F37">
      <w:pPr>
        <w:rPr>
          <w:rFonts w:cstheme="minorHAnsi"/>
          <w:sz w:val="20"/>
          <w:szCs w:val="20"/>
          <w:u w:val="single"/>
        </w:rPr>
      </w:pPr>
    </w:p>
    <w:p w14:paraId="693ECF54" w14:textId="77777777" w:rsidR="00347F37" w:rsidRPr="0043215C" w:rsidRDefault="00347F37" w:rsidP="00347F37">
      <w:pPr>
        <w:pStyle w:val="ListParagraph"/>
        <w:numPr>
          <w:ilvl w:val="1"/>
          <w:numId w:val="4"/>
        </w:numPr>
        <w:spacing w:after="0" w:line="240" w:lineRule="auto"/>
        <w:ind w:left="360"/>
        <w:rPr>
          <w:rFonts w:cstheme="minorHAnsi"/>
          <w:b/>
          <w:bCs/>
          <w:sz w:val="20"/>
          <w:szCs w:val="20"/>
          <w:u w:val="single"/>
        </w:rPr>
      </w:pPr>
      <w:r w:rsidRPr="0043215C">
        <w:rPr>
          <w:rFonts w:cstheme="minorHAnsi"/>
          <w:b/>
          <w:bCs/>
          <w:sz w:val="20"/>
          <w:szCs w:val="20"/>
          <w:u w:val="single"/>
        </w:rPr>
        <w:t>Digitalization of the Power Distribution Grid (EBRD)</w:t>
      </w:r>
    </w:p>
    <w:p w14:paraId="29A4A6E1" w14:textId="77777777" w:rsidR="00347F37" w:rsidRPr="0043215C" w:rsidRDefault="00347F37" w:rsidP="00347F37">
      <w:pPr>
        <w:spacing w:after="0" w:line="240" w:lineRule="auto"/>
        <w:rPr>
          <w:rFonts w:cstheme="minorHAnsi"/>
          <w:b/>
          <w:bCs/>
          <w:sz w:val="20"/>
          <w:szCs w:val="20"/>
          <w:u w:val="single"/>
        </w:rPr>
      </w:pPr>
    </w:p>
    <w:p w14:paraId="2CA2C5A7" w14:textId="77777777" w:rsidR="00347F37" w:rsidRPr="0043215C" w:rsidRDefault="00347F37" w:rsidP="00347F37">
      <w:pPr>
        <w:pStyle w:val="Heading2"/>
        <w:spacing w:before="0" w:line="240" w:lineRule="auto"/>
        <w:rPr>
          <w:rFonts w:cstheme="minorHAnsi"/>
          <w:i/>
          <w:iCs/>
          <w:sz w:val="20"/>
          <w:szCs w:val="20"/>
        </w:rPr>
      </w:pPr>
      <w:bookmarkStart w:id="249" w:name="_Toc170211401"/>
      <w:bookmarkStart w:id="250" w:name="_Toc170319868"/>
      <w:r w:rsidRPr="0043215C">
        <w:rPr>
          <w:rFonts w:cstheme="minorHAnsi"/>
          <w:i/>
          <w:iCs/>
          <w:sz w:val="20"/>
          <w:szCs w:val="20"/>
        </w:rPr>
        <w:t>Problem statement</w:t>
      </w:r>
      <w:bookmarkEnd w:id="249"/>
      <w:bookmarkEnd w:id="250"/>
    </w:p>
    <w:p w14:paraId="7B856F2E" w14:textId="77777777" w:rsidR="00347F37" w:rsidRPr="0043215C" w:rsidRDefault="00347F37" w:rsidP="00347F37">
      <w:pPr>
        <w:spacing w:after="0" w:line="240" w:lineRule="auto"/>
        <w:rPr>
          <w:rFonts w:cstheme="minorHAnsi"/>
          <w:sz w:val="20"/>
          <w:szCs w:val="20"/>
        </w:rPr>
      </w:pPr>
    </w:p>
    <w:p w14:paraId="49073DE8" w14:textId="77777777" w:rsidR="00347F37" w:rsidRPr="0043215C" w:rsidRDefault="00347F37" w:rsidP="00347F37">
      <w:pPr>
        <w:spacing w:after="0" w:line="240" w:lineRule="auto"/>
        <w:rPr>
          <w:rFonts w:cstheme="minorHAnsi"/>
          <w:sz w:val="20"/>
          <w:szCs w:val="20"/>
        </w:rPr>
      </w:pPr>
      <w:r w:rsidRPr="0043215C">
        <w:rPr>
          <w:rFonts w:cstheme="minorHAnsi"/>
          <w:sz w:val="20"/>
          <w:szCs w:val="20"/>
        </w:rPr>
        <w:t>T</w:t>
      </w:r>
      <w:r w:rsidRPr="0043215C">
        <w:rPr>
          <w:rFonts w:cstheme="minorHAnsi"/>
          <w:sz w:val="20"/>
          <w:szCs w:val="20"/>
          <w:lang w:val="tr-TR"/>
        </w:rPr>
        <w:t>ü</w:t>
      </w:r>
      <w:proofErr w:type="spellStart"/>
      <w:r w:rsidRPr="0043215C">
        <w:rPr>
          <w:rFonts w:cstheme="minorHAnsi"/>
          <w:sz w:val="20"/>
          <w:szCs w:val="20"/>
        </w:rPr>
        <w:t>rkiye's</w:t>
      </w:r>
      <w:proofErr w:type="spellEnd"/>
      <w:r w:rsidRPr="0043215C">
        <w:rPr>
          <w:rFonts w:cstheme="minorHAnsi"/>
          <w:sz w:val="20"/>
          <w:szCs w:val="20"/>
        </w:rPr>
        <w:t xml:space="preserve"> energy sector is grappling with a myriad of challenges, including rising energy demand, aging infrastructure, inefficiencies in distribution systems, and the need for greater integration of renewable energy sources. To address these challenges and build a more resilient, efficient, and sustainable energy system, there is a pressing need for substantial investments in digitalization and smart grid technologies for distribution networks across the country.</w:t>
      </w:r>
    </w:p>
    <w:p w14:paraId="35DED369" w14:textId="77777777" w:rsidR="00347F37" w:rsidRPr="0043215C" w:rsidRDefault="00347F37" w:rsidP="00347F37">
      <w:pPr>
        <w:spacing w:after="0" w:line="240" w:lineRule="auto"/>
        <w:rPr>
          <w:rFonts w:cstheme="minorHAnsi"/>
          <w:sz w:val="20"/>
          <w:szCs w:val="20"/>
        </w:rPr>
      </w:pPr>
    </w:p>
    <w:p w14:paraId="40612CB9" w14:textId="77777777" w:rsidR="00347F37" w:rsidRPr="0043215C" w:rsidRDefault="00347F37" w:rsidP="00347F37">
      <w:pPr>
        <w:spacing w:after="0" w:line="240" w:lineRule="auto"/>
        <w:rPr>
          <w:rFonts w:cstheme="minorHAnsi"/>
          <w:sz w:val="20"/>
          <w:szCs w:val="20"/>
        </w:rPr>
      </w:pPr>
      <w:r w:rsidRPr="0043215C">
        <w:rPr>
          <w:rFonts w:cstheme="minorHAnsi"/>
          <w:sz w:val="20"/>
          <w:szCs w:val="20"/>
        </w:rPr>
        <w:t>By embracing digitalization and smart grid technologies for distribution networks, T</w:t>
      </w:r>
      <w:r w:rsidRPr="0043215C">
        <w:rPr>
          <w:rFonts w:cstheme="minorHAnsi"/>
          <w:sz w:val="20"/>
          <w:szCs w:val="20"/>
          <w:lang w:val="tr-TR"/>
        </w:rPr>
        <w:t>ü</w:t>
      </w:r>
      <w:proofErr w:type="spellStart"/>
      <w:r w:rsidRPr="0043215C">
        <w:rPr>
          <w:rFonts w:cstheme="minorHAnsi"/>
          <w:sz w:val="20"/>
          <w:szCs w:val="20"/>
        </w:rPr>
        <w:t>rkiye</w:t>
      </w:r>
      <w:proofErr w:type="spellEnd"/>
      <w:r w:rsidRPr="0043215C" w:rsidDel="00DD754A">
        <w:rPr>
          <w:rFonts w:cstheme="minorHAnsi"/>
          <w:sz w:val="20"/>
          <w:szCs w:val="20"/>
        </w:rPr>
        <w:t xml:space="preserve"> </w:t>
      </w:r>
      <w:r w:rsidRPr="0043215C">
        <w:rPr>
          <w:rFonts w:cstheme="minorHAnsi"/>
          <w:sz w:val="20"/>
          <w:szCs w:val="20"/>
        </w:rPr>
        <w:t>can enhance energy reliability, improve operational efficiency, integrate renewable energy sources, and build a more resilient and sustainable energy infrastructure for the future. However, achieving these objectives will require a concerted and coordinated effort to drive innovation, mobilize investment, and facilitate the transition to a smarter, more adaptive electricity grid across the country.</w:t>
      </w:r>
    </w:p>
    <w:p w14:paraId="6AFD9D48" w14:textId="77777777" w:rsidR="00347F37" w:rsidRPr="0043215C" w:rsidRDefault="00347F37" w:rsidP="00347F37">
      <w:pPr>
        <w:spacing w:after="0" w:line="240" w:lineRule="auto"/>
        <w:rPr>
          <w:rFonts w:cstheme="minorHAnsi"/>
          <w:sz w:val="20"/>
          <w:szCs w:val="20"/>
        </w:rPr>
      </w:pPr>
    </w:p>
    <w:p w14:paraId="1E87B876" w14:textId="77777777" w:rsidR="00347F37" w:rsidRPr="0043215C" w:rsidDel="00456DE1" w:rsidRDefault="00347F37" w:rsidP="00347F37">
      <w:pPr>
        <w:pStyle w:val="Heading2"/>
        <w:spacing w:before="0" w:line="240" w:lineRule="auto"/>
        <w:rPr>
          <w:rFonts w:cstheme="minorHAnsi"/>
          <w:i/>
          <w:iCs/>
          <w:sz w:val="20"/>
          <w:szCs w:val="20"/>
        </w:rPr>
      </w:pPr>
      <w:bookmarkStart w:id="251" w:name="_Toc170211402"/>
      <w:bookmarkStart w:id="252" w:name="_Toc170319869"/>
      <w:r w:rsidRPr="0043215C" w:rsidDel="00456DE1">
        <w:rPr>
          <w:rFonts w:cstheme="minorHAnsi"/>
          <w:i/>
          <w:iCs/>
          <w:sz w:val="20"/>
          <w:szCs w:val="20"/>
        </w:rPr>
        <w:t xml:space="preserve">Proposed contribution to initiating </w:t>
      </w:r>
      <w:proofErr w:type="gramStart"/>
      <w:r w:rsidRPr="0043215C" w:rsidDel="00456DE1">
        <w:rPr>
          <w:rFonts w:cstheme="minorHAnsi"/>
          <w:i/>
          <w:iCs/>
          <w:sz w:val="20"/>
          <w:szCs w:val="20"/>
        </w:rPr>
        <w:t>transformation</w:t>
      </w:r>
      <w:bookmarkEnd w:id="251"/>
      <w:bookmarkEnd w:id="252"/>
      <w:proofErr w:type="gramEnd"/>
    </w:p>
    <w:p w14:paraId="57BC5085" w14:textId="77777777" w:rsidR="00347F37" w:rsidRPr="0043215C" w:rsidRDefault="00347F37" w:rsidP="00347F37">
      <w:pPr>
        <w:spacing w:after="0" w:line="240" w:lineRule="auto"/>
        <w:rPr>
          <w:rFonts w:cstheme="minorHAnsi"/>
          <w:sz w:val="20"/>
          <w:szCs w:val="20"/>
        </w:rPr>
      </w:pPr>
    </w:p>
    <w:p w14:paraId="6E69ED5C" w14:textId="7A343D2B" w:rsidR="00347F37" w:rsidRPr="0043215C" w:rsidDel="00456DE1" w:rsidRDefault="00347F37" w:rsidP="00347F37">
      <w:pPr>
        <w:spacing w:after="0" w:line="240" w:lineRule="auto"/>
        <w:rPr>
          <w:rFonts w:cstheme="minorHAnsi"/>
          <w:sz w:val="20"/>
          <w:szCs w:val="20"/>
        </w:rPr>
      </w:pPr>
      <w:r w:rsidRPr="0043215C" w:rsidDel="00456DE1">
        <w:rPr>
          <w:rFonts w:cstheme="minorHAnsi"/>
          <w:sz w:val="20"/>
          <w:szCs w:val="20"/>
        </w:rPr>
        <w:t xml:space="preserve">Electricity distribution companies have started to invest in </w:t>
      </w:r>
      <w:r w:rsidR="004A74B6" w:rsidRPr="0043215C" w:rsidDel="00456DE1">
        <w:rPr>
          <w:rFonts w:cstheme="minorHAnsi"/>
          <w:sz w:val="20"/>
          <w:szCs w:val="20"/>
        </w:rPr>
        <w:t>digitalization</w:t>
      </w:r>
      <w:r w:rsidRPr="0043215C" w:rsidDel="00456DE1">
        <w:rPr>
          <w:rFonts w:cstheme="minorHAnsi"/>
          <w:sz w:val="20"/>
          <w:szCs w:val="20"/>
        </w:rPr>
        <w:t xml:space="preserve"> and smart grid for electricity distribution systems for the last decade. As the regulator body does not approve some of the new technologies under the regulated asset base, companies require financial support to expedite digitalization, implement smart grid systems for the electricity distribution system and upskill their workers with necessary digital skills. Our pipeline clients’ potential investments include operational technology systems such as wider smart metering coverage, SCADA upgrade at field level &amp; grid control </w:t>
      </w:r>
      <w:r w:rsidR="004A74B6" w:rsidRPr="0043215C" w:rsidDel="00456DE1">
        <w:rPr>
          <w:rFonts w:cstheme="minorHAnsi"/>
          <w:sz w:val="20"/>
          <w:szCs w:val="20"/>
        </w:rPr>
        <w:t>center</w:t>
      </w:r>
      <w:r w:rsidRPr="0043215C" w:rsidDel="00456DE1">
        <w:rPr>
          <w:rFonts w:cstheme="minorHAnsi"/>
          <w:sz w:val="20"/>
          <w:szCs w:val="20"/>
        </w:rPr>
        <w:t>, geographic information system integration and so on to reduce distribution losses, increase operational efficiency as well as reinforce grid flexibility helping RE integration.</w:t>
      </w:r>
    </w:p>
    <w:p w14:paraId="70C3C39A" w14:textId="77777777" w:rsidR="00347F37" w:rsidRPr="0043215C" w:rsidRDefault="00347F37" w:rsidP="00347F37">
      <w:pPr>
        <w:spacing w:after="0" w:line="240" w:lineRule="auto"/>
        <w:rPr>
          <w:rFonts w:cstheme="minorHAnsi"/>
          <w:sz w:val="20"/>
          <w:szCs w:val="20"/>
        </w:rPr>
      </w:pPr>
    </w:p>
    <w:p w14:paraId="2133DB6A" w14:textId="037CB34B" w:rsidR="00347F37" w:rsidRPr="0043215C" w:rsidRDefault="00347F37" w:rsidP="00347F37">
      <w:pPr>
        <w:spacing w:after="0" w:line="240" w:lineRule="auto"/>
        <w:rPr>
          <w:rFonts w:cstheme="minorHAnsi"/>
          <w:sz w:val="20"/>
          <w:szCs w:val="20"/>
        </w:rPr>
      </w:pPr>
      <w:r w:rsidRPr="0043215C" w:rsidDel="00456DE1">
        <w:rPr>
          <w:rFonts w:cstheme="minorHAnsi"/>
          <w:sz w:val="20"/>
          <w:szCs w:val="20"/>
        </w:rPr>
        <w:t xml:space="preserve">The EBRD Banking team is currently in talks with several companies for financing of up to </w:t>
      </w:r>
      <w:r w:rsidR="00636124" w:rsidRPr="0043215C">
        <w:rPr>
          <w:rFonts w:cstheme="minorHAnsi"/>
          <w:sz w:val="20"/>
          <w:szCs w:val="20"/>
        </w:rPr>
        <w:t>US$</w:t>
      </w:r>
      <w:r w:rsidRPr="0043215C" w:rsidDel="00456DE1">
        <w:rPr>
          <w:rFonts w:cstheme="minorHAnsi"/>
          <w:sz w:val="20"/>
          <w:szCs w:val="20"/>
        </w:rPr>
        <w:t xml:space="preserve"> [10-15] million, dedicated to investments in </w:t>
      </w:r>
      <w:r w:rsidR="004A74B6" w:rsidRPr="0043215C" w:rsidDel="00456DE1">
        <w:rPr>
          <w:rFonts w:cstheme="minorHAnsi"/>
          <w:sz w:val="20"/>
          <w:szCs w:val="20"/>
        </w:rPr>
        <w:t>digitalization</w:t>
      </w:r>
      <w:r w:rsidRPr="0043215C" w:rsidDel="00456DE1">
        <w:rPr>
          <w:rFonts w:cstheme="minorHAnsi"/>
          <w:sz w:val="20"/>
          <w:szCs w:val="20"/>
        </w:rPr>
        <w:t xml:space="preserve"> and smart grid for distribution. The investments are expected to start in early 2025. This could be paired with gender-responsive capacity building and training support to ensure that the new technologies are adopted by the local workforce.</w:t>
      </w:r>
    </w:p>
    <w:p w14:paraId="5D753DB5" w14:textId="77777777" w:rsidR="00347F37" w:rsidRPr="0043215C" w:rsidDel="00456DE1" w:rsidRDefault="00347F37" w:rsidP="00347F37">
      <w:pPr>
        <w:spacing w:after="0" w:line="240" w:lineRule="auto"/>
        <w:rPr>
          <w:rFonts w:cstheme="minorHAnsi"/>
          <w:sz w:val="20"/>
          <w:szCs w:val="20"/>
        </w:rPr>
      </w:pPr>
    </w:p>
    <w:p w14:paraId="75CD3E8A" w14:textId="77777777" w:rsidR="00347F37" w:rsidRPr="0043215C" w:rsidRDefault="00347F37" w:rsidP="00347F37">
      <w:pPr>
        <w:pStyle w:val="Heading2"/>
        <w:spacing w:before="0" w:line="240" w:lineRule="auto"/>
        <w:rPr>
          <w:rFonts w:cstheme="minorHAnsi"/>
          <w:i/>
          <w:iCs/>
          <w:sz w:val="20"/>
          <w:szCs w:val="20"/>
        </w:rPr>
      </w:pPr>
      <w:bookmarkStart w:id="253" w:name="_Toc170211403"/>
      <w:bookmarkStart w:id="254" w:name="_Toc170319870"/>
      <w:r w:rsidRPr="0043215C">
        <w:rPr>
          <w:rFonts w:cstheme="minorHAnsi"/>
          <w:i/>
          <w:iCs/>
          <w:sz w:val="20"/>
          <w:szCs w:val="20"/>
        </w:rPr>
        <w:t>Implementation readiness</w:t>
      </w:r>
      <w:bookmarkEnd w:id="253"/>
      <w:bookmarkEnd w:id="254"/>
      <w:r w:rsidRPr="0043215C">
        <w:rPr>
          <w:rFonts w:cstheme="minorHAnsi"/>
          <w:i/>
          <w:iCs/>
          <w:sz w:val="20"/>
          <w:szCs w:val="20"/>
        </w:rPr>
        <w:t xml:space="preserve"> </w:t>
      </w:r>
    </w:p>
    <w:p w14:paraId="5DE522A7" w14:textId="77777777" w:rsidR="00347F37" w:rsidRPr="0043215C" w:rsidRDefault="00347F37" w:rsidP="00347F37">
      <w:pPr>
        <w:spacing w:after="0" w:line="240" w:lineRule="auto"/>
        <w:rPr>
          <w:rFonts w:cstheme="minorHAnsi"/>
          <w:sz w:val="20"/>
          <w:szCs w:val="20"/>
        </w:rPr>
      </w:pPr>
    </w:p>
    <w:p w14:paraId="3A6F3783" w14:textId="5BCC3765" w:rsidR="00347F37" w:rsidRPr="0043215C" w:rsidRDefault="00347F37" w:rsidP="00347F37">
      <w:pPr>
        <w:spacing w:after="0" w:line="240" w:lineRule="auto"/>
        <w:rPr>
          <w:rFonts w:cstheme="minorHAnsi"/>
          <w:sz w:val="20"/>
          <w:szCs w:val="20"/>
        </w:rPr>
      </w:pPr>
      <w:r w:rsidRPr="0043215C">
        <w:rPr>
          <w:rFonts w:cstheme="minorHAnsi"/>
          <w:sz w:val="20"/>
          <w:szCs w:val="20"/>
        </w:rPr>
        <w:t xml:space="preserve">The EBRD Banking team is currently in talks with several companies for financing of up to </w:t>
      </w:r>
      <w:r w:rsidR="00636124" w:rsidRPr="0043215C">
        <w:rPr>
          <w:rFonts w:cstheme="minorHAnsi"/>
          <w:sz w:val="20"/>
          <w:szCs w:val="20"/>
        </w:rPr>
        <w:t>US$</w:t>
      </w:r>
      <w:r w:rsidRPr="0043215C">
        <w:rPr>
          <w:rFonts w:cstheme="minorHAnsi"/>
          <w:sz w:val="20"/>
          <w:szCs w:val="20"/>
        </w:rPr>
        <w:t xml:space="preserve"> 10-15 million, dedicated to investments in </w:t>
      </w:r>
      <w:r w:rsidR="004A74B6" w:rsidRPr="0043215C">
        <w:rPr>
          <w:rFonts w:cstheme="minorHAnsi"/>
          <w:sz w:val="20"/>
          <w:szCs w:val="20"/>
        </w:rPr>
        <w:t>digitalization</w:t>
      </w:r>
      <w:r w:rsidRPr="0043215C">
        <w:rPr>
          <w:rFonts w:cstheme="minorHAnsi"/>
          <w:sz w:val="20"/>
          <w:szCs w:val="20"/>
        </w:rPr>
        <w:t xml:space="preserve"> and smart grid for distribution. The investments are expected to start in early 2025.</w:t>
      </w:r>
    </w:p>
    <w:p w14:paraId="57B16412" w14:textId="77777777" w:rsidR="00347F37" w:rsidRPr="0043215C" w:rsidRDefault="00347F37" w:rsidP="00347F37">
      <w:pPr>
        <w:spacing w:after="0" w:line="240" w:lineRule="auto"/>
        <w:rPr>
          <w:rFonts w:cstheme="minorHAnsi"/>
          <w:sz w:val="20"/>
          <w:szCs w:val="20"/>
        </w:rPr>
      </w:pPr>
    </w:p>
    <w:p w14:paraId="4B58EB51" w14:textId="77777777" w:rsidR="00347F37" w:rsidRPr="0043215C" w:rsidRDefault="00347F37" w:rsidP="00347F37">
      <w:pPr>
        <w:pStyle w:val="Heading2"/>
        <w:spacing w:before="0" w:line="240" w:lineRule="auto"/>
        <w:rPr>
          <w:rFonts w:cstheme="minorHAnsi"/>
          <w:i/>
          <w:iCs/>
          <w:sz w:val="20"/>
          <w:szCs w:val="20"/>
        </w:rPr>
      </w:pPr>
      <w:bookmarkStart w:id="255" w:name="_Toc170211404"/>
      <w:bookmarkStart w:id="256" w:name="_Toc170319871"/>
      <w:r w:rsidRPr="0043215C">
        <w:rPr>
          <w:rFonts w:cstheme="minorHAnsi"/>
          <w:i/>
          <w:iCs/>
          <w:sz w:val="20"/>
          <w:szCs w:val="20"/>
        </w:rPr>
        <w:t>Rationale for REI financing</w:t>
      </w:r>
      <w:bookmarkEnd w:id="255"/>
      <w:bookmarkEnd w:id="256"/>
      <w:r w:rsidRPr="0043215C">
        <w:rPr>
          <w:rFonts w:cstheme="minorHAnsi"/>
          <w:i/>
          <w:iCs/>
          <w:sz w:val="20"/>
          <w:szCs w:val="20"/>
        </w:rPr>
        <w:t xml:space="preserve"> </w:t>
      </w:r>
    </w:p>
    <w:p w14:paraId="2D486808" w14:textId="77777777" w:rsidR="00347F37" w:rsidRPr="0043215C" w:rsidRDefault="00347F37" w:rsidP="00347F37">
      <w:pPr>
        <w:spacing w:after="0" w:line="240" w:lineRule="auto"/>
        <w:rPr>
          <w:rFonts w:cstheme="minorHAnsi"/>
          <w:sz w:val="20"/>
          <w:szCs w:val="20"/>
        </w:rPr>
      </w:pPr>
    </w:p>
    <w:p w14:paraId="4DCBBA12" w14:textId="77777777" w:rsidR="00347F37" w:rsidRPr="0043215C" w:rsidRDefault="00347F37" w:rsidP="00347F37">
      <w:pPr>
        <w:rPr>
          <w:rFonts w:cstheme="minorHAnsi"/>
          <w:sz w:val="20"/>
          <w:szCs w:val="20"/>
        </w:rPr>
      </w:pPr>
      <w:r w:rsidRPr="0043215C">
        <w:rPr>
          <w:rFonts w:cstheme="minorHAnsi"/>
          <w:sz w:val="20"/>
          <w:szCs w:val="20"/>
        </w:rPr>
        <w:t xml:space="preserve">Investing in the digitalization of power distribution grids supports the integration of renewable energy sources by optimizing grid operations, facilitating demand response, and improving grid resilience. Digital technologies enable the seamless integration of distributed energy resources, enhance data-driven decision-making, and support </w:t>
      </w:r>
      <w:r w:rsidRPr="0043215C">
        <w:rPr>
          <w:rFonts w:cstheme="minorHAnsi"/>
          <w:sz w:val="20"/>
          <w:szCs w:val="20"/>
        </w:rPr>
        <w:lastRenderedPageBreak/>
        <w:t>regulatory reforms. Such investments are crucial for overcoming barriers to renewable energy integration and accelerating the transition to a low-carbon energy future in line with the goals of the Paris Agreement.</w:t>
      </w:r>
    </w:p>
    <w:p w14:paraId="1BAE231A" w14:textId="77777777" w:rsidR="00347F37" w:rsidRPr="0043215C" w:rsidRDefault="00347F37" w:rsidP="00347F37">
      <w:pPr>
        <w:spacing w:after="0" w:line="240" w:lineRule="auto"/>
        <w:rPr>
          <w:rFonts w:cstheme="minorHAnsi"/>
          <w:sz w:val="20"/>
          <w:szCs w:val="20"/>
        </w:rPr>
      </w:pPr>
    </w:p>
    <w:p w14:paraId="028558C4" w14:textId="77777777" w:rsidR="00347F37" w:rsidRPr="0043215C" w:rsidRDefault="00347F37" w:rsidP="00347F37">
      <w:pPr>
        <w:pStyle w:val="Heading2"/>
        <w:spacing w:before="0" w:line="240" w:lineRule="auto"/>
        <w:rPr>
          <w:rFonts w:cstheme="minorHAnsi"/>
          <w:i/>
          <w:iCs/>
          <w:sz w:val="20"/>
          <w:szCs w:val="20"/>
        </w:rPr>
      </w:pPr>
      <w:bookmarkStart w:id="257" w:name="_Toc170211405"/>
      <w:bookmarkStart w:id="258" w:name="_Toc170319872"/>
      <w:r w:rsidRPr="0043215C">
        <w:rPr>
          <w:rFonts w:cstheme="minorHAnsi"/>
          <w:i/>
          <w:iCs/>
          <w:sz w:val="20"/>
          <w:szCs w:val="20"/>
        </w:rPr>
        <w:t>Results indicators</w:t>
      </w:r>
      <w:bookmarkEnd w:id="257"/>
      <w:bookmarkEnd w:id="258"/>
      <w:r w:rsidRPr="0043215C">
        <w:rPr>
          <w:rFonts w:cstheme="minorHAnsi"/>
          <w:i/>
          <w:iCs/>
          <w:sz w:val="20"/>
          <w:szCs w:val="20"/>
        </w:rPr>
        <w:t xml:space="preserve"> </w:t>
      </w:r>
    </w:p>
    <w:p w14:paraId="50AB1325" w14:textId="77777777" w:rsidR="00347F37" w:rsidRPr="0043215C" w:rsidRDefault="00347F37" w:rsidP="00347F37">
      <w:pPr>
        <w:spacing w:after="0" w:line="240" w:lineRule="auto"/>
        <w:rPr>
          <w:rFonts w:cstheme="minorHAnsi"/>
          <w:sz w:val="20"/>
          <w:szCs w:val="20"/>
        </w:rPr>
      </w:pPr>
    </w:p>
    <w:p w14:paraId="4E0A5845" w14:textId="77777777" w:rsidR="00347F37" w:rsidRPr="0043215C" w:rsidRDefault="00347F37" w:rsidP="00347F37">
      <w:pPr>
        <w:spacing w:after="0" w:line="240" w:lineRule="auto"/>
        <w:rPr>
          <w:rFonts w:cstheme="minorHAnsi"/>
          <w:sz w:val="20"/>
          <w:szCs w:val="20"/>
        </w:rPr>
      </w:pPr>
      <w:r w:rsidRPr="0043215C">
        <w:rPr>
          <w:rFonts w:cstheme="minorHAnsi"/>
          <w:sz w:val="20"/>
          <w:szCs w:val="20"/>
        </w:rPr>
        <w:t>The final list of indicators will be available during the project preparation stage. Anticipated outcomes of the project include the following:</w:t>
      </w:r>
    </w:p>
    <w:p w14:paraId="7DE93A23" w14:textId="77777777" w:rsidR="00347F37" w:rsidRPr="0043215C" w:rsidRDefault="00347F37" w:rsidP="00347F37">
      <w:pPr>
        <w:spacing w:after="0" w:line="240"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47F37" w:rsidRPr="0043215C" w14:paraId="757415E1" w14:textId="77777777" w:rsidTr="006211BF">
        <w:tc>
          <w:tcPr>
            <w:tcW w:w="9350" w:type="dxa"/>
          </w:tcPr>
          <w:p w14:paraId="77684035" w14:textId="77777777" w:rsidR="00347F37" w:rsidRPr="0043215C" w:rsidRDefault="00347F37" w:rsidP="00651F36">
            <w:pPr>
              <w:pStyle w:val="ListParagraph"/>
              <w:numPr>
                <w:ilvl w:val="0"/>
                <w:numId w:val="20"/>
              </w:numPr>
              <w:rPr>
                <w:rFonts w:cstheme="minorHAnsi"/>
                <w:sz w:val="20"/>
                <w:szCs w:val="20"/>
              </w:rPr>
            </w:pPr>
            <w:r w:rsidRPr="0043215C">
              <w:rPr>
                <w:rFonts w:cstheme="minorHAnsi"/>
                <w:sz w:val="20"/>
                <w:szCs w:val="20"/>
              </w:rPr>
              <w:t>Greenhouse gas (GHG) emissions reduction/avoidance (metric tons/year)</w:t>
            </w:r>
          </w:p>
        </w:tc>
      </w:tr>
      <w:tr w:rsidR="00347F37" w:rsidRPr="0043215C" w14:paraId="00A86AEC" w14:textId="77777777" w:rsidTr="006211BF">
        <w:tc>
          <w:tcPr>
            <w:tcW w:w="9350" w:type="dxa"/>
          </w:tcPr>
          <w:p w14:paraId="017856D9" w14:textId="77777777" w:rsidR="00347F37" w:rsidRPr="0043215C" w:rsidRDefault="00347F37" w:rsidP="00651F36">
            <w:pPr>
              <w:pStyle w:val="ListParagraph"/>
              <w:numPr>
                <w:ilvl w:val="0"/>
                <w:numId w:val="20"/>
              </w:numPr>
              <w:rPr>
                <w:rFonts w:cstheme="minorHAnsi"/>
                <w:sz w:val="20"/>
                <w:szCs w:val="20"/>
              </w:rPr>
            </w:pPr>
            <w:r w:rsidRPr="0043215C">
              <w:rPr>
                <w:rFonts w:cstheme="minorHAnsi"/>
                <w:sz w:val="20"/>
                <w:szCs w:val="20"/>
              </w:rPr>
              <w:t>Installed capacity of variable renewable energy available to the grid (MW)</w:t>
            </w:r>
          </w:p>
        </w:tc>
      </w:tr>
      <w:tr w:rsidR="00347F37" w:rsidRPr="0043215C" w14:paraId="0F93F006" w14:textId="77777777" w:rsidTr="006211BF">
        <w:tc>
          <w:tcPr>
            <w:tcW w:w="9350" w:type="dxa"/>
          </w:tcPr>
          <w:p w14:paraId="581A9A07" w14:textId="77777777" w:rsidR="00347F37" w:rsidRPr="0043215C" w:rsidRDefault="00347F37" w:rsidP="00651F36">
            <w:pPr>
              <w:pStyle w:val="ListParagraph"/>
              <w:numPr>
                <w:ilvl w:val="0"/>
                <w:numId w:val="20"/>
              </w:numPr>
              <w:rPr>
                <w:rFonts w:cstheme="minorHAnsi"/>
                <w:sz w:val="20"/>
                <w:szCs w:val="20"/>
              </w:rPr>
            </w:pPr>
            <w:r w:rsidRPr="0043215C">
              <w:rPr>
                <w:rFonts w:cstheme="minorHAnsi"/>
                <w:sz w:val="20"/>
                <w:szCs w:val="20"/>
              </w:rPr>
              <w:t>Increase in new smart-charging EV stations installed (#)</w:t>
            </w:r>
          </w:p>
        </w:tc>
      </w:tr>
      <w:tr w:rsidR="00347F37" w:rsidRPr="0043215C" w14:paraId="771E43F5" w14:textId="77777777" w:rsidTr="006211BF">
        <w:tc>
          <w:tcPr>
            <w:tcW w:w="9350" w:type="dxa"/>
          </w:tcPr>
          <w:p w14:paraId="396BC982" w14:textId="77777777" w:rsidR="00347F37" w:rsidRPr="0043215C" w:rsidRDefault="00347F37" w:rsidP="00651F36">
            <w:pPr>
              <w:pStyle w:val="ListParagraph"/>
              <w:numPr>
                <w:ilvl w:val="0"/>
                <w:numId w:val="20"/>
              </w:numPr>
              <w:rPr>
                <w:rFonts w:cstheme="minorHAnsi"/>
                <w:sz w:val="20"/>
                <w:szCs w:val="20"/>
              </w:rPr>
            </w:pPr>
            <w:r w:rsidRPr="0043215C">
              <w:rPr>
                <w:rFonts w:cstheme="minorHAnsi"/>
                <w:sz w:val="20"/>
                <w:szCs w:val="20"/>
              </w:rPr>
              <w:t>Financing mobilized, including from MDBs and other parties</w:t>
            </w:r>
          </w:p>
        </w:tc>
      </w:tr>
    </w:tbl>
    <w:p w14:paraId="5F2215FF" w14:textId="77777777" w:rsidR="00347F37" w:rsidRPr="0043215C" w:rsidRDefault="00347F37" w:rsidP="00347F37">
      <w:pPr>
        <w:spacing w:after="0" w:line="240" w:lineRule="auto"/>
        <w:rPr>
          <w:rFonts w:cstheme="minorHAnsi"/>
          <w:sz w:val="20"/>
          <w:szCs w:val="20"/>
          <w:u w:val="single"/>
        </w:rPr>
      </w:pPr>
    </w:p>
    <w:p w14:paraId="39B2CB8D" w14:textId="77777777" w:rsidR="00347F37" w:rsidRPr="0043215C" w:rsidRDefault="00347F37" w:rsidP="00347F37">
      <w:pPr>
        <w:pStyle w:val="Heading2"/>
        <w:spacing w:before="0" w:line="240" w:lineRule="auto"/>
        <w:rPr>
          <w:rFonts w:cstheme="minorHAnsi"/>
          <w:i/>
          <w:iCs/>
          <w:sz w:val="20"/>
          <w:szCs w:val="20"/>
        </w:rPr>
      </w:pPr>
      <w:bookmarkStart w:id="259" w:name="_Toc170211406"/>
      <w:bookmarkStart w:id="260" w:name="_Toc170319873"/>
      <w:r w:rsidRPr="0043215C">
        <w:rPr>
          <w:rFonts w:cstheme="minorHAnsi"/>
          <w:i/>
          <w:iCs/>
          <w:sz w:val="20"/>
          <w:szCs w:val="20"/>
        </w:rPr>
        <w:t>Financing plan, including financial instruments</w:t>
      </w:r>
      <w:bookmarkEnd w:id="234"/>
      <w:bookmarkEnd w:id="235"/>
      <w:bookmarkEnd w:id="236"/>
      <w:bookmarkEnd w:id="237"/>
      <w:bookmarkEnd w:id="238"/>
      <w:bookmarkEnd w:id="259"/>
      <w:bookmarkEnd w:id="260"/>
      <w:r w:rsidRPr="0043215C">
        <w:rPr>
          <w:rFonts w:cstheme="minorHAnsi"/>
          <w:i/>
          <w:iCs/>
          <w:sz w:val="20"/>
          <w:szCs w:val="20"/>
        </w:rPr>
        <w:t xml:space="preserve"> </w:t>
      </w:r>
    </w:p>
    <w:p w14:paraId="1B37B9FD" w14:textId="77777777" w:rsidR="00347F37" w:rsidRPr="0043215C" w:rsidRDefault="00347F37" w:rsidP="00347F37">
      <w:pPr>
        <w:spacing w:after="0" w:line="240" w:lineRule="auto"/>
        <w:rPr>
          <w:rFonts w:cstheme="minorHAnsi"/>
          <w:sz w:val="20"/>
          <w:szCs w:val="20"/>
          <w:u w:val="single"/>
        </w:rPr>
      </w:pPr>
    </w:p>
    <w:p w14:paraId="43E6E99D" w14:textId="77777777" w:rsidR="00347F37" w:rsidRPr="0043215C" w:rsidRDefault="00347F37" w:rsidP="00347F37">
      <w:pPr>
        <w:spacing w:after="0" w:line="240" w:lineRule="auto"/>
        <w:rPr>
          <w:rFonts w:cstheme="minorHAnsi"/>
          <w:sz w:val="20"/>
          <w:szCs w:val="20"/>
        </w:rPr>
      </w:pPr>
      <w:r w:rsidRPr="0043215C">
        <w:rPr>
          <w:rFonts w:cstheme="minorHAnsi"/>
          <w:sz w:val="20"/>
          <w:szCs w:val="20"/>
        </w:rPr>
        <w:t>The contemplated financing structures will depend on the individual projects and the risks associated with the potential counterparties. EBRD and IFC are currently exploring transactions that require debt and equity and may need to offer other financial instruments as new opportunities emerge. The final selection of the specific financing structure and terms will be done at the sub-project level and take macroeconomic conditions and sectoral dynamics into account.</w:t>
      </w:r>
    </w:p>
    <w:p w14:paraId="0C9D098D" w14:textId="77777777" w:rsidR="00347F37" w:rsidRPr="0043215C" w:rsidRDefault="00347F37" w:rsidP="00347F37">
      <w:pPr>
        <w:spacing w:after="0" w:line="240" w:lineRule="auto"/>
        <w:rPr>
          <w:rFonts w:cstheme="minorHAnsi"/>
          <w:b/>
          <w:bCs/>
          <w:sz w:val="20"/>
          <w:szCs w:val="20"/>
        </w:rPr>
      </w:pPr>
    </w:p>
    <w:p w14:paraId="7F840DB5" w14:textId="77777777" w:rsidR="00347F37" w:rsidRPr="0043215C" w:rsidRDefault="00347F37" w:rsidP="00347F37">
      <w:pPr>
        <w:spacing w:after="0" w:line="240" w:lineRule="auto"/>
        <w:rPr>
          <w:rFonts w:eastAsia="Times New Roman" w:cstheme="minorHAnsi"/>
          <w:b/>
          <w:bCs/>
          <w:color w:val="000000"/>
          <w:kern w:val="2"/>
          <w:sz w:val="20"/>
          <w:szCs w:val="20"/>
          <w:lang w:val="tr-TR"/>
        </w:rPr>
      </w:pPr>
      <w:r w:rsidRPr="0043215C">
        <w:rPr>
          <w:rFonts w:cstheme="minorHAnsi"/>
          <w:b/>
          <w:bCs/>
          <w:sz w:val="20"/>
          <w:szCs w:val="20"/>
        </w:rPr>
        <w:t>Table 11:</w:t>
      </w:r>
      <w:r w:rsidRPr="0043215C">
        <w:rPr>
          <w:rFonts w:eastAsia="Times New Roman" w:cstheme="minorHAnsi"/>
          <w:b/>
          <w:bCs/>
          <w:color w:val="000000"/>
          <w:kern w:val="2"/>
          <w:sz w:val="20"/>
          <w:szCs w:val="20"/>
          <w:lang w:val="tr-TR"/>
        </w:rPr>
        <w:t xml:space="preserve"> Indicative Financing Source</w:t>
      </w:r>
    </w:p>
    <w:p w14:paraId="080ECE65" w14:textId="77777777" w:rsidR="00347F37" w:rsidRPr="0043215C" w:rsidRDefault="00347F37" w:rsidP="00347F37">
      <w:pPr>
        <w:spacing w:after="0" w:line="240" w:lineRule="auto"/>
        <w:rPr>
          <w:rFonts w:cstheme="minorHAnsi"/>
          <w:sz w:val="20"/>
          <w:szCs w:val="20"/>
        </w:rPr>
      </w:pPr>
    </w:p>
    <w:tbl>
      <w:tblPr>
        <w:tblW w:w="9280" w:type="dxa"/>
        <w:tblLook w:val="04A0" w:firstRow="1" w:lastRow="0" w:firstColumn="1" w:lastColumn="0" w:noHBand="0" w:noVBand="1"/>
      </w:tblPr>
      <w:tblGrid>
        <w:gridCol w:w="1700"/>
        <w:gridCol w:w="677"/>
        <w:gridCol w:w="1686"/>
        <w:gridCol w:w="1526"/>
        <w:gridCol w:w="1671"/>
        <w:gridCol w:w="1011"/>
        <w:gridCol w:w="1009"/>
      </w:tblGrid>
      <w:tr w:rsidR="00347F37" w:rsidRPr="0043215C" w14:paraId="716A8793" w14:textId="77777777" w:rsidTr="00651F36">
        <w:trPr>
          <w:trHeight w:val="293"/>
        </w:trPr>
        <w:tc>
          <w:tcPr>
            <w:tcW w:w="1700" w:type="dxa"/>
            <w:vMerge w:val="restart"/>
            <w:tcBorders>
              <w:top w:val="single" w:sz="8" w:space="0" w:color="000000"/>
              <w:left w:val="single" w:sz="8" w:space="0" w:color="000000"/>
              <w:bottom w:val="single" w:sz="8" w:space="0" w:color="000000"/>
              <w:right w:val="single" w:sz="8" w:space="0" w:color="000000"/>
            </w:tcBorders>
            <w:shd w:val="clear" w:color="000000" w:fill="D9E1F2"/>
            <w:vAlign w:val="center"/>
            <w:hideMark/>
          </w:tcPr>
          <w:p w14:paraId="3B10B310" w14:textId="77777777" w:rsidR="00347F37" w:rsidRPr="0043215C" w:rsidRDefault="00347F37" w:rsidP="00651F36">
            <w:pPr>
              <w:spacing w:after="0" w:line="240" w:lineRule="auto"/>
              <w:rPr>
                <w:rFonts w:eastAsia="Times New Roman" w:cstheme="minorHAnsi"/>
                <w:b/>
                <w:bCs/>
                <w:color w:val="000000"/>
                <w:sz w:val="20"/>
                <w:szCs w:val="20"/>
              </w:rPr>
            </w:pPr>
            <w:bookmarkStart w:id="261" w:name="_Toc162898799"/>
            <w:bookmarkStart w:id="262" w:name="_Toc162898866"/>
            <w:bookmarkStart w:id="263" w:name="_Toc162899080"/>
            <w:bookmarkStart w:id="264" w:name="_Toc162962993"/>
            <w:bookmarkStart w:id="265" w:name="_Toc162964175"/>
            <w:r w:rsidRPr="0043215C">
              <w:rPr>
                <w:rFonts w:eastAsia="Times New Roman" w:cstheme="minorHAnsi"/>
                <w:b/>
                <w:bCs/>
                <w:color w:val="000000"/>
                <w:kern w:val="2"/>
                <w:sz w:val="20"/>
                <w:szCs w:val="20"/>
                <w:lang w:val="tr-TR"/>
              </w:rPr>
              <w:t>Sub-Component</w:t>
            </w:r>
          </w:p>
        </w:tc>
        <w:tc>
          <w:tcPr>
            <w:tcW w:w="7580" w:type="dxa"/>
            <w:gridSpan w:val="6"/>
            <w:tcBorders>
              <w:top w:val="single" w:sz="8" w:space="0" w:color="000000"/>
              <w:left w:val="nil"/>
              <w:bottom w:val="single" w:sz="8" w:space="0" w:color="000000"/>
              <w:right w:val="single" w:sz="8" w:space="0" w:color="000000"/>
            </w:tcBorders>
            <w:shd w:val="clear" w:color="000000" w:fill="D9E1F2"/>
            <w:vAlign w:val="center"/>
            <w:hideMark/>
          </w:tcPr>
          <w:p w14:paraId="0AB23366" w14:textId="7C66B0EB" w:rsidR="00347F37" w:rsidRPr="0043215C" w:rsidRDefault="00347F37" w:rsidP="00651F36">
            <w:pPr>
              <w:spacing w:after="0" w:line="240" w:lineRule="auto"/>
              <w:jc w:val="center"/>
              <w:rPr>
                <w:rFonts w:eastAsia="Times New Roman" w:cstheme="minorHAnsi"/>
                <w:b/>
                <w:bCs/>
                <w:color w:val="000000"/>
                <w:sz w:val="20"/>
                <w:szCs w:val="20"/>
              </w:rPr>
            </w:pPr>
            <w:r w:rsidRPr="0043215C">
              <w:rPr>
                <w:rFonts w:eastAsia="Times New Roman" w:cstheme="minorHAnsi"/>
                <w:b/>
                <w:bCs/>
                <w:color w:val="000000"/>
                <w:kern w:val="2"/>
                <w:sz w:val="20"/>
                <w:szCs w:val="20"/>
                <w:lang w:val="tr-TR"/>
              </w:rPr>
              <w:t>Indicative Financing Source (</w:t>
            </w:r>
            <w:r w:rsidR="00636124" w:rsidRPr="0043215C">
              <w:rPr>
                <w:rFonts w:eastAsia="Times New Roman" w:cstheme="minorHAnsi"/>
                <w:b/>
                <w:bCs/>
                <w:color w:val="000000"/>
                <w:kern w:val="2"/>
                <w:sz w:val="20"/>
                <w:szCs w:val="20"/>
                <w:lang w:val="tr-TR"/>
              </w:rPr>
              <w:t>US$</w:t>
            </w:r>
            <w:r w:rsidRPr="0043215C">
              <w:rPr>
                <w:rFonts w:eastAsia="Times New Roman" w:cstheme="minorHAnsi"/>
                <w:b/>
                <w:bCs/>
                <w:color w:val="000000"/>
                <w:kern w:val="2"/>
                <w:sz w:val="20"/>
                <w:szCs w:val="20"/>
                <w:lang w:val="tr-TR"/>
              </w:rPr>
              <w:t xml:space="preserve"> million)</w:t>
            </w:r>
          </w:p>
        </w:tc>
      </w:tr>
      <w:tr w:rsidR="00347F37" w:rsidRPr="0043215C" w14:paraId="76E2B62F" w14:textId="77777777" w:rsidTr="00651F36">
        <w:trPr>
          <w:trHeight w:val="293"/>
        </w:trPr>
        <w:tc>
          <w:tcPr>
            <w:tcW w:w="1700" w:type="dxa"/>
            <w:vMerge/>
            <w:tcBorders>
              <w:top w:val="single" w:sz="8" w:space="0" w:color="000000"/>
              <w:left w:val="single" w:sz="8" w:space="0" w:color="000000"/>
              <w:bottom w:val="single" w:sz="8" w:space="0" w:color="000000"/>
              <w:right w:val="single" w:sz="8" w:space="0" w:color="000000"/>
            </w:tcBorders>
            <w:vAlign w:val="center"/>
            <w:hideMark/>
          </w:tcPr>
          <w:p w14:paraId="1EE00319" w14:textId="77777777" w:rsidR="00347F37" w:rsidRPr="0043215C" w:rsidRDefault="00347F37" w:rsidP="00651F36">
            <w:pPr>
              <w:spacing w:after="0" w:line="240" w:lineRule="auto"/>
              <w:jc w:val="left"/>
              <w:rPr>
                <w:rFonts w:eastAsia="Times New Roman" w:cstheme="minorHAnsi"/>
                <w:b/>
                <w:bCs/>
                <w:color w:val="000000"/>
                <w:sz w:val="20"/>
                <w:szCs w:val="20"/>
              </w:rPr>
            </w:pPr>
          </w:p>
        </w:tc>
        <w:tc>
          <w:tcPr>
            <w:tcW w:w="677" w:type="dxa"/>
            <w:tcBorders>
              <w:top w:val="nil"/>
              <w:left w:val="nil"/>
              <w:bottom w:val="single" w:sz="8" w:space="0" w:color="000000"/>
              <w:right w:val="single" w:sz="8" w:space="0" w:color="000000"/>
            </w:tcBorders>
            <w:shd w:val="clear" w:color="000000" w:fill="D9E1F2"/>
            <w:vAlign w:val="center"/>
            <w:hideMark/>
          </w:tcPr>
          <w:p w14:paraId="12E390C1" w14:textId="77777777" w:rsidR="00347F37" w:rsidRPr="0043215C" w:rsidRDefault="00347F37" w:rsidP="00651F36">
            <w:pPr>
              <w:spacing w:after="0" w:line="240" w:lineRule="auto"/>
              <w:jc w:val="center"/>
              <w:rPr>
                <w:rFonts w:eastAsia="Times New Roman" w:cstheme="minorHAnsi"/>
                <w:b/>
                <w:bCs/>
                <w:color w:val="000000"/>
                <w:sz w:val="20"/>
                <w:szCs w:val="20"/>
              </w:rPr>
            </w:pPr>
            <w:r w:rsidRPr="0043215C">
              <w:rPr>
                <w:rFonts w:eastAsia="Times New Roman" w:cstheme="minorHAnsi"/>
                <w:b/>
                <w:bCs/>
                <w:color w:val="000000"/>
                <w:kern w:val="2"/>
                <w:sz w:val="20"/>
                <w:szCs w:val="20"/>
                <w:lang w:val="tr-TR"/>
              </w:rPr>
              <w:t>REI</w:t>
            </w:r>
          </w:p>
        </w:tc>
        <w:tc>
          <w:tcPr>
            <w:tcW w:w="1686" w:type="dxa"/>
            <w:tcBorders>
              <w:top w:val="nil"/>
              <w:left w:val="nil"/>
              <w:bottom w:val="single" w:sz="8" w:space="0" w:color="000000"/>
              <w:right w:val="single" w:sz="8" w:space="0" w:color="000000"/>
            </w:tcBorders>
            <w:shd w:val="clear" w:color="000000" w:fill="D9E1F2"/>
            <w:vAlign w:val="center"/>
            <w:hideMark/>
          </w:tcPr>
          <w:p w14:paraId="3F34F835" w14:textId="77777777" w:rsidR="00347F37" w:rsidRPr="0043215C" w:rsidRDefault="00347F37" w:rsidP="00651F36">
            <w:pPr>
              <w:spacing w:after="0" w:line="240" w:lineRule="auto"/>
              <w:jc w:val="center"/>
              <w:rPr>
                <w:rFonts w:eastAsia="Times New Roman" w:cstheme="minorHAnsi"/>
                <w:b/>
                <w:bCs/>
                <w:color w:val="000000"/>
                <w:sz w:val="20"/>
                <w:szCs w:val="20"/>
              </w:rPr>
            </w:pPr>
            <w:r w:rsidRPr="0043215C">
              <w:rPr>
                <w:rFonts w:eastAsia="Times New Roman" w:cstheme="minorHAnsi"/>
                <w:b/>
                <w:bCs/>
                <w:color w:val="000000"/>
                <w:kern w:val="2"/>
                <w:sz w:val="20"/>
                <w:szCs w:val="20"/>
                <w:lang w:val="tr-TR"/>
              </w:rPr>
              <w:t>EBRD</w:t>
            </w:r>
          </w:p>
        </w:tc>
        <w:tc>
          <w:tcPr>
            <w:tcW w:w="1526" w:type="dxa"/>
            <w:tcBorders>
              <w:top w:val="nil"/>
              <w:left w:val="nil"/>
              <w:bottom w:val="single" w:sz="8" w:space="0" w:color="000000"/>
              <w:right w:val="single" w:sz="8" w:space="0" w:color="000000"/>
            </w:tcBorders>
            <w:shd w:val="clear" w:color="000000" w:fill="D9E1F2"/>
            <w:vAlign w:val="center"/>
            <w:hideMark/>
          </w:tcPr>
          <w:p w14:paraId="6E22D6A7" w14:textId="77777777" w:rsidR="00347F37" w:rsidRPr="0043215C" w:rsidRDefault="00347F37" w:rsidP="00651F36">
            <w:pPr>
              <w:spacing w:after="0" w:line="240" w:lineRule="auto"/>
              <w:jc w:val="center"/>
              <w:rPr>
                <w:rFonts w:eastAsia="Times New Roman" w:cstheme="minorHAnsi"/>
                <w:b/>
                <w:bCs/>
                <w:color w:val="000000"/>
                <w:sz w:val="20"/>
                <w:szCs w:val="20"/>
              </w:rPr>
            </w:pPr>
            <w:r w:rsidRPr="0043215C">
              <w:rPr>
                <w:rFonts w:eastAsia="Times New Roman" w:cstheme="minorHAnsi"/>
                <w:b/>
                <w:bCs/>
                <w:color w:val="000000"/>
                <w:kern w:val="2"/>
                <w:sz w:val="20"/>
                <w:szCs w:val="20"/>
                <w:lang w:val="tr-TR"/>
              </w:rPr>
              <w:t>IFC</w:t>
            </w:r>
          </w:p>
        </w:tc>
        <w:tc>
          <w:tcPr>
            <w:tcW w:w="1671" w:type="dxa"/>
            <w:tcBorders>
              <w:top w:val="nil"/>
              <w:left w:val="nil"/>
              <w:bottom w:val="single" w:sz="8" w:space="0" w:color="000000"/>
              <w:right w:val="single" w:sz="8" w:space="0" w:color="000000"/>
            </w:tcBorders>
            <w:shd w:val="clear" w:color="000000" w:fill="D9E1F2"/>
            <w:vAlign w:val="center"/>
            <w:hideMark/>
          </w:tcPr>
          <w:p w14:paraId="4991B6DC" w14:textId="77777777" w:rsidR="00347F37" w:rsidRPr="0043215C" w:rsidRDefault="00347F37" w:rsidP="00651F36">
            <w:pPr>
              <w:spacing w:after="0" w:line="240" w:lineRule="auto"/>
              <w:jc w:val="center"/>
              <w:rPr>
                <w:rFonts w:eastAsia="Times New Roman" w:cstheme="minorHAnsi"/>
                <w:b/>
                <w:bCs/>
                <w:color w:val="000000"/>
                <w:sz w:val="20"/>
                <w:szCs w:val="20"/>
              </w:rPr>
            </w:pPr>
            <w:r w:rsidRPr="0043215C">
              <w:rPr>
                <w:rFonts w:eastAsia="Times New Roman" w:cstheme="minorHAnsi"/>
                <w:b/>
                <w:bCs/>
                <w:color w:val="000000"/>
                <w:kern w:val="2"/>
                <w:sz w:val="20"/>
                <w:szCs w:val="20"/>
                <w:lang w:val="tr-TR"/>
              </w:rPr>
              <w:t>Private Sector</w:t>
            </w:r>
          </w:p>
        </w:tc>
        <w:tc>
          <w:tcPr>
            <w:tcW w:w="1011" w:type="dxa"/>
            <w:tcBorders>
              <w:top w:val="nil"/>
              <w:left w:val="nil"/>
              <w:bottom w:val="single" w:sz="8" w:space="0" w:color="000000"/>
              <w:right w:val="single" w:sz="8" w:space="0" w:color="000000"/>
            </w:tcBorders>
            <w:shd w:val="clear" w:color="000000" w:fill="D9E1F2"/>
            <w:vAlign w:val="center"/>
            <w:hideMark/>
          </w:tcPr>
          <w:p w14:paraId="7620E8DD" w14:textId="77777777" w:rsidR="00347F37" w:rsidRPr="0043215C" w:rsidRDefault="00347F37" w:rsidP="00651F36">
            <w:pPr>
              <w:spacing w:after="0" w:line="240" w:lineRule="auto"/>
              <w:jc w:val="center"/>
              <w:rPr>
                <w:rFonts w:eastAsia="Times New Roman" w:cstheme="minorHAnsi"/>
                <w:b/>
                <w:bCs/>
                <w:color w:val="000000"/>
                <w:sz w:val="20"/>
                <w:szCs w:val="20"/>
              </w:rPr>
            </w:pPr>
            <w:r w:rsidRPr="0043215C">
              <w:rPr>
                <w:rFonts w:eastAsia="Times New Roman" w:cstheme="minorHAnsi"/>
                <w:b/>
                <w:bCs/>
                <w:color w:val="000000"/>
                <w:kern w:val="2"/>
                <w:sz w:val="20"/>
                <w:szCs w:val="20"/>
                <w:lang w:val="tr-TR"/>
              </w:rPr>
              <w:t>Other</w:t>
            </w:r>
          </w:p>
        </w:tc>
        <w:tc>
          <w:tcPr>
            <w:tcW w:w="1009" w:type="dxa"/>
            <w:tcBorders>
              <w:top w:val="nil"/>
              <w:left w:val="nil"/>
              <w:bottom w:val="single" w:sz="8" w:space="0" w:color="000000"/>
              <w:right w:val="single" w:sz="8" w:space="0" w:color="000000"/>
            </w:tcBorders>
            <w:shd w:val="clear" w:color="000000" w:fill="D9E1F2"/>
            <w:vAlign w:val="center"/>
            <w:hideMark/>
          </w:tcPr>
          <w:p w14:paraId="67926968" w14:textId="77777777" w:rsidR="00347F37" w:rsidRPr="0043215C" w:rsidRDefault="00347F37" w:rsidP="00651F36">
            <w:pPr>
              <w:spacing w:after="0" w:line="240" w:lineRule="auto"/>
              <w:jc w:val="center"/>
              <w:rPr>
                <w:rFonts w:eastAsia="Times New Roman" w:cstheme="minorHAnsi"/>
                <w:b/>
                <w:bCs/>
                <w:color w:val="000000"/>
                <w:sz w:val="20"/>
                <w:szCs w:val="20"/>
              </w:rPr>
            </w:pPr>
            <w:r w:rsidRPr="0043215C">
              <w:rPr>
                <w:rFonts w:eastAsia="Times New Roman" w:cstheme="minorHAnsi"/>
                <w:b/>
                <w:bCs/>
                <w:color w:val="000000"/>
                <w:kern w:val="2"/>
                <w:sz w:val="20"/>
                <w:szCs w:val="20"/>
                <w:lang w:val="tr-TR"/>
              </w:rPr>
              <w:t>Total</w:t>
            </w:r>
          </w:p>
        </w:tc>
      </w:tr>
      <w:tr w:rsidR="00347F37" w:rsidRPr="0043215C" w14:paraId="33FA246F" w14:textId="77777777" w:rsidTr="00651F36">
        <w:trPr>
          <w:trHeight w:val="578"/>
        </w:trPr>
        <w:tc>
          <w:tcPr>
            <w:tcW w:w="1700" w:type="dxa"/>
            <w:tcBorders>
              <w:top w:val="nil"/>
              <w:left w:val="single" w:sz="8" w:space="0" w:color="000000"/>
              <w:bottom w:val="single" w:sz="8" w:space="0" w:color="000000"/>
              <w:right w:val="single" w:sz="8" w:space="0" w:color="000000"/>
            </w:tcBorders>
            <w:shd w:val="clear" w:color="auto" w:fill="auto"/>
            <w:vAlign w:val="center"/>
            <w:hideMark/>
          </w:tcPr>
          <w:p w14:paraId="72742F7E" w14:textId="77777777" w:rsidR="00347F37" w:rsidRPr="0043215C" w:rsidRDefault="00347F37" w:rsidP="00651F36">
            <w:pPr>
              <w:spacing w:after="0" w:line="240" w:lineRule="auto"/>
              <w:rPr>
                <w:rFonts w:eastAsia="Times New Roman" w:cstheme="minorHAnsi"/>
                <w:color w:val="000000"/>
                <w:sz w:val="20"/>
                <w:szCs w:val="20"/>
              </w:rPr>
            </w:pPr>
            <w:r w:rsidRPr="0043215C">
              <w:rPr>
                <w:rFonts w:eastAsia="Times New Roman" w:cstheme="minorHAnsi"/>
                <w:color w:val="000000"/>
                <w:kern w:val="2"/>
                <w:sz w:val="20"/>
                <w:szCs w:val="20"/>
                <w:lang w:val="tr-TR"/>
              </w:rPr>
              <w:t>Battery storage</w:t>
            </w:r>
          </w:p>
        </w:tc>
        <w:tc>
          <w:tcPr>
            <w:tcW w:w="67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4EEFE1" w14:textId="77777777" w:rsidR="00347F37" w:rsidRPr="0043215C" w:rsidRDefault="00347F37" w:rsidP="00651F36">
            <w:pPr>
              <w:spacing w:after="0" w:line="240" w:lineRule="auto"/>
              <w:jc w:val="center"/>
              <w:rPr>
                <w:rFonts w:eastAsia="Times New Roman" w:cstheme="minorHAnsi"/>
                <w:color w:val="000000"/>
                <w:sz w:val="20"/>
                <w:szCs w:val="20"/>
              </w:rPr>
            </w:pPr>
            <w:r w:rsidRPr="0043215C">
              <w:rPr>
                <w:rFonts w:eastAsia="Times New Roman" w:cstheme="minorHAnsi"/>
                <w:color w:val="000000"/>
                <w:kern w:val="2"/>
                <w:sz w:val="20"/>
                <w:szCs w:val="20"/>
                <w:lang w:val="tr-TR"/>
              </w:rPr>
              <w:t>30</w:t>
            </w:r>
          </w:p>
        </w:tc>
        <w:tc>
          <w:tcPr>
            <w:tcW w:w="16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55755C" w14:textId="77777777" w:rsidR="00347F37" w:rsidRPr="0043215C" w:rsidRDefault="00347F37" w:rsidP="00651F36">
            <w:pPr>
              <w:spacing w:after="0" w:line="240" w:lineRule="auto"/>
              <w:jc w:val="center"/>
              <w:rPr>
                <w:rFonts w:eastAsia="Times New Roman" w:cstheme="minorHAnsi"/>
                <w:color w:val="000000"/>
                <w:sz w:val="20"/>
                <w:szCs w:val="20"/>
              </w:rPr>
            </w:pPr>
            <w:r w:rsidRPr="0043215C">
              <w:rPr>
                <w:rFonts w:eastAsia="Times New Roman" w:cstheme="minorHAnsi"/>
                <w:color w:val="000000"/>
                <w:kern w:val="2"/>
                <w:sz w:val="20"/>
                <w:szCs w:val="20"/>
                <w:lang w:val="tr-TR"/>
              </w:rPr>
              <w:t>150</w:t>
            </w:r>
          </w:p>
        </w:tc>
        <w:tc>
          <w:tcPr>
            <w:tcW w:w="152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84368C" w14:textId="77777777" w:rsidR="00347F37" w:rsidRPr="0043215C" w:rsidRDefault="00347F37" w:rsidP="00651F36">
            <w:pPr>
              <w:spacing w:after="0" w:line="240" w:lineRule="auto"/>
              <w:jc w:val="center"/>
              <w:rPr>
                <w:rFonts w:eastAsia="Times New Roman" w:cstheme="minorHAnsi"/>
                <w:color w:val="000000"/>
                <w:sz w:val="20"/>
                <w:szCs w:val="20"/>
              </w:rPr>
            </w:pPr>
            <w:r w:rsidRPr="0043215C">
              <w:rPr>
                <w:rFonts w:eastAsia="Times New Roman" w:cstheme="minorHAnsi"/>
                <w:color w:val="000000"/>
                <w:kern w:val="2"/>
                <w:sz w:val="20"/>
                <w:szCs w:val="20"/>
                <w:lang w:val="tr-TR"/>
              </w:rPr>
              <w:t>150</w:t>
            </w:r>
          </w:p>
        </w:tc>
        <w:tc>
          <w:tcPr>
            <w:tcW w:w="167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D2D5074" w14:textId="77777777" w:rsidR="00347F37" w:rsidRPr="0043215C" w:rsidRDefault="00347F37" w:rsidP="00651F36">
            <w:pPr>
              <w:spacing w:after="0" w:line="240" w:lineRule="auto"/>
              <w:jc w:val="center"/>
              <w:rPr>
                <w:rFonts w:eastAsia="Times New Roman" w:cstheme="minorHAnsi"/>
                <w:color w:val="000000"/>
                <w:sz w:val="20"/>
                <w:szCs w:val="20"/>
              </w:rPr>
            </w:pPr>
            <w:r w:rsidRPr="0043215C">
              <w:rPr>
                <w:rFonts w:eastAsia="Times New Roman" w:cstheme="minorHAnsi"/>
                <w:color w:val="000000"/>
                <w:kern w:val="2"/>
                <w:sz w:val="20"/>
                <w:szCs w:val="20"/>
                <w:lang w:val="tr-TR"/>
              </w:rPr>
              <w:t>TBD</w:t>
            </w:r>
          </w:p>
        </w:tc>
        <w:tc>
          <w:tcPr>
            <w:tcW w:w="10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7469CD" w14:textId="77777777" w:rsidR="00347F37" w:rsidRPr="0043215C" w:rsidRDefault="00347F37" w:rsidP="00651F36">
            <w:pPr>
              <w:spacing w:after="0" w:line="240" w:lineRule="auto"/>
              <w:jc w:val="center"/>
              <w:rPr>
                <w:rFonts w:eastAsia="Times New Roman" w:cstheme="minorHAnsi"/>
                <w:color w:val="000000"/>
                <w:sz w:val="20"/>
                <w:szCs w:val="20"/>
              </w:rPr>
            </w:pPr>
            <w:r w:rsidRPr="0043215C">
              <w:rPr>
                <w:rFonts w:eastAsia="Times New Roman" w:cstheme="minorHAnsi"/>
                <w:color w:val="000000"/>
                <w:kern w:val="2"/>
                <w:sz w:val="20"/>
                <w:szCs w:val="20"/>
                <w:lang w:val="tr-TR"/>
              </w:rPr>
              <w:t>TBD</w:t>
            </w:r>
          </w:p>
        </w:tc>
        <w:tc>
          <w:tcPr>
            <w:tcW w:w="10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0BBA62" w14:textId="63D621C0" w:rsidR="00347F37" w:rsidRPr="0043215C" w:rsidRDefault="00347F37" w:rsidP="00651F36">
            <w:pPr>
              <w:spacing w:after="0" w:line="240" w:lineRule="auto"/>
              <w:jc w:val="center"/>
              <w:rPr>
                <w:rFonts w:eastAsia="Times New Roman" w:cstheme="minorHAnsi"/>
                <w:color w:val="000000"/>
                <w:sz w:val="20"/>
                <w:szCs w:val="20"/>
              </w:rPr>
            </w:pPr>
            <w:r w:rsidRPr="0043215C">
              <w:rPr>
                <w:rFonts w:eastAsia="Times New Roman" w:cstheme="minorHAnsi"/>
                <w:color w:val="000000"/>
                <w:kern w:val="2"/>
                <w:sz w:val="20"/>
                <w:szCs w:val="20"/>
                <w:lang w:val="tr-TR"/>
              </w:rPr>
              <w:t>330</w:t>
            </w:r>
          </w:p>
        </w:tc>
      </w:tr>
      <w:tr w:rsidR="00347F37" w:rsidRPr="0043215C" w14:paraId="4A54F62D" w14:textId="77777777" w:rsidTr="00651F36">
        <w:trPr>
          <w:trHeight w:val="293"/>
        </w:trPr>
        <w:tc>
          <w:tcPr>
            <w:tcW w:w="1700" w:type="dxa"/>
            <w:tcBorders>
              <w:top w:val="nil"/>
              <w:left w:val="single" w:sz="8" w:space="0" w:color="000000"/>
              <w:bottom w:val="single" w:sz="8" w:space="0" w:color="000000"/>
              <w:right w:val="single" w:sz="8" w:space="0" w:color="000000"/>
            </w:tcBorders>
            <w:shd w:val="clear" w:color="auto" w:fill="auto"/>
            <w:vAlign w:val="center"/>
            <w:hideMark/>
          </w:tcPr>
          <w:p w14:paraId="1E548035" w14:textId="77777777" w:rsidR="00347F37" w:rsidRPr="0043215C" w:rsidRDefault="00347F37" w:rsidP="00651F36">
            <w:pPr>
              <w:spacing w:after="0" w:line="240" w:lineRule="auto"/>
              <w:rPr>
                <w:rFonts w:eastAsia="Times New Roman" w:cstheme="minorHAnsi"/>
                <w:color w:val="000000"/>
                <w:sz w:val="20"/>
                <w:szCs w:val="20"/>
              </w:rPr>
            </w:pPr>
            <w:r w:rsidRPr="0043215C">
              <w:rPr>
                <w:rFonts w:eastAsia="Times New Roman" w:cstheme="minorHAnsi"/>
                <w:color w:val="000000"/>
                <w:kern w:val="2"/>
                <w:sz w:val="20"/>
                <w:szCs w:val="20"/>
                <w:lang w:val="tr-TR"/>
              </w:rPr>
              <w:t>E-Mobility</w:t>
            </w:r>
          </w:p>
        </w:tc>
        <w:tc>
          <w:tcPr>
            <w:tcW w:w="677" w:type="dxa"/>
            <w:vMerge/>
            <w:tcBorders>
              <w:top w:val="nil"/>
              <w:left w:val="single" w:sz="8" w:space="0" w:color="000000"/>
              <w:bottom w:val="single" w:sz="8" w:space="0" w:color="000000"/>
              <w:right w:val="single" w:sz="8" w:space="0" w:color="000000"/>
            </w:tcBorders>
            <w:vAlign w:val="center"/>
            <w:hideMark/>
          </w:tcPr>
          <w:p w14:paraId="2AC7287A" w14:textId="77777777" w:rsidR="00347F37" w:rsidRPr="0043215C" w:rsidRDefault="00347F37" w:rsidP="00651F36">
            <w:pPr>
              <w:spacing w:after="0" w:line="240" w:lineRule="auto"/>
              <w:jc w:val="left"/>
              <w:rPr>
                <w:rFonts w:eastAsia="Times New Roman" w:cstheme="minorHAnsi"/>
                <w:color w:val="000000"/>
                <w:sz w:val="20"/>
                <w:szCs w:val="20"/>
              </w:rPr>
            </w:pPr>
          </w:p>
        </w:tc>
        <w:tc>
          <w:tcPr>
            <w:tcW w:w="1686" w:type="dxa"/>
            <w:vMerge/>
            <w:tcBorders>
              <w:top w:val="nil"/>
              <w:left w:val="single" w:sz="8" w:space="0" w:color="000000"/>
              <w:bottom w:val="single" w:sz="8" w:space="0" w:color="000000"/>
              <w:right w:val="single" w:sz="8" w:space="0" w:color="000000"/>
            </w:tcBorders>
            <w:vAlign w:val="center"/>
            <w:hideMark/>
          </w:tcPr>
          <w:p w14:paraId="3568A524" w14:textId="77777777" w:rsidR="00347F37" w:rsidRPr="0043215C" w:rsidRDefault="00347F37" w:rsidP="00651F36">
            <w:pPr>
              <w:spacing w:after="0" w:line="240" w:lineRule="auto"/>
              <w:jc w:val="left"/>
              <w:rPr>
                <w:rFonts w:eastAsia="Times New Roman" w:cstheme="minorHAnsi"/>
                <w:color w:val="000000"/>
                <w:sz w:val="20"/>
                <w:szCs w:val="20"/>
              </w:rPr>
            </w:pPr>
          </w:p>
        </w:tc>
        <w:tc>
          <w:tcPr>
            <w:tcW w:w="1526" w:type="dxa"/>
            <w:vMerge/>
            <w:tcBorders>
              <w:top w:val="nil"/>
              <w:left w:val="single" w:sz="8" w:space="0" w:color="000000"/>
              <w:bottom w:val="single" w:sz="8" w:space="0" w:color="000000"/>
              <w:right w:val="single" w:sz="8" w:space="0" w:color="000000"/>
            </w:tcBorders>
            <w:vAlign w:val="center"/>
            <w:hideMark/>
          </w:tcPr>
          <w:p w14:paraId="0A94213C" w14:textId="77777777" w:rsidR="00347F37" w:rsidRPr="0043215C" w:rsidRDefault="00347F37" w:rsidP="00651F36">
            <w:pPr>
              <w:spacing w:after="0" w:line="240" w:lineRule="auto"/>
              <w:jc w:val="left"/>
              <w:rPr>
                <w:rFonts w:eastAsia="Times New Roman" w:cstheme="minorHAnsi"/>
                <w:color w:val="000000"/>
                <w:sz w:val="20"/>
                <w:szCs w:val="20"/>
              </w:rPr>
            </w:pPr>
          </w:p>
        </w:tc>
        <w:tc>
          <w:tcPr>
            <w:tcW w:w="1671" w:type="dxa"/>
            <w:vMerge/>
            <w:tcBorders>
              <w:top w:val="nil"/>
              <w:left w:val="single" w:sz="8" w:space="0" w:color="000000"/>
              <w:bottom w:val="single" w:sz="8" w:space="0" w:color="000000"/>
              <w:right w:val="single" w:sz="8" w:space="0" w:color="000000"/>
            </w:tcBorders>
            <w:vAlign w:val="center"/>
            <w:hideMark/>
          </w:tcPr>
          <w:p w14:paraId="6FCBB563" w14:textId="77777777" w:rsidR="00347F37" w:rsidRPr="0043215C" w:rsidRDefault="00347F37" w:rsidP="00651F36">
            <w:pPr>
              <w:spacing w:after="0" w:line="240" w:lineRule="auto"/>
              <w:jc w:val="left"/>
              <w:rPr>
                <w:rFonts w:eastAsia="Times New Roman" w:cstheme="minorHAnsi"/>
                <w:color w:val="000000"/>
                <w:sz w:val="20"/>
                <w:szCs w:val="20"/>
              </w:rPr>
            </w:pPr>
          </w:p>
        </w:tc>
        <w:tc>
          <w:tcPr>
            <w:tcW w:w="1011" w:type="dxa"/>
            <w:vMerge/>
            <w:tcBorders>
              <w:top w:val="nil"/>
              <w:left w:val="single" w:sz="8" w:space="0" w:color="000000"/>
              <w:bottom w:val="single" w:sz="8" w:space="0" w:color="000000"/>
              <w:right w:val="single" w:sz="8" w:space="0" w:color="000000"/>
            </w:tcBorders>
            <w:vAlign w:val="center"/>
            <w:hideMark/>
          </w:tcPr>
          <w:p w14:paraId="74FA98D0" w14:textId="77777777" w:rsidR="00347F37" w:rsidRPr="0043215C" w:rsidRDefault="00347F37" w:rsidP="00651F36">
            <w:pPr>
              <w:spacing w:after="0" w:line="240" w:lineRule="auto"/>
              <w:jc w:val="left"/>
              <w:rPr>
                <w:rFonts w:eastAsia="Times New Roman" w:cstheme="minorHAnsi"/>
                <w:color w:val="000000"/>
                <w:sz w:val="20"/>
                <w:szCs w:val="20"/>
              </w:rPr>
            </w:pPr>
          </w:p>
        </w:tc>
        <w:tc>
          <w:tcPr>
            <w:tcW w:w="1009" w:type="dxa"/>
            <w:vMerge/>
            <w:tcBorders>
              <w:top w:val="nil"/>
              <w:left w:val="single" w:sz="8" w:space="0" w:color="000000"/>
              <w:bottom w:val="single" w:sz="8" w:space="0" w:color="000000"/>
              <w:right w:val="single" w:sz="8" w:space="0" w:color="000000"/>
            </w:tcBorders>
            <w:vAlign w:val="center"/>
            <w:hideMark/>
          </w:tcPr>
          <w:p w14:paraId="4CC55B86" w14:textId="77777777" w:rsidR="00347F37" w:rsidRPr="0043215C" w:rsidRDefault="00347F37" w:rsidP="00651F36">
            <w:pPr>
              <w:spacing w:after="0" w:line="240" w:lineRule="auto"/>
              <w:jc w:val="left"/>
              <w:rPr>
                <w:rFonts w:eastAsia="Times New Roman" w:cstheme="minorHAnsi"/>
                <w:color w:val="000000"/>
                <w:sz w:val="20"/>
                <w:szCs w:val="20"/>
              </w:rPr>
            </w:pPr>
          </w:p>
        </w:tc>
      </w:tr>
      <w:tr w:rsidR="00347F37" w:rsidRPr="0043215C" w14:paraId="5B580390" w14:textId="77777777" w:rsidTr="00651F36">
        <w:trPr>
          <w:trHeight w:val="259"/>
        </w:trPr>
        <w:tc>
          <w:tcPr>
            <w:tcW w:w="1700" w:type="dxa"/>
            <w:tcBorders>
              <w:top w:val="nil"/>
              <w:left w:val="single" w:sz="8" w:space="0" w:color="000000"/>
              <w:bottom w:val="single" w:sz="8" w:space="0" w:color="000000"/>
              <w:right w:val="single" w:sz="8" w:space="0" w:color="000000"/>
            </w:tcBorders>
            <w:shd w:val="clear" w:color="auto" w:fill="auto"/>
            <w:vAlign w:val="center"/>
            <w:hideMark/>
          </w:tcPr>
          <w:p w14:paraId="3874F5AA" w14:textId="77777777" w:rsidR="00347F37" w:rsidRPr="0043215C" w:rsidRDefault="00347F37" w:rsidP="00651F36">
            <w:pPr>
              <w:spacing w:after="0" w:line="240" w:lineRule="auto"/>
              <w:rPr>
                <w:rFonts w:eastAsia="Times New Roman" w:cstheme="minorHAnsi"/>
                <w:color w:val="000000"/>
                <w:sz w:val="20"/>
                <w:szCs w:val="20"/>
              </w:rPr>
            </w:pPr>
            <w:r w:rsidRPr="0043215C">
              <w:rPr>
                <w:rFonts w:eastAsia="Times New Roman" w:cstheme="minorHAnsi"/>
                <w:color w:val="000000"/>
                <w:kern w:val="2"/>
                <w:sz w:val="20"/>
                <w:szCs w:val="20"/>
                <w:lang w:val="tr-TR"/>
              </w:rPr>
              <w:t>Digitalization</w:t>
            </w:r>
          </w:p>
        </w:tc>
        <w:tc>
          <w:tcPr>
            <w:tcW w:w="677" w:type="dxa"/>
            <w:vMerge/>
            <w:tcBorders>
              <w:top w:val="nil"/>
              <w:left w:val="single" w:sz="8" w:space="0" w:color="000000"/>
              <w:bottom w:val="single" w:sz="8" w:space="0" w:color="000000"/>
              <w:right w:val="single" w:sz="8" w:space="0" w:color="000000"/>
            </w:tcBorders>
            <w:vAlign w:val="center"/>
            <w:hideMark/>
          </w:tcPr>
          <w:p w14:paraId="7A014203" w14:textId="77777777" w:rsidR="00347F37" w:rsidRPr="0043215C" w:rsidRDefault="00347F37" w:rsidP="00651F36">
            <w:pPr>
              <w:spacing w:after="0" w:line="240" w:lineRule="auto"/>
              <w:jc w:val="left"/>
              <w:rPr>
                <w:rFonts w:eastAsia="Times New Roman" w:cstheme="minorHAnsi"/>
                <w:color w:val="000000"/>
                <w:sz w:val="20"/>
                <w:szCs w:val="20"/>
              </w:rPr>
            </w:pPr>
          </w:p>
        </w:tc>
        <w:tc>
          <w:tcPr>
            <w:tcW w:w="1686" w:type="dxa"/>
            <w:vMerge/>
            <w:tcBorders>
              <w:top w:val="nil"/>
              <w:left w:val="single" w:sz="8" w:space="0" w:color="000000"/>
              <w:bottom w:val="single" w:sz="8" w:space="0" w:color="000000"/>
              <w:right w:val="single" w:sz="8" w:space="0" w:color="000000"/>
            </w:tcBorders>
            <w:vAlign w:val="center"/>
            <w:hideMark/>
          </w:tcPr>
          <w:p w14:paraId="1D4E6354" w14:textId="77777777" w:rsidR="00347F37" w:rsidRPr="0043215C" w:rsidRDefault="00347F37" w:rsidP="00651F36">
            <w:pPr>
              <w:spacing w:after="0" w:line="240" w:lineRule="auto"/>
              <w:jc w:val="left"/>
              <w:rPr>
                <w:rFonts w:eastAsia="Times New Roman" w:cstheme="minorHAnsi"/>
                <w:color w:val="000000"/>
                <w:sz w:val="20"/>
                <w:szCs w:val="20"/>
              </w:rPr>
            </w:pPr>
          </w:p>
        </w:tc>
        <w:tc>
          <w:tcPr>
            <w:tcW w:w="1526" w:type="dxa"/>
            <w:vMerge/>
            <w:tcBorders>
              <w:top w:val="nil"/>
              <w:left w:val="single" w:sz="8" w:space="0" w:color="000000"/>
              <w:bottom w:val="single" w:sz="8" w:space="0" w:color="000000"/>
              <w:right w:val="single" w:sz="8" w:space="0" w:color="000000"/>
            </w:tcBorders>
            <w:vAlign w:val="center"/>
            <w:hideMark/>
          </w:tcPr>
          <w:p w14:paraId="63455944" w14:textId="77777777" w:rsidR="00347F37" w:rsidRPr="0043215C" w:rsidRDefault="00347F37" w:rsidP="00651F36">
            <w:pPr>
              <w:spacing w:after="0" w:line="240" w:lineRule="auto"/>
              <w:jc w:val="left"/>
              <w:rPr>
                <w:rFonts w:eastAsia="Times New Roman" w:cstheme="minorHAnsi"/>
                <w:color w:val="000000"/>
                <w:sz w:val="20"/>
                <w:szCs w:val="20"/>
              </w:rPr>
            </w:pPr>
          </w:p>
        </w:tc>
        <w:tc>
          <w:tcPr>
            <w:tcW w:w="1671" w:type="dxa"/>
            <w:vMerge/>
            <w:tcBorders>
              <w:top w:val="nil"/>
              <w:left w:val="single" w:sz="8" w:space="0" w:color="000000"/>
              <w:bottom w:val="single" w:sz="8" w:space="0" w:color="000000"/>
              <w:right w:val="single" w:sz="8" w:space="0" w:color="000000"/>
            </w:tcBorders>
            <w:vAlign w:val="center"/>
            <w:hideMark/>
          </w:tcPr>
          <w:p w14:paraId="767E780A" w14:textId="77777777" w:rsidR="00347F37" w:rsidRPr="0043215C" w:rsidRDefault="00347F37" w:rsidP="00651F36">
            <w:pPr>
              <w:spacing w:after="0" w:line="240" w:lineRule="auto"/>
              <w:jc w:val="left"/>
              <w:rPr>
                <w:rFonts w:eastAsia="Times New Roman" w:cstheme="minorHAnsi"/>
                <w:color w:val="000000"/>
                <w:sz w:val="20"/>
                <w:szCs w:val="20"/>
              </w:rPr>
            </w:pPr>
          </w:p>
        </w:tc>
        <w:tc>
          <w:tcPr>
            <w:tcW w:w="1011" w:type="dxa"/>
            <w:vMerge/>
            <w:tcBorders>
              <w:top w:val="nil"/>
              <w:left w:val="single" w:sz="8" w:space="0" w:color="000000"/>
              <w:bottom w:val="single" w:sz="8" w:space="0" w:color="000000"/>
              <w:right w:val="single" w:sz="8" w:space="0" w:color="000000"/>
            </w:tcBorders>
            <w:vAlign w:val="center"/>
            <w:hideMark/>
          </w:tcPr>
          <w:p w14:paraId="6CD01EE0" w14:textId="77777777" w:rsidR="00347F37" w:rsidRPr="0043215C" w:rsidRDefault="00347F37" w:rsidP="00651F36">
            <w:pPr>
              <w:spacing w:after="0" w:line="240" w:lineRule="auto"/>
              <w:jc w:val="left"/>
              <w:rPr>
                <w:rFonts w:eastAsia="Times New Roman" w:cstheme="minorHAnsi"/>
                <w:color w:val="000000"/>
                <w:sz w:val="20"/>
                <w:szCs w:val="20"/>
              </w:rPr>
            </w:pPr>
          </w:p>
        </w:tc>
        <w:tc>
          <w:tcPr>
            <w:tcW w:w="1009" w:type="dxa"/>
            <w:vMerge/>
            <w:tcBorders>
              <w:top w:val="nil"/>
              <w:left w:val="single" w:sz="8" w:space="0" w:color="000000"/>
              <w:bottom w:val="single" w:sz="8" w:space="0" w:color="000000"/>
              <w:right w:val="single" w:sz="8" w:space="0" w:color="000000"/>
            </w:tcBorders>
            <w:vAlign w:val="center"/>
            <w:hideMark/>
          </w:tcPr>
          <w:p w14:paraId="073D7256" w14:textId="77777777" w:rsidR="00347F37" w:rsidRPr="0043215C" w:rsidRDefault="00347F37" w:rsidP="00651F36">
            <w:pPr>
              <w:spacing w:after="0" w:line="240" w:lineRule="auto"/>
              <w:jc w:val="left"/>
              <w:rPr>
                <w:rFonts w:eastAsia="Times New Roman" w:cstheme="minorHAnsi"/>
                <w:color w:val="000000"/>
                <w:sz w:val="20"/>
                <w:szCs w:val="20"/>
              </w:rPr>
            </w:pPr>
          </w:p>
        </w:tc>
      </w:tr>
    </w:tbl>
    <w:p w14:paraId="5A8D9F9A" w14:textId="77777777" w:rsidR="00347F37" w:rsidRPr="0043215C" w:rsidRDefault="00347F37" w:rsidP="00347F37">
      <w:pPr>
        <w:pStyle w:val="Heading2"/>
        <w:spacing w:before="0" w:line="240" w:lineRule="auto"/>
        <w:rPr>
          <w:rFonts w:cstheme="minorHAnsi"/>
          <w:i/>
          <w:iCs/>
          <w:sz w:val="20"/>
          <w:szCs w:val="20"/>
        </w:rPr>
      </w:pPr>
    </w:p>
    <w:p w14:paraId="0630AD31" w14:textId="77777777" w:rsidR="00347F37" w:rsidRPr="0043215C" w:rsidRDefault="00347F37" w:rsidP="00347F37">
      <w:pPr>
        <w:pStyle w:val="Heading2"/>
        <w:spacing w:before="0" w:line="240" w:lineRule="auto"/>
        <w:rPr>
          <w:rFonts w:cstheme="minorHAnsi"/>
          <w:i/>
          <w:iCs/>
          <w:sz w:val="20"/>
          <w:szCs w:val="20"/>
        </w:rPr>
      </w:pPr>
      <w:bookmarkStart w:id="266" w:name="_Toc170211407"/>
      <w:bookmarkStart w:id="267" w:name="_Toc170319874"/>
      <w:r w:rsidRPr="0043215C">
        <w:rPr>
          <w:rFonts w:cstheme="minorHAnsi"/>
          <w:i/>
          <w:iCs/>
          <w:sz w:val="20"/>
          <w:szCs w:val="20"/>
        </w:rPr>
        <w:t>Project preparation timetable</w:t>
      </w:r>
      <w:bookmarkEnd w:id="261"/>
      <w:bookmarkEnd w:id="262"/>
      <w:bookmarkEnd w:id="263"/>
      <w:bookmarkEnd w:id="264"/>
      <w:bookmarkEnd w:id="265"/>
      <w:bookmarkEnd w:id="266"/>
      <w:bookmarkEnd w:id="267"/>
      <w:r w:rsidRPr="0043215C">
        <w:rPr>
          <w:rFonts w:cstheme="minorHAnsi"/>
          <w:i/>
          <w:iCs/>
          <w:sz w:val="20"/>
          <w:szCs w:val="20"/>
        </w:rPr>
        <w:t xml:space="preserve"> </w:t>
      </w:r>
    </w:p>
    <w:p w14:paraId="1470E6E7" w14:textId="77777777" w:rsidR="00347F37" w:rsidRPr="0043215C" w:rsidRDefault="00347F37" w:rsidP="00347F37">
      <w:pPr>
        <w:spacing w:after="0" w:line="240" w:lineRule="auto"/>
        <w:rPr>
          <w:rFonts w:cstheme="minorHAnsi"/>
          <w:sz w:val="20"/>
          <w:szCs w:val="20"/>
          <w:u w:val="single"/>
        </w:rPr>
      </w:pPr>
    </w:p>
    <w:p w14:paraId="4A56E4F0" w14:textId="77777777" w:rsidR="00347F37" w:rsidRDefault="00347F37" w:rsidP="00347F37">
      <w:pPr>
        <w:spacing w:after="0" w:line="240" w:lineRule="auto"/>
        <w:rPr>
          <w:rFonts w:cstheme="minorHAnsi"/>
          <w:sz w:val="20"/>
          <w:szCs w:val="20"/>
        </w:rPr>
      </w:pPr>
      <w:r w:rsidRPr="0043215C">
        <w:rPr>
          <w:rFonts w:cstheme="minorHAnsi"/>
          <w:sz w:val="20"/>
          <w:szCs w:val="20"/>
        </w:rPr>
        <w:t xml:space="preserve">The detailed timeline for the three sub-components will be developed once the proposed IP program is endorsed by the CTF Committee. It is tentatively expected that implementation of the battery storage, e-mobility, and digitalization projects could start early after approval or in 2025, depending on the licensing and permitting processes, among other factors. EBRD and IFC have already begun engaging with potential clients and expect to be submit projects for CTF Committee approval within timelines consistent with the CIF Pipeline Management and Cancellation Policy. </w:t>
      </w:r>
    </w:p>
    <w:p w14:paraId="26D9DD83" w14:textId="0F13B107" w:rsidR="000C47A4" w:rsidRDefault="000C47A4">
      <w:pPr>
        <w:jc w:val="left"/>
        <w:rPr>
          <w:rFonts w:cstheme="minorHAnsi"/>
          <w:sz w:val="20"/>
          <w:szCs w:val="20"/>
        </w:rPr>
      </w:pPr>
      <w:r>
        <w:rPr>
          <w:rFonts w:cstheme="minorHAnsi"/>
          <w:sz w:val="20"/>
          <w:szCs w:val="20"/>
        </w:rPr>
        <w:br w:type="page"/>
      </w:r>
    </w:p>
    <w:p w14:paraId="6733DB8F" w14:textId="02DBE8F7" w:rsidR="000C47A4" w:rsidRPr="007C03F8" w:rsidRDefault="000C47A4" w:rsidP="007C03F8">
      <w:pPr>
        <w:pStyle w:val="Heading3"/>
        <w:rPr>
          <w:rFonts w:cstheme="minorHAnsi"/>
          <w:sz w:val="20"/>
          <w:szCs w:val="20"/>
        </w:rPr>
      </w:pPr>
      <w:bookmarkStart w:id="268" w:name="_Toc170319875"/>
      <w:r w:rsidRPr="0043215C">
        <w:rPr>
          <w:rFonts w:cstheme="minorHAnsi"/>
          <w:sz w:val="20"/>
          <w:szCs w:val="20"/>
        </w:rPr>
        <w:lastRenderedPageBreak/>
        <w:t xml:space="preserve">ANNEX </w:t>
      </w:r>
      <w:r w:rsidR="00B11E3A" w:rsidRPr="007C03F8">
        <w:rPr>
          <w:rFonts w:cstheme="minorHAnsi"/>
          <w:sz w:val="20"/>
          <w:szCs w:val="20"/>
        </w:rPr>
        <w:t>10</w:t>
      </w:r>
      <w:r w:rsidRPr="0043215C">
        <w:rPr>
          <w:rFonts w:cstheme="minorHAnsi"/>
          <w:sz w:val="20"/>
          <w:szCs w:val="20"/>
        </w:rPr>
        <w:t xml:space="preserve">. </w:t>
      </w:r>
      <w:r w:rsidR="00B11E3A" w:rsidRPr="007C03F8">
        <w:rPr>
          <w:rFonts w:cstheme="minorHAnsi"/>
          <w:sz w:val="20"/>
          <w:szCs w:val="20"/>
        </w:rPr>
        <w:t xml:space="preserve">The </w:t>
      </w:r>
      <w:r w:rsidR="00837DB0" w:rsidRPr="007C03F8">
        <w:rPr>
          <w:rFonts w:cstheme="minorHAnsi"/>
          <w:sz w:val="20"/>
          <w:szCs w:val="20"/>
        </w:rPr>
        <w:t xml:space="preserve">Correspondence on the </w:t>
      </w:r>
      <w:r w:rsidR="00B11E3A" w:rsidRPr="007C03F8">
        <w:rPr>
          <w:rFonts w:cstheme="minorHAnsi"/>
          <w:sz w:val="20"/>
          <w:szCs w:val="20"/>
        </w:rPr>
        <w:t>Government’s Final Decision on the Components 1 and 3:</w:t>
      </w:r>
      <w:bookmarkEnd w:id="268"/>
    </w:p>
    <w:p w14:paraId="7F22619A" w14:textId="77777777" w:rsidR="007C03F8" w:rsidRPr="00D63B46" w:rsidRDefault="007C03F8" w:rsidP="007C03F8">
      <w:pPr>
        <w:pStyle w:val="NormalWeb"/>
        <w:outlineLvl w:val="0"/>
        <w:rPr>
          <w:color w:val="000000"/>
        </w:rPr>
      </w:pPr>
      <w:bookmarkStart w:id="269" w:name="_MailEndCompose"/>
      <w:bookmarkStart w:id="270" w:name="_Toc170319876"/>
      <w:r w:rsidRPr="00D63B46">
        <w:rPr>
          <w:b/>
          <w:bCs/>
          <w:color w:val="000000"/>
        </w:rPr>
        <w:t>From:</w:t>
      </w:r>
      <w:r w:rsidRPr="00D63B46">
        <w:rPr>
          <w:color w:val="000000"/>
        </w:rPr>
        <w:t xml:space="preserve"> Yesim Akcollu </w:t>
      </w:r>
      <w:r w:rsidRPr="00D63B46">
        <w:rPr>
          <w:color w:val="000000"/>
        </w:rPr>
        <w:br/>
      </w:r>
      <w:r w:rsidRPr="00D63B46">
        <w:rPr>
          <w:b/>
          <w:bCs/>
          <w:color w:val="000000"/>
        </w:rPr>
        <w:t>Sent:</w:t>
      </w:r>
      <w:r w:rsidRPr="00D63B46">
        <w:rPr>
          <w:color w:val="000000"/>
        </w:rPr>
        <w:t xml:space="preserve"> Thursday, May 30, 2024 3:17 PM</w:t>
      </w:r>
      <w:r w:rsidRPr="00D63B46">
        <w:rPr>
          <w:color w:val="000000"/>
        </w:rPr>
        <w:br/>
      </w:r>
      <w:r w:rsidRPr="00D63B46">
        <w:rPr>
          <w:b/>
          <w:bCs/>
          <w:color w:val="000000"/>
        </w:rPr>
        <w:t>To:</w:t>
      </w:r>
      <w:r w:rsidRPr="00D63B46">
        <w:rPr>
          <w:color w:val="000000"/>
        </w:rPr>
        <w:t xml:space="preserve"> Tuba YALIM &lt;</w:t>
      </w:r>
      <w:hyperlink r:id="rId25" w:history="1">
        <w:r w:rsidRPr="00D63B46">
          <w:rPr>
            <w:rStyle w:val="Hyperlink"/>
            <w:rFonts w:eastAsiaTheme="majorEastAsia"/>
          </w:rPr>
          <w:t>tuba.yalim@hmb.gov.tr</w:t>
        </w:r>
      </w:hyperlink>
      <w:r w:rsidRPr="00D63B46">
        <w:rPr>
          <w:color w:val="000000"/>
        </w:rPr>
        <w:t xml:space="preserve">&gt;; </w:t>
      </w:r>
      <w:hyperlink r:id="rId26" w:history="1">
        <w:r w:rsidRPr="00D63B46">
          <w:rPr>
            <w:rStyle w:val="Hyperlink"/>
            <w:rFonts w:eastAsiaTheme="majorEastAsia"/>
          </w:rPr>
          <w:t>ozgur.turkeri@hmb.gov.tr</w:t>
        </w:r>
      </w:hyperlink>
      <w:r w:rsidRPr="00D63B46">
        <w:rPr>
          <w:color w:val="000000"/>
        </w:rPr>
        <w:t>; Engin Bostancı &lt;</w:t>
      </w:r>
      <w:hyperlink r:id="rId27" w:history="1">
        <w:r w:rsidRPr="00D63B46">
          <w:rPr>
            <w:rStyle w:val="Hyperlink"/>
            <w:rFonts w:eastAsiaTheme="majorEastAsia"/>
          </w:rPr>
          <w:t>ebostanci@enerji.gov.tr</w:t>
        </w:r>
      </w:hyperlink>
      <w:r w:rsidRPr="00D63B46">
        <w:rPr>
          <w:color w:val="000000"/>
        </w:rPr>
        <w:t>&gt;</w:t>
      </w:r>
      <w:r w:rsidRPr="00D63B46">
        <w:rPr>
          <w:color w:val="000000"/>
        </w:rPr>
        <w:br/>
      </w:r>
      <w:r w:rsidRPr="00D63B46">
        <w:rPr>
          <w:b/>
          <w:bCs/>
          <w:color w:val="000000"/>
        </w:rPr>
        <w:t>Cc:</w:t>
      </w:r>
      <w:r w:rsidRPr="00D63B46">
        <w:rPr>
          <w:color w:val="000000"/>
        </w:rPr>
        <w:t xml:space="preserve"> Tendai Madenyika &lt;</w:t>
      </w:r>
      <w:hyperlink r:id="rId28" w:history="1">
        <w:r w:rsidRPr="00D63B46">
          <w:rPr>
            <w:rStyle w:val="Hyperlink"/>
            <w:rFonts w:eastAsiaTheme="majorEastAsia"/>
          </w:rPr>
          <w:t>tmadenyika@ifc.org</w:t>
        </w:r>
      </w:hyperlink>
      <w:r w:rsidRPr="00D63B46">
        <w:rPr>
          <w:color w:val="000000"/>
        </w:rPr>
        <w:t>&gt;; Frank van der Vleuten &lt;</w:t>
      </w:r>
      <w:hyperlink r:id="rId29" w:history="1">
        <w:r w:rsidRPr="00D63B46">
          <w:rPr>
            <w:rStyle w:val="Hyperlink"/>
            <w:rFonts w:eastAsiaTheme="majorEastAsia"/>
          </w:rPr>
          <w:t>fvandervleuten@worldbank.org</w:t>
        </w:r>
      </w:hyperlink>
      <w:r w:rsidRPr="00D63B46">
        <w:rPr>
          <w:color w:val="000000"/>
        </w:rPr>
        <w:t>&gt;; Megan Meyer &lt;</w:t>
      </w:r>
      <w:hyperlink r:id="rId30" w:history="1">
        <w:r w:rsidRPr="00D63B46">
          <w:rPr>
            <w:rStyle w:val="Hyperlink"/>
            <w:rFonts w:eastAsiaTheme="majorEastAsia"/>
          </w:rPr>
          <w:t>mmeyer1@worldbank.org</w:t>
        </w:r>
      </w:hyperlink>
      <w:r w:rsidRPr="00D63B46">
        <w:rPr>
          <w:color w:val="000000"/>
        </w:rPr>
        <w:t>&gt;; Andrey Shlyakhtenko &lt;</w:t>
      </w:r>
      <w:hyperlink r:id="rId31" w:history="1">
        <w:r w:rsidRPr="00D63B46">
          <w:rPr>
            <w:rStyle w:val="Hyperlink"/>
            <w:rFonts w:eastAsiaTheme="majorEastAsia"/>
          </w:rPr>
          <w:t>ashlyakhtenko@ifc.org</w:t>
        </w:r>
      </w:hyperlink>
      <w:r w:rsidRPr="00D63B46">
        <w:rPr>
          <w:color w:val="000000"/>
        </w:rPr>
        <w:t>&gt;; Sudipta Husain &lt;</w:t>
      </w:r>
      <w:hyperlink r:id="rId32" w:history="1">
        <w:r w:rsidRPr="00D63B46">
          <w:rPr>
            <w:rStyle w:val="Hyperlink"/>
            <w:rFonts w:eastAsiaTheme="majorEastAsia"/>
          </w:rPr>
          <w:t>shusain3@ifc.org</w:t>
        </w:r>
      </w:hyperlink>
      <w:r w:rsidRPr="00D63B46">
        <w:rPr>
          <w:color w:val="000000"/>
        </w:rPr>
        <w:t>&gt;; Fatih Avci &lt;</w:t>
      </w:r>
      <w:hyperlink r:id="rId33" w:history="1">
        <w:r w:rsidRPr="00D63B46">
          <w:rPr>
            <w:rStyle w:val="Hyperlink"/>
            <w:rFonts w:eastAsiaTheme="majorEastAsia"/>
          </w:rPr>
          <w:t>favci@ifc.org</w:t>
        </w:r>
      </w:hyperlink>
      <w:r w:rsidRPr="00D63B46">
        <w:rPr>
          <w:color w:val="000000"/>
        </w:rPr>
        <w:t>&gt;; Stephan Claude Frederic Garnier &lt;</w:t>
      </w:r>
      <w:hyperlink r:id="rId34" w:history="1">
        <w:r w:rsidRPr="00D63B46">
          <w:rPr>
            <w:rStyle w:val="Hyperlink"/>
            <w:rFonts w:eastAsiaTheme="majorEastAsia"/>
          </w:rPr>
          <w:t>sgarnier@worldbank.org</w:t>
        </w:r>
      </w:hyperlink>
      <w:r w:rsidRPr="00D63B46">
        <w:rPr>
          <w:color w:val="000000"/>
        </w:rPr>
        <w:t>&gt;; Ozge Ozden &lt;</w:t>
      </w:r>
      <w:hyperlink r:id="rId35" w:history="1">
        <w:r w:rsidRPr="00D63B46">
          <w:rPr>
            <w:rStyle w:val="Hyperlink"/>
            <w:rFonts w:eastAsiaTheme="majorEastAsia"/>
          </w:rPr>
          <w:t>oozden@worldbank.org</w:t>
        </w:r>
      </w:hyperlink>
      <w:r w:rsidRPr="00D63B46">
        <w:rPr>
          <w:color w:val="000000"/>
        </w:rPr>
        <w:t>&gt;; Debabrata Chattopadhyay &lt;</w:t>
      </w:r>
      <w:hyperlink r:id="rId36" w:history="1">
        <w:r w:rsidRPr="00D63B46">
          <w:rPr>
            <w:rStyle w:val="Hyperlink"/>
            <w:rFonts w:eastAsiaTheme="majorEastAsia"/>
          </w:rPr>
          <w:t>dchattopadhyay@worldbank.org</w:t>
        </w:r>
      </w:hyperlink>
      <w:r w:rsidRPr="00D63B46">
        <w:rPr>
          <w:color w:val="000000"/>
        </w:rPr>
        <w:t>&gt;; 'Seckin Ulgen' &lt;</w:t>
      </w:r>
      <w:hyperlink r:id="rId37" w:history="1">
        <w:r w:rsidRPr="00D63B46">
          <w:rPr>
            <w:rStyle w:val="Hyperlink"/>
            <w:rFonts w:eastAsiaTheme="majorEastAsia"/>
          </w:rPr>
          <w:t>nseckinulgen@gmail.com</w:t>
        </w:r>
      </w:hyperlink>
      <w:r w:rsidRPr="00D63B46">
        <w:rPr>
          <w:color w:val="000000"/>
        </w:rPr>
        <w:t>&gt;; 'Daniel Morris' &lt;</w:t>
      </w:r>
      <w:hyperlink r:id="rId38" w:history="1">
        <w:r w:rsidRPr="00D63B46">
          <w:rPr>
            <w:rStyle w:val="Hyperlink"/>
            <w:rFonts w:eastAsiaTheme="majorEastAsia"/>
          </w:rPr>
          <w:t>dmorris3@worldbank.org</w:t>
        </w:r>
      </w:hyperlink>
      <w:r w:rsidRPr="00D63B46">
        <w:rPr>
          <w:color w:val="000000"/>
        </w:rPr>
        <w:t>&gt;; 'Jimmy Pannett' &lt;</w:t>
      </w:r>
      <w:hyperlink r:id="rId39" w:history="1">
        <w:r w:rsidRPr="00D63B46">
          <w:rPr>
            <w:rStyle w:val="Hyperlink"/>
            <w:rFonts w:eastAsiaTheme="majorEastAsia"/>
          </w:rPr>
          <w:t>jpannett@worldbank.org</w:t>
        </w:r>
      </w:hyperlink>
      <w:r w:rsidRPr="00D63B46">
        <w:rPr>
          <w:color w:val="000000"/>
        </w:rPr>
        <w:t>&gt;; 'Kilic, Sule' &lt;</w:t>
      </w:r>
      <w:hyperlink r:id="rId40" w:history="1">
        <w:r w:rsidRPr="00D63B46">
          <w:rPr>
            <w:rStyle w:val="Hyperlink"/>
            <w:rFonts w:eastAsiaTheme="majorEastAsia"/>
          </w:rPr>
          <w:t>KILICS@ebrd.com</w:t>
        </w:r>
      </w:hyperlink>
      <w:r w:rsidRPr="00D63B46">
        <w:rPr>
          <w:color w:val="000000"/>
        </w:rPr>
        <w:t>&gt;; 'Askin, Muharrem' &lt;</w:t>
      </w:r>
      <w:hyperlink r:id="rId41" w:history="1">
        <w:r w:rsidRPr="00D63B46">
          <w:rPr>
            <w:rStyle w:val="Hyperlink"/>
            <w:rFonts w:eastAsiaTheme="majorEastAsia"/>
          </w:rPr>
          <w:t>ASKINM@ebrd.com</w:t>
        </w:r>
      </w:hyperlink>
      <w:r w:rsidRPr="00D63B46">
        <w:rPr>
          <w:color w:val="000000"/>
        </w:rPr>
        <w:t>&gt;; 'Yasar, Mehmet Erdem' &lt;</w:t>
      </w:r>
      <w:hyperlink r:id="rId42" w:history="1">
        <w:r w:rsidRPr="00D63B46">
          <w:rPr>
            <w:rStyle w:val="Hyperlink"/>
            <w:rFonts w:eastAsiaTheme="majorEastAsia"/>
          </w:rPr>
          <w:t>yasarm@ebrd.com</w:t>
        </w:r>
      </w:hyperlink>
      <w:r w:rsidRPr="00D63B46">
        <w:rPr>
          <w:color w:val="000000"/>
        </w:rPr>
        <w:t xml:space="preserve">&gt;; 'Tezcan, </w:t>
      </w:r>
      <w:proofErr w:type="spellStart"/>
      <w:r w:rsidRPr="00D63B46">
        <w:rPr>
          <w:color w:val="000000"/>
        </w:rPr>
        <w:t>Can'</w:t>
      </w:r>
      <w:proofErr w:type="spellEnd"/>
      <w:r w:rsidRPr="00D63B46">
        <w:rPr>
          <w:color w:val="000000"/>
        </w:rPr>
        <w:t xml:space="preserve"> &lt;</w:t>
      </w:r>
      <w:hyperlink r:id="rId43" w:history="1">
        <w:r w:rsidRPr="00D63B46">
          <w:rPr>
            <w:rStyle w:val="Hyperlink"/>
            <w:rFonts w:eastAsiaTheme="majorEastAsia"/>
          </w:rPr>
          <w:t>TEZCANC@ebrd.com</w:t>
        </w:r>
      </w:hyperlink>
      <w:r w:rsidRPr="00D63B46">
        <w:rPr>
          <w:color w:val="000000"/>
        </w:rPr>
        <w:t>&gt;; Byambasuren Chuluunbat &lt;</w:t>
      </w:r>
      <w:hyperlink r:id="rId44" w:history="1">
        <w:r w:rsidRPr="00D63B46">
          <w:rPr>
            <w:rStyle w:val="Hyperlink"/>
            <w:rFonts w:eastAsiaTheme="majorEastAsia"/>
          </w:rPr>
          <w:t>bchuluunbat1@worldbank.org</w:t>
        </w:r>
      </w:hyperlink>
      <w:r w:rsidRPr="00D63B46">
        <w:rPr>
          <w:color w:val="000000"/>
        </w:rPr>
        <w:t>&gt;; Alan David Lee &lt;</w:t>
      </w:r>
      <w:hyperlink r:id="rId45" w:history="1">
        <w:r w:rsidRPr="00D63B46">
          <w:rPr>
            <w:rStyle w:val="Hyperlink"/>
            <w:rFonts w:eastAsiaTheme="majorEastAsia"/>
          </w:rPr>
          <w:t>adlee@worldbank.org</w:t>
        </w:r>
      </w:hyperlink>
      <w:r w:rsidRPr="00D63B46">
        <w:rPr>
          <w:color w:val="000000"/>
        </w:rPr>
        <w:t>&gt;; Simay Duman &lt;</w:t>
      </w:r>
      <w:hyperlink r:id="rId46" w:history="1">
        <w:r w:rsidRPr="00D63B46">
          <w:rPr>
            <w:rStyle w:val="Hyperlink"/>
            <w:rFonts w:eastAsiaTheme="majorEastAsia"/>
          </w:rPr>
          <w:t>sduman@worldbank.org</w:t>
        </w:r>
      </w:hyperlink>
      <w:r w:rsidRPr="00D63B46">
        <w:rPr>
          <w:color w:val="000000"/>
        </w:rPr>
        <w:t>&gt;; Eyup Mermer &lt;</w:t>
      </w:r>
      <w:hyperlink r:id="rId47" w:history="1">
        <w:r w:rsidRPr="00D63B46">
          <w:rPr>
            <w:rStyle w:val="Hyperlink"/>
            <w:rFonts w:eastAsiaTheme="majorEastAsia"/>
          </w:rPr>
          <w:t>emermer@worldbank.org</w:t>
        </w:r>
      </w:hyperlink>
      <w:r w:rsidRPr="00D63B46">
        <w:rPr>
          <w:color w:val="000000"/>
        </w:rPr>
        <w:t>&gt;; Jimmy Pannett &lt;</w:t>
      </w:r>
      <w:hyperlink r:id="rId48" w:history="1">
        <w:r w:rsidRPr="00D63B46">
          <w:rPr>
            <w:rStyle w:val="Hyperlink"/>
            <w:rFonts w:eastAsiaTheme="majorEastAsia"/>
          </w:rPr>
          <w:t>jpannett@cif.org</w:t>
        </w:r>
      </w:hyperlink>
      <w:r w:rsidRPr="00D63B46">
        <w:rPr>
          <w:color w:val="000000"/>
        </w:rPr>
        <w:t>&gt;; Daniel Morris &lt;</w:t>
      </w:r>
      <w:hyperlink r:id="rId49" w:history="1">
        <w:r w:rsidRPr="00D63B46">
          <w:rPr>
            <w:rStyle w:val="Hyperlink"/>
            <w:rFonts w:eastAsiaTheme="majorEastAsia"/>
          </w:rPr>
          <w:t>danielmorris@cif.org</w:t>
        </w:r>
      </w:hyperlink>
      <w:r w:rsidRPr="00D63B46">
        <w:rPr>
          <w:color w:val="000000"/>
        </w:rPr>
        <w:t>&gt;; 'Tuba YALIM' &lt;</w:t>
      </w:r>
      <w:hyperlink r:id="rId50" w:history="1">
        <w:r w:rsidRPr="00D63B46">
          <w:rPr>
            <w:rStyle w:val="Hyperlink"/>
            <w:rFonts w:eastAsiaTheme="majorEastAsia"/>
          </w:rPr>
          <w:t>tuba.yalim@hmb.gov.tr</w:t>
        </w:r>
      </w:hyperlink>
      <w:r w:rsidRPr="00D63B46">
        <w:rPr>
          <w:color w:val="000000"/>
        </w:rPr>
        <w:t>&gt;; 'Engin Bostancı' &lt;</w:t>
      </w:r>
      <w:hyperlink r:id="rId51" w:history="1">
        <w:r w:rsidRPr="00D63B46">
          <w:rPr>
            <w:rStyle w:val="Hyperlink"/>
            <w:rFonts w:eastAsiaTheme="majorEastAsia"/>
          </w:rPr>
          <w:t>ebostanci@enerji.gov.tr</w:t>
        </w:r>
      </w:hyperlink>
      <w:r w:rsidRPr="00D63B46">
        <w:rPr>
          <w:color w:val="000000"/>
        </w:rPr>
        <w:t>&gt;; 'Gozde Ertemir' &lt;</w:t>
      </w:r>
      <w:hyperlink r:id="rId52" w:history="1">
        <w:r w:rsidRPr="00D63B46">
          <w:rPr>
            <w:rStyle w:val="Hyperlink"/>
            <w:rFonts w:eastAsiaTheme="majorEastAsia"/>
          </w:rPr>
          <w:t>gertemir@enerji.gov.tr</w:t>
        </w:r>
      </w:hyperlink>
      <w:r w:rsidRPr="00D63B46">
        <w:rPr>
          <w:color w:val="000000"/>
        </w:rPr>
        <w:t>&gt;; Fatih Avci &lt;</w:t>
      </w:r>
      <w:hyperlink r:id="rId53" w:history="1">
        <w:r w:rsidRPr="00D63B46">
          <w:rPr>
            <w:rStyle w:val="Hyperlink"/>
            <w:rFonts w:eastAsiaTheme="majorEastAsia"/>
          </w:rPr>
          <w:t>favci@ifc.org</w:t>
        </w:r>
      </w:hyperlink>
      <w:r w:rsidRPr="00D63B46">
        <w:rPr>
          <w:color w:val="000000"/>
        </w:rPr>
        <w:t>&gt;; Sudipta Husain &lt;</w:t>
      </w:r>
      <w:hyperlink r:id="rId54" w:history="1">
        <w:r w:rsidRPr="00D63B46">
          <w:rPr>
            <w:rStyle w:val="Hyperlink"/>
            <w:rFonts w:eastAsiaTheme="majorEastAsia"/>
          </w:rPr>
          <w:t>shusain3@ifc.org</w:t>
        </w:r>
      </w:hyperlink>
      <w:r w:rsidRPr="00D63B46">
        <w:rPr>
          <w:color w:val="000000"/>
        </w:rPr>
        <w:t>&gt;; Elif Karakas Oglak &lt;</w:t>
      </w:r>
      <w:hyperlink r:id="rId55" w:history="1">
        <w:r w:rsidRPr="00D63B46">
          <w:rPr>
            <w:rStyle w:val="Hyperlink"/>
            <w:rFonts w:eastAsiaTheme="majorEastAsia"/>
          </w:rPr>
          <w:t>elkarakas@ifc.org</w:t>
        </w:r>
      </w:hyperlink>
      <w:r w:rsidRPr="00D63B46">
        <w:rPr>
          <w:color w:val="000000"/>
        </w:rPr>
        <w:t>&gt;; Eyup Mermer &lt;</w:t>
      </w:r>
      <w:hyperlink r:id="rId56" w:history="1">
        <w:r w:rsidRPr="00D63B46">
          <w:rPr>
            <w:rStyle w:val="Hyperlink"/>
            <w:rFonts w:eastAsiaTheme="majorEastAsia"/>
          </w:rPr>
          <w:t>emermer@worldbank.org</w:t>
        </w:r>
      </w:hyperlink>
      <w:r w:rsidRPr="00D63B46">
        <w:rPr>
          <w:color w:val="000000"/>
        </w:rPr>
        <w:t>&gt;; Buse Ucanlar &lt;</w:t>
      </w:r>
      <w:hyperlink r:id="rId57" w:history="1">
        <w:r w:rsidRPr="00D63B46">
          <w:rPr>
            <w:rStyle w:val="Hyperlink"/>
            <w:rFonts w:eastAsiaTheme="majorEastAsia"/>
          </w:rPr>
          <w:t>bucanlar@worldbank.org</w:t>
        </w:r>
      </w:hyperlink>
      <w:r w:rsidRPr="00D63B46">
        <w:rPr>
          <w:color w:val="000000"/>
        </w:rPr>
        <w:t>&gt;; 'iklim' &lt;</w:t>
      </w:r>
      <w:hyperlink r:id="rId58" w:history="1">
        <w:r w:rsidRPr="00D63B46">
          <w:rPr>
            <w:rStyle w:val="Hyperlink"/>
            <w:rFonts w:eastAsiaTheme="majorEastAsia"/>
          </w:rPr>
          <w:t>iklim@hmb.gov.tr</w:t>
        </w:r>
      </w:hyperlink>
      <w:r w:rsidRPr="00D63B46">
        <w:rPr>
          <w:color w:val="000000"/>
        </w:rPr>
        <w:t>&gt;; 'ManchanS@ebrd.com' &lt;</w:t>
      </w:r>
      <w:hyperlink r:id="rId59" w:history="1">
        <w:r w:rsidRPr="00D63B46">
          <w:rPr>
            <w:rStyle w:val="Hyperlink"/>
            <w:rFonts w:eastAsiaTheme="majorEastAsia"/>
          </w:rPr>
          <w:t>manchans@ebrd.com</w:t>
        </w:r>
      </w:hyperlink>
      <w:r w:rsidRPr="00D63B46">
        <w:rPr>
          <w:color w:val="000000"/>
        </w:rPr>
        <w:t>&gt;; 'Kilic, Sule' &lt;</w:t>
      </w:r>
      <w:hyperlink r:id="rId60" w:history="1">
        <w:r w:rsidRPr="00D63B46">
          <w:rPr>
            <w:rStyle w:val="Hyperlink"/>
            <w:rFonts w:eastAsiaTheme="majorEastAsia"/>
          </w:rPr>
          <w:t>KILICS@ebrd.com</w:t>
        </w:r>
      </w:hyperlink>
      <w:r w:rsidRPr="00D63B46">
        <w:rPr>
          <w:color w:val="000000"/>
        </w:rPr>
        <w:t>&gt;; 'Askin, Muharrem' &lt;</w:t>
      </w:r>
      <w:hyperlink r:id="rId61" w:history="1">
        <w:r w:rsidRPr="00D63B46">
          <w:rPr>
            <w:rStyle w:val="Hyperlink"/>
            <w:rFonts w:eastAsiaTheme="majorEastAsia"/>
          </w:rPr>
          <w:t>ASKINM@ebrd.com</w:t>
        </w:r>
      </w:hyperlink>
      <w:r w:rsidRPr="00D63B46">
        <w:rPr>
          <w:color w:val="000000"/>
        </w:rPr>
        <w:t>&gt;; 'Managadze, David' &lt;</w:t>
      </w:r>
      <w:hyperlink r:id="rId62" w:history="1">
        <w:r w:rsidRPr="00D63B46">
          <w:rPr>
            <w:rStyle w:val="Hyperlink"/>
            <w:rFonts w:eastAsiaTheme="majorEastAsia"/>
          </w:rPr>
          <w:t>ManagadD@ebrd.com</w:t>
        </w:r>
      </w:hyperlink>
      <w:r w:rsidRPr="00D63B46">
        <w:rPr>
          <w:color w:val="000000"/>
        </w:rPr>
        <w:t xml:space="preserve">&gt;; 'Tezcan, </w:t>
      </w:r>
      <w:proofErr w:type="spellStart"/>
      <w:r w:rsidRPr="00D63B46">
        <w:rPr>
          <w:color w:val="000000"/>
        </w:rPr>
        <w:t>Can'</w:t>
      </w:r>
      <w:proofErr w:type="spellEnd"/>
      <w:r w:rsidRPr="00D63B46">
        <w:rPr>
          <w:color w:val="000000"/>
        </w:rPr>
        <w:t xml:space="preserve"> &lt;</w:t>
      </w:r>
      <w:hyperlink r:id="rId63" w:history="1">
        <w:r w:rsidRPr="00D63B46">
          <w:rPr>
            <w:rStyle w:val="Hyperlink"/>
            <w:rFonts w:eastAsiaTheme="majorEastAsia"/>
          </w:rPr>
          <w:t>TEZCANC@ebrd.com</w:t>
        </w:r>
      </w:hyperlink>
      <w:r w:rsidRPr="00D63B46">
        <w:rPr>
          <w:color w:val="000000"/>
        </w:rPr>
        <w:t>&gt;; Carraretto, Cristian &lt;</w:t>
      </w:r>
      <w:hyperlink r:id="rId64" w:history="1">
        <w:r w:rsidRPr="00D63B46">
          <w:rPr>
            <w:rStyle w:val="Hyperlink"/>
            <w:rFonts w:eastAsiaTheme="majorEastAsia"/>
          </w:rPr>
          <w:t>CarrareC@ebrd.com</w:t>
        </w:r>
      </w:hyperlink>
      <w:r w:rsidRPr="00D63B46">
        <w:rPr>
          <w:color w:val="000000"/>
        </w:rPr>
        <w:t>&gt;; 'ManchanS@ebrd.com' &lt;</w:t>
      </w:r>
      <w:hyperlink r:id="rId65" w:history="1">
        <w:r w:rsidRPr="00D63B46">
          <w:rPr>
            <w:rStyle w:val="Hyperlink"/>
            <w:rFonts w:eastAsiaTheme="majorEastAsia"/>
          </w:rPr>
          <w:t>ManchanS@ebrd.com</w:t>
        </w:r>
      </w:hyperlink>
      <w:r w:rsidRPr="00D63B46">
        <w:rPr>
          <w:color w:val="000000"/>
        </w:rPr>
        <w:t>&gt;; Dadivanyan, Tatevik &lt;</w:t>
      </w:r>
      <w:hyperlink r:id="rId66" w:history="1">
        <w:r w:rsidRPr="00D63B46">
          <w:rPr>
            <w:rStyle w:val="Hyperlink"/>
            <w:rFonts w:eastAsiaTheme="majorEastAsia"/>
          </w:rPr>
          <w:t>DADIVANT@ebrd.com</w:t>
        </w:r>
      </w:hyperlink>
      <w:r w:rsidRPr="00D63B46">
        <w:rPr>
          <w:color w:val="000000"/>
        </w:rPr>
        <w:t>&gt;; 'Tastekin, Elif' &lt;</w:t>
      </w:r>
      <w:hyperlink r:id="rId67" w:history="1">
        <w:r w:rsidRPr="00D63B46">
          <w:rPr>
            <w:rStyle w:val="Hyperlink"/>
            <w:rFonts w:eastAsiaTheme="majorEastAsia"/>
          </w:rPr>
          <w:t>TastekiE@ebrd.com</w:t>
        </w:r>
      </w:hyperlink>
      <w:r w:rsidRPr="00D63B46">
        <w:rPr>
          <w:color w:val="000000"/>
        </w:rPr>
        <w:t>&gt;; Calderone, Margherita &lt;</w:t>
      </w:r>
      <w:hyperlink r:id="rId68" w:history="1">
        <w:r w:rsidRPr="00D63B46">
          <w:rPr>
            <w:rStyle w:val="Hyperlink"/>
            <w:rFonts w:eastAsiaTheme="majorEastAsia"/>
          </w:rPr>
          <w:t>CalderoM@ebrd.com</w:t>
        </w:r>
      </w:hyperlink>
      <w:r w:rsidRPr="00D63B46">
        <w:rPr>
          <w:color w:val="000000"/>
        </w:rPr>
        <w:t>&gt;; 'TumerO@ebrd.com' &lt;</w:t>
      </w:r>
      <w:hyperlink r:id="rId69" w:history="1">
        <w:r w:rsidRPr="00D63B46">
          <w:rPr>
            <w:rStyle w:val="Hyperlink"/>
            <w:rFonts w:eastAsiaTheme="majorEastAsia"/>
          </w:rPr>
          <w:t>TumerO@ebrd.com</w:t>
        </w:r>
      </w:hyperlink>
      <w:r w:rsidRPr="00D63B46">
        <w:rPr>
          <w:color w:val="000000"/>
        </w:rPr>
        <w:t>&gt;; 'IroA@ebrd.com' &lt;</w:t>
      </w:r>
      <w:hyperlink r:id="rId70" w:history="1">
        <w:r w:rsidRPr="00D63B46">
          <w:rPr>
            <w:rStyle w:val="Hyperlink"/>
            <w:rFonts w:eastAsiaTheme="majorEastAsia"/>
          </w:rPr>
          <w:t>IroA@ebrd.com</w:t>
        </w:r>
      </w:hyperlink>
      <w:r w:rsidRPr="00D63B46">
        <w:rPr>
          <w:color w:val="000000"/>
        </w:rPr>
        <w:t>&gt;; 'ozgur.turkeri@hmb.gov.tr' &lt;</w:t>
      </w:r>
      <w:hyperlink r:id="rId71" w:history="1">
        <w:r w:rsidRPr="00D63B46">
          <w:rPr>
            <w:rStyle w:val="Hyperlink"/>
            <w:rFonts w:eastAsiaTheme="majorEastAsia"/>
          </w:rPr>
          <w:t>ozgur.turkeri@hmb.gov.tr</w:t>
        </w:r>
      </w:hyperlink>
      <w:r w:rsidRPr="00D63B46">
        <w:rPr>
          <w:color w:val="000000"/>
        </w:rPr>
        <w:t>&gt;; Frank van der Vleuten &lt;</w:t>
      </w:r>
      <w:hyperlink r:id="rId72" w:history="1">
        <w:r w:rsidRPr="00D63B46">
          <w:rPr>
            <w:rStyle w:val="Hyperlink"/>
            <w:rFonts w:eastAsiaTheme="majorEastAsia"/>
          </w:rPr>
          <w:t>fvandervleuten@worldbank.org</w:t>
        </w:r>
      </w:hyperlink>
      <w:r w:rsidRPr="00D63B46">
        <w:rPr>
          <w:color w:val="000000"/>
        </w:rPr>
        <w:t>&gt;; Megan Meyer &lt;</w:t>
      </w:r>
      <w:hyperlink r:id="rId73" w:history="1">
        <w:r w:rsidRPr="00D63B46">
          <w:rPr>
            <w:rStyle w:val="Hyperlink"/>
            <w:rFonts w:eastAsiaTheme="majorEastAsia"/>
          </w:rPr>
          <w:t>mmeyer1@worldbank.org</w:t>
        </w:r>
      </w:hyperlink>
      <w:r w:rsidRPr="00D63B46">
        <w:rPr>
          <w:color w:val="000000"/>
        </w:rPr>
        <w:t>&gt;; Gozde Ertemir &lt;</w:t>
      </w:r>
      <w:hyperlink r:id="rId74" w:history="1">
        <w:r w:rsidRPr="00D63B46">
          <w:rPr>
            <w:rStyle w:val="Hyperlink"/>
            <w:rFonts w:eastAsiaTheme="majorEastAsia"/>
          </w:rPr>
          <w:t>gertemir@enerji.gov.tr</w:t>
        </w:r>
      </w:hyperlink>
      <w:r w:rsidRPr="00D63B46">
        <w:rPr>
          <w:color w:val="000000"/>
        </w:rPr>
        <w:t>&gt;; iklim &lt;</w:t>
      </w:r>
      <w:hyperlink r:id="rId75" w:history="1">
        <w:r w:rsidRPr="00D63B46">
          <w:rPr>
            <w:rStyle w:val="Hyperlink"/>
            <w:rFonts w:eastAsiaTheme="majorEastAsia"/>
          </w:rPr>
          <w:t>iklim@hmb.gov.tr</w:t>
        </w:r>
      </w:hyperlink>
      <w:r w:rsidRPr="00D63B46">
        <w:rPr>
          <w:color w:val="000000"/>
        </w:rPr>
        <w:t>&gt;; ARDA ULUDAG &lt;</w:t>
      </w:r>
      <w:hyperlink r:id="rId76" w:history="1">
        <w:r w:rsidRPr="00D63B46">
          <w:rPr>
            <w:rStyle w:val="Hyperlink"/>
            <w:rFonts w:eastAsiaTheme="majorEastAsia"/>
          </w:rPr>
          <w:t>arda.uludag@hmb.gov.tr</w:t>
        </w:r>
      </w:hyperlink>
      <w:r w:rsidRPr="00D63B46">
        <w:rPr>
          <w:color w:val="000000"/>
        </w:rPr>
        <w:t>&gt;</w:t>
      </w:r>
      <w:r w:rsidRPr="00D63B46">
        <w:rPr>
          <w:color w:val="000000"/>
        </w:rPr>
        <w:br/>
      </w:r>
      <w:r w:rsidRPr="00D63B46">
        <w:rPr>
          <w:b/>
          <w:bCs/>
          <w:color w:val="000000"/>
        </w:rPr>
        <w:t>Subject:</w:t>
      </w:r>
      <w:r w:rsidRPr="00D63B46">
        <w:rPr>
          <w:color w:val="000000"/>
        </w:rPr>
        <w:t xml:space="preserve"> </w:t>
      </w:r>
      <w:proofErr w:type="spellStart"/>
      <w:r w:rsidRPr="00D63B46">
        <w:rPr>
          <w:color w:val="000000"/>
        </w:rPr>
        <w:t>Turkiye</w:t>
      </w:r>
      <w:proofErr w:type="spellEnd"/>
      <w:r w:rsidRPr="00D63B46">
        <w:rPr>
          <w:color w:val="000000"/>
        </w:rPr>
        <w:t xml:space="preserve"> CTF REI IP -- Letter to </w:t>
      </w:r>
      <w:proofErr w:type="spellStart"/>
      <w:r w:rsidRPr="00D63B46">
        <w:rPr>
          <w:color w:val="000000"/>
        </w:rPr>
        <w:t>MoTF</w:t>
      </w:r>
      <w:proofErr w:type="spellEnd"/>
      <w:r w:rsidRPr="00D63B46">
        <w:rPr>
          <w:color w:val="000000"/>
        </w:rPr>
        <w:t xml:space="preserve"> / MENR</w:t>
      </w:r>
      <w:bookmarkEnd w:id="270"/>
    </w:p>
    <w:p w14:paraId="66421F38" w14:textId="5F6ED8D4" w:rsidR="007C03F8" w:rsidRPr="00D63B46" w:rsidRDefault="007C03F8" w:rsidP="009E0B84">
      <w:pPr>
        <w:pStyle w:val="NormalWeb"/>
        <w:rPr>
          <w:color w:val="000000"/>
        </w:rPr>
      </w:pPr>
      <w:r w:rsidRPr="00D63B46">
        <w:rPr>
          <w:color w:val="000000"/>
        </w:rPr>
        <w:t xml:space="preserve"> Dear </w:t>
      </w:r>
      <w:proofErr w:type="spellStart"/>
      <w:proofErr w:type="gramStart"/>
      <w:r w:rsidRPr="00D63B46">
        <w:rPr>
          <w:color w:val="000000"/>
        </w:rPr>
        <w:t>Ms.Yalim</w:t>
      </w:r>
      <w:proofErr w:type="spellEnd"/>
      <w:proofErr w:type="gramEnd"/>
      <w:r w:rsidRPr="00D63B46">
        <w:rPr>
          <w:color w:val="000000"/>
        </w:rPr>
        <w:t xml:space="preserve">, </w:t>
      </w:r>
      <w:proofErr w:type="spellStart"/>
      <w:r w:rsidRPr="00D63B46">
        <w:rPr>
          <w:color w:val="000000"/>
        </w:rPr>
        <w:t>Mr.Turkeri</w:t>
      </w:r>
      <w:proofErr w:type="spellEnd"/>
      <w:r w:rsidRPr="00D63B46">
        <w:rPr>
          <w:color w:val="000000"/>
        </w:rPr>
        <w:t xml:space="preserve"> and </w:t>
      </w:r>
      <w:proofErr w:type="spellStart"/>
      <w:r w:rsidRPr="00D63B46">
        <w:rPr>
          <w:color w:val="000000"/>
        </w:rPr>
        <w:t>Mr.Bostanci</w:t>
      </w:r>
      <w:proofErr w:type="spellEnd"/>
      <w:r w:rsidRPr="00D63B46">
        <w:rPr>
          <w:color w:val="000000"/>
        </w:rPr>
        <w:t>,</w:t>
      </w:r>
    </w:p>
    <w:p w14:paraId="5941E667" w14:textId="6D47F71E" w:rsidR="007C03F8" w:rsidRPr="00D63B46" w:rsidRDefault="007C03F8" w:rsidP="007C03F8">
      <w:pPr>
        <w:pStyle w:val="NormalWeb"/>
        <w:jc w:val="both"/>
        <w:rPr>
          <w:color w:val="000000"/>
        </w:rPr>
      </w:pPr>
      <w:r w:rsidRPr="00D63B46">
        <w:rPr>
          <w:color w:val="000000"/>
        </w:rPr>
        <w:t xml:space="preserve"> As you are aware, we had a constructive joint mission on May 21, 2024 with regard to the </w:t>
      </w:r>
      <w:proofErr w:type="spellStart"/>
      <w:r w:rsidRPr="00D63B46">
        <w:rPr>
          <w:color w:val="000000"/>
        </w:rPr>
        <w:t>Turkiye</w:t>
      </w:r>
      <w:proofErr w:type="spellEnd"/>
      <w:r w:rsidRPr="00D63B46">
        <w:rPr>
          <w:color w:val="000000"/>
        </w:rPr>
        <w:t xml:space="preserve"> Clean Technology Fund (CTF)-Renewable Energy Integration (REI) Investment Plan (IP), with the participation of your team, as well as delegations of Ministry of Energy and Natural Resources (MENR), International Bank for Reconstruction and Development (IBRD), International Finance Corporation (IFC) and European Bank for Reconstruction and Development (EBRD). </w:t>
      </w:r>
    </w:p>
    <w:p w14:paraId="7EB5DA03" w14:textId="20B10EAD" w:rsidR="007C03F8" w:rsidRPr="00D63B46" w:rsidRDefault="007C03F8" w:rsidP="007C03F8">
      <w:pPr>
        <w:pStyle w:val="NormalWeb"/>
        <w:jc w:val="both"/>
        <w:rPr>
          <w:color w:val="000000"/>
        </w:rPr>
      </w:pPr>
      <w:r w:rsidRPr="00D63B46">
        <w:rPr>
          <w:color w:val="000000"/>
        </w:rPr>
        <w:t> We would like to bring to your attention, for consideration and decision, two questions that were brought up during the mission, as follows:</w:t>
      </w:r>
    </w:p>
    <w:p w14:paraId="2179AC90" w14:textId="77777777" w:rsidR="007C03F8" w:rsidRDefault="007C03F8" w:rsidP="007C03F8">
      <w:pPr>
        <w:pStyle w:val="ListParagraph"/>
        <w:numPr>
          <w:ilvl w:val="0"/>
          <w:numId w:val="29"/>
        </w:numPr>
        <w:spacing w:after="0" w:line="240" w:lineRule="auto"/>
        <w:contextualSpacing/>
        <w:textAlignment w:val="baseline"/>
        <w:rPr>
          <w:rStyle w:val="eop"/>
          <w:rFonts w:ascii="Calibri Light" w:eastAsia="Times New Roman" w:hAnsi="Calibri Light" w:cs="Calibri Light"/>
          <w:lang w:val="en-GB"/>
        </w:rPr>
      </w:pPr>
      <w:r>
        <w:rPr>
          <w:rFonts w:ascii="Calibri" w:eastAsia="Times New Roman" w:hAnsi="Calibri" w:cs="Calibri"/>
        </w:rPr>
        <w:t xml:space="preserve">Based on the on-going dialogue with the Government in line with its net-zero target by 2053, the proposed </w:t>
      </w:r>
      <w:r>
        <w:rPr>
          <w:rStyle w:val="normaltextrun"/>
          <w:rFonts w:ascii="Calibri" w:eastAsia="Times New Roman" w:hAnsi="Calibri" w:cs="Calibri"/>
        </w:rPr>
        <w:t xml:space="preserve">Component 3 on Technical Assistance (TA), whose beneficiary will be MENR  is </w:t>
      </w:r>
      <w:r>
        <w:rPr>
          <w:rStyle w:val="normaltextrun"/>
          <w:rFonts w:ascii="Calibri" w:eastAsia="Times New Roman" w:hAnsi="Calibri" w:cs="Calibri"/>
        </w:rPr>
        <w:lastRenderedPageBreak/>
        <w:t xml:space="preserve">comprised by two subcomponents for initial assessment of two important projects for ensuring the demand/supply system balancing, namely  “Hydropower energy efficiency (2026) (potential WB support of about  US$300 m.)” and “First pumped hydro storage (2028) (potential WB support of WB: US$600m We are proposing to have these initial assessments financed using a small part of CTF loan financing of USD3m (USD1.5m for each task), . </w:t>
      </w:r>
      <w:r>
        <w:rPr>
          <w:rStyle w:val="normaltextrun"/>
          <w:rFonts w:ascii="Calibri" w:eastAsia="Times New Roman" w:hAnsi="Calibri" w:cs="Calibri"/>
          <w:color w:val="000000"/>
          <w:shd w:val="clear" w:color="auto" w:fill="FFFFFF"/>
        </w:rPr>
        <w:t>These USD3m. would be under a Recipient Executed Small TA project with MENR.  We would like to check if that would be agreeable to use a CTF loan with MENR to support that component. If this is not agreeable, we propose to keep that component and seek any potential additional grant funding.</w:t>
      </w:r>
    </w:p>
    <w:p w14:paraId="53DDD35F" w14:textId="77777777" w:rsidR="007C03F8" w:rsidRDefault="007C03F8" w:rsidP="007C03F8">
      <w:pPr>
        <w:pStyle w:val="ListParagraph"/>
        <w:numPr>
          <w:ilvl w:val="0"/>
          <w:numId w:val="29"/>
        </w:numPr>
        <w:spacing w:after="0" w:line="240" w:lineRule="auto"/>
        <w:contextualSpacing/>
        <w:textAlignment w:val="baseline"/>
        <w:rPr>
          <w:rFonts w:ascii="Calibri" w:eastAsiaTheme="minorHAnsi" w:hAnsi="Calibri" w:cs="Calibri"/>
        </w:rPr>
      </w:pPr>
      <w:r>
        <w:rPr>
          <w:rFonts w:ascii="Calibri" w:eastAsia="Times New Roman" w:hAnsi="Calibri" w:cs="Calibri"/>
        </w:rPr>
        <w:t xml:space="preserve">During the mission, some MDB partners expressed interest in postponing the IP submission to September 2024 to enable further IP activity scoping along two axes: 1. agreement between TEAIS and EBRD on the list of a possible investment; and 2. further time for EBRD and IFC to scope their activities around storage and e-mobility. The CIF Secretariat confirmed that an additional extension can be requested to the CTF Trust Fund Committee if desired. Kindly confirm the Government’s decision in this regard. </w:t>
      </w:r>
    </w:p>
    <w:p w14:paraId="076B71BD" w14:textId="3D2DAD09" w:rsidR="007C03F8" w:rsidRPr="00D63B46" w:rsidRDefault="007C03F8" w:rsidP="007C03F8">
      <w:pPr>
        <w:pStyle w:val="NormalWeb"/>
        <w:jc w:val="both"/>
        <w:rPr>
          <w:color w:val="000000"/>
        </w:rPr>
      </w:pPr>
      <w:r w:rsidRPr="00D63B46">
        <w:rPr>
          <w:color w:val="000000"/>
        </w:rPr>
        <w:t> Should you or your team require any further information, please do not hesitate to contact us.</w:t>
      </w:r>
    </w:p>
    <w:p w14:paraId="03167733" w14:textId="71A8A29D" w:rsidR="007C03F8" w:rsidRPr="00D63B46" w:rsidRDefault="007C03F8" w:rsidP="007C03F8">
      <w:pPr>
        <w:pStyle w:val="NormalWeb"/>
        <w:ind w:firstLine="540"/>
        <w:jc w:val="both"/>
        <w:rPr>
          <w:color w:val="000000"/>
        </w:rPr>
      </w:pPr>
      <w:r w:rsidRPr="00D63B46">
        <w:rPr>
          <w:color w:val="000000"/>
        </w:rPr>
        <w:t> </w:t>
      </w:r>
    </w:p>
    <w:p w14:paraId="4969B42F" w14:textId="5C9A772D" w:rsidR="007C03F8" w:rsidRPr="00D63B46" w:rsidRDefault="007C03F8" w:rsidP="009E0B84">
      <w:pPr>
        <w:pStyle w:val="NormalWeb"/>
        <w:spacing w:beforeAutospacing="0" w:after="0" w:afterAutospacing="0" w:line="240" w:lineRule="auto"/>
        <w:jc w:val="center"/>
        <w:rPr>
          <w:color w:val="000000"/>
        </w:rPr>
      </w:pPr>
      <w:r w:rsidRPr="00D63B46">
        <w:rPr>
          <w:color w:val="000000"/>
        </w:rPr>
        <w:t>Sincerely,</w:t>
      </w:r>
    </w:p>
    <w:p w14:paraId="77324D2E" w14:textId="77777777" w:rsidR="007C03F8" w:rsidRPr="00D63B46" w:rsidRDefault="007C03F8" w:rsidP="009E0B84">
      <w:pPr>
        <w:pStyle w:val="NormalWeb"/>
        <w:spacing w:beforeAutospacing="0" w:after="0" w:afterAutospacing="0" w:line="240" w:lineRule="auto"/>
        <w:jc w:val="center"/>
        <w:rPr>
          <w:color w:val="000000"/>
        </w:rPr>
      </w:pPr>
      <w:r w:rsidRPr="00D63B46">
        <w:rPr>
          <w:color w:val="000000"/>
        </w:rPr>
        <w:t>Stephan Claude Frederic Garnier</w:t>
      </w:r>
    </w:p>
    <w:p w14:paraId="5FC7E34E" w14:textId="77777777" w:rsidR="007C03F8" w:rsidRPr="00D63B46" w:rsidRDefault="007C03F8" w:rsidP="009E0B84">
      <w:pPr>
        <w:pStyle w:val="NormalWeb"/>
        <w:spacing w:beforeAutospacing="0" w:after="0" w:afterAutospacing="0" w:line="240" w:lineRule="auto"/>
        <w:jc w:val="center"/>
        <w:rPr>
          <w:color w:val="000000"/>
        </w:rPr>
      </w:pPr>
      <w:r w:rsidRPr="00D63B46">
        <w:rPr>
          <w:color w:val="000000"/>
        </w:rPr>
        <w:t>Turkey Infrastructure Program Leader</w:t>
      </w:r>
    </w:p>
    <w:p w14:paraId="12682272" w14:textId="77777777" w:rsidR="007C03F8" w:rsidRPr="00D63B46" w:rsidRDefault="007C03F8" w:rsidP="009E0B84">
      <w:pPr>
        <w:pStyle w:val="NormalWeb"/>
        <w:spacing w:beforeAutospacing="0" w:after="0" w:afterAutospacing="0" w:line="240" w:lineRule="auto"/>
        <w:jc w:val="center"/>
        <w:rPr>
          <w:rFonts w:ascii="Times New Roman" w:hAnsi="Times New Roman"/>
          <w:color w:val="000000"/>
          <w:sz w:val="24"/>
          <w:szCs w:val="24"/>
        </w:rPr>
      </w:pPr>
      <w:r w:rsidRPr="00D63B46">
        <w:rPr>
          <w:color w:val="000000"/>
        </w:rPr>
        <w:t>Europe and Central Asia Region</w:t>
      </w:r>
    </w:p>
    <w:p w14:paraId="3FFE3399" w14:textId="77777777" w:rsidR="007C03F8" w:rsidRDefault="007C03F8" w:rsidP="007C03F8">
      <w:pPr>
        <w:pBdr>
          <w:bottom w:val="single" w:sz="6" w:space="1" w:color="auto"/>
        </w:pBdr>
      </w:pPr>
    </w:p>
    <w:p w14:paraId="426A2BAA" w14:textId="77777777" w:rsidR="003C551D" w:rsidRDefault="003C551D" w:rsidP="007C03F8">
      <w:pPr>
        <w:rPr>
          <w:rFonts w:eastAsia="Times New Roman"/>
          <w:b/>
          <w:bCs/>
        </w:rPr>
      </w:pPr>
      <w:bookmarkStart w:id="271" w:name="_MailOriginal"/>
      <w:bookmarkEnd w:id="269"/>
    </w:p>
    <w:p w14:paraId="72CBE744" w14:textId="086FC1CB" w:rsidR="007C03F8" w:rsidRPr="00D63B46" w:rsidRDefault="007C03F8" w:rsidP="007C03F8">
      <w:pPr>
        <w:rPr>
          <w:rFonts w:ascii="Calibri" w:eastAsia="Times New Roman" w:hAnsi="Calibri" w:cs="Calibri"/>
        </w:rPr>
      </w:pPr>
      <w:r w:rsidRPr="00D63B46">
        <w:rPr>
          <w:rFonts w:eastAsia="Times New Roman"/>
          <w:b/>
          <w:bCs/>
        </w:rPr>
        <w:t>From:</w:t>
      </w:r>
      <w:r w:rsidRPr="00D63B46">
        <w:rPr>
          <w:rFonts w:eastAsia="Times New Roman"/>
        </w:rPr>
        <w:t xml:space="preserve"> Engin Bostancı &lt;ebostanci@enerji.gov.tr&gt; </w:t>
      </w:r>
      <w:r w:rsidRPr="00D63B46">
        <w:rPr>
          <w:rFonts w:eastAsia="Times New Roman"/>
        </w:rPr>
        <w:br/>
      </w:r>
      <w:r w:rsidRPr="00D63B46">
        <w:rPr>
          <w:rFonts w:eastAsia="Times New Roman"/>
          <w:b/>
          <w:bCs/>
        </w:rPr>
        <w:t>Sent:</w:t>
      </w:r>
      <w:r w:rsidRPr="00D63B46">
        <w:rPr>
          <w:rFonts w:eastAsia="Times New Roman"/>
        </w:rPr>
        <w:t xml:space="preserve"> Tuesday, June 25, 2024 12:37 AM</w:t>
      </w:r>
      <w:r w:rsidRPr="00D63B46">
        <w:rPr>
          <w:rFonts w:eastAsia="Times New Roman"/>
        </w:rPr>
        <w:br/>
      </w:r>
      <w:r w:rsidRPr="00D63B46">
        <w:rPr>
          <w:rFonts w:eastAsia="Times New Roman"/>
          <w:b/>
          <w:bCs/>
        </w:rPr>
        <w:t>To:</w:t>
      </w:r>
      <w:r w:rsidRPr="00D63B46">
        <w:rPr>
          <w:rFonts w:eastAsia="Times New Roman"/>
        </w:rPr>
        <w:t xml:space="preserve"> Yesim Akcollu &lt;yakcollu@worldbank.org&gt;; Tuba YALIM &lt;tuba.yalim@hmb.gov.tr&gt;; ozgur.turkeri@hmb.gov.tr</w:t>
      </w:r>
      <w:r w:rsidRPr="00D63B46">
        <w:rPr>
          <w:rFonts w:eastAsia="Times New Roman"/>
        </w:rPr>
        <w:br/>
      </w:r>
      <w:r w:rsidRPr="00D63B46">
        <w:rPr>
          <w:rFonts w:eastAsia="Times New Roman"/>
          <w:b/>
          <w:bCs/>
        </w:rPr>
        <w:t>Cc:</w:t>
      </w:r>
      <w:r w:rsidRPr="00D63B46">
        <w:rPr>
          <w:rFonts w:eastAsia="Times New Roman"/>
        </w:rPr>
        <w:t xml:space="preserve"> Stephan Claude Frederic Garnier &lt;sgarnier@worldbank.org&gt;; Tendai Madenyika &lt;tmadenyika@ifc.org&gt;; Frank van der Vleuten &lt;fvandervleuten@worldbank.org&gt;; Megan Meyer &lt;mmeyer1@worldbank.org&gt;; Andrey Shlyakhtenko &lt;ashlyakhtenko@ifc.org&gt;; Sudipta Husain &lt;shusain3@ifc.org&gt;; Fatih Avci &lt;favci@ifc.org&gt;; Ozge Ozden &lt;oozden@worldbank.org&gt;; Debabrata Chattopadhyay &lt;dchattopadhyay@worldbank.org&gt;; Seckin Ulgen &lt;nseckinulgen@gmail.com&gt;; Daniel Morris &lt;dmorris3@worldbank.org&gt;; Jimmy Pannett &lt;jpannett@worldbank.org&gt;; 'Kilic, Sule' &lt;KILICS@ebrd.com&gt;; 'Askin, Muharrem' &lt;ASKINM@ebrd.com&gt;; 'Yasar, Mehmet Erdem' &lt;yasarm@ebrd.com&gt;; 'Tezcan, </w:t>
      </w:r>
      <w:proofErr w:type="spellStart"/>
      <w:r w:rsidRPr="00D63B46">
        <w:rPr>
          <w:rFonts w:eastAsia="Times New Roman"/>
        </w:rPr>
        <w:t>Can'</w:t>
      </w:r>
      <w:proofErr w:type="spellEnd"/>
      <w:r w:rsidRPr="00D63B46">
        <w:rPr>
          <w:rFonts w:eastAsia="Times New Roman"/>
        </w:rPr>
        <w:t xml:space="preserve"> &lt;TEZCANC@ebrd.com&gt;; Byambasuren Chuluunbat &lt;bchuluunbat1@worldbank.org&gt;; Alan David Lee &lt;adlee@worldbank.org&gt;; Simay Duman &lt;sduman@worldbank.org&gt;; Eyup Mermer &lt;emermer@worldbank.org&gt;; Jimmy Pannett &lt;jpannett@cif.org&gt;; Daniel Morris &lt;danielmorris@cif.org&gt;; gertemir &lt;gertemir@enerji.gov.tr&gt;; Fatih Avci &lt;favci@ifc.org&gt;; Sudipta Husain &lt;shusain3@ifc.org&gt;; Elif Karakas Oglak &lt;elkarakas@ifc.org&gt;; Eyup Mermer &lt;emermer@worldbank.org&gt;; Buse Ucanlar &lt;bucanlar@worldbank.org&gt;; iklim &lt;iklim@hmb.gov.tr&gt;; ManchanS@ebrd.com; 'Kilic, Sule' &lt;KILICS@ebrd.com&gt;; 'Askin, Muharrem' &lt;ASKINM@ebrd.com&gt;; Managadze, David &lt;ManagadD@ebrd.com&gt;; 'Tezcan, </w:t>
      </w:r>
      <w:proofErr w:type="spellStart"/>
      <w:r w:rsidRPr="00D63B46">
        <w:rPr>
          <w:rFonts w:eastAsia="Times New Roman"/>
        </w:rPr>
        <w:t>Can'</w:t>
      </w:r>
      <w:proofErr w:type="spellEnd"/>
      <w:r w:rsidRPr="00D63B46">
        <w:rPr>
          <w:rFonts w:eastAsia="Times New Roman"/>
        </w:rPr>
        <w:t xml:space="preserve"> </w:t>
      </w:r>
      <w:r w:rsidRPr="00D63B46">
        <w:rPr>
          <w:rFonts w:eastAsia="Times New Roman"/>
        </w:rPr>
        <w:lastRenderedPageBreak/>
        <w:t xml:space="preserve">&lt;TEZCANC@ebrd.com&gt;; Carraretto, Cristian &lt;CarrareC@ebrd.com&gt;; ManchanS@ebrd.com; Dadivanyan, Tatevik &lt;DADIVANT@ebrd.com&gt;; Tastekin, Elif &lt;TastekiE@ebrd.com&gt;; Calderone, Margherita &lt;CalderoM@ebrd.com&gt;; TumerO@ebrd.com; IroA@ebrd.com; Frank van der Vleuten &lt;fvandervleuten@worldbank.org&gt;; Megan Meyer &lt;mmeyer1@worldbank.org&gt;; gertemir &lt;gertemir@enerji.gov.tr&gt;; iklim &lt;iklim@hmb.gov.tr&gt;; </w:t>
      </w:r>
      <w:proofErr w:type="spellStart"/>
      <w:r w:rsidRPr="00D63B46">
        <w:rPr>
          <w:rFonts w:eastAsia="Times New Roman"/>
        </w:rPr>
        <w:t>arda.uludag</w:t>
      </w:r>
      <w:proofErr w:type="spellEnd"/>
      <w:r w:rsidRPr="00D63B46">
        <w:rPr>
          <w:rFonts w:eastAsia="Times New Roman"/>
        </w:rPr>
        <w:t xml:space="preserve"> &lt;arda.uludag@hmb.gov.tr&gt;</w:t>
      </w:r>
      <w:r w:rsidRPr="00D63B46">
        <w:rPr>
          <w:rFonts w:eastAsia="Times New Roman"/>
        </w:rPr>
        <w:br/>
      </w:r>
      <w:r w:rsidRPr="00D63B46">
        <w:rPr>
          <w:rFonts w:eastAsia="Times New Roman"/>
          <w:b/>
          <w:bCs/>
        </w:rPr>
        <w:t>Subject:</w:t>
      </w:r>
      <w:r w:rsidRPr="00D63B46">
        <w:rPr>
          <w:rFonts w:eastAsia="Times New Roman"/>
        </w:rPr>
        <w:t xml:space="preserve"> </w:t>
      </w:r>
      <w:proofErr w:type="spellStart"/>
      <w:r w:rsidRPr="00D63B46">
        <w:rPr>
          <w:rFonts w:eastAsia="Times New Roman"/>
        </w:rPr>
        <w:t>Ynt</w:t>
      </w:r>
      <w:proofErr w:type="spellEnd"/>
      <w:r w:rsidRPr="00D63B46">
        <w:rPr>
          <w:rFonts w:eastAsia="Times New Roman"/>
        </w:rPr>
        <w:t xml:space="preserve">: GENTLE REMINDER --- RE: </w:t>
      </w:r>
      <w:proofErr w:type="spellStart"/>
      <w:r w:rsidRPr="00D63B46">
        <w:rPr>
          <w:rFonts w:eastAsia="Times New Roman"/>
        </w:rPr>
        <w:t>Turkiye</w:t>
      </w:r>
      <w:proofErr w:type="spellEnd"/>
      <w:r w:rsidRPr="00D63B46">
        <w:rPr>
          <w:rFonts w:eastAsia="Times New Roman"/>
        </w:rPr>
        <w:t xml:space="preserve"> CTF REI IP -- Letter to </w:t>
      </w:r>
      <w:proofErr w:type="spellStart"/>
      <w:r w:rsidRPr="00D63B46">
        <w:rPr>
          <w:rFonts w:eastAsia="Times New Roman"/>
        </w:rPr>
        <w:t>MoTF</w:t>
      </w:r>
      <w:proofErr w:type="spellEnd"/>
      <w:r w:rsidRPr="00D63B46">
        <w:rPr>
          <w:rFonts w:eastAsia="Times New Roman"/>
        </w:rPr>
        <w:t xml:space="preserve"> / MENR</w:t>
      </w:r>
    </w:p>
    <w:p w14:paraId="1717E337" w14:textId="36058347" w:rsidR="007C03F8" w:rsidRPr="00A23188" w:rsidRDefault="007C03F8" w:rsidP="007C03F8">
      <w:pPr>
        <w:rPr>
          <w:rFonts w:eastAsia="Times New Roman"/>
        </w:rPr>
      </w:pPr>
      <w:r w:rsidRPr="00D63B46">
        <w:rPr>
          <w:rFonts w:eastAsia="Times New Roman"/>
          <w:color w:val="000000"/>
          <w:sz w:val="24"/>
          <w:szCs w:val="24"/>
        </w:rPr>
        <w:t xml:space="preserve">Dear </w:t>
      </w:r>
      <w:proofErr w:type="gramStart"/>
      <w:r w:rsidRPr="00D63B46">
        <w:rPr>
          <w:rFonts w:eastAsia="Times New Roman"/>
          <w:color w:val="000000"/>
          <w:sz w:val="24"/>
          <w:szCs w:val="24"/>
        </w:rPr>
        <w:t>Yeşim</w:t>
      </w:r>
      <w:proofErr w:type="gramEnd"/>
      <w:r w:rsidRPr="00D63B46">
        <w:rPr>
          <w:rFonts w:eastAsia="Times New Roman"/>
          <w:color w:val="000000"/>
          <w:sz w:val="24"/>
          <w:szCs w:val="24"/>
        </w:rPr>
        <w:t xml:space="preserve"> </w:t>
      </w:r>
      <w:proofErr w:type="spellStart"/>
      <w:r w:rsidRPr="00D63B46">
        <w:rPr>
          <w:rFonts w:eastAsia="Times New Roman"/>
          <w:color w:val="000000"/>
          <w:sz w:val="24"/>
          <w:szCs w:val="24"/>
        </w:rPr>
        <w:t>Hanım</w:t>
      </w:r>
      <w:proofErr w:type="spellEnd"/>
      <w:r w:rsidRPr="00D63B46">
        <w:rPr>
          <w:rFonts w:eastAsia="Times New Roman"/>
          <w:color w:val="000000"/>
          <w:sz w:val="24"/>
          <w:szCs w:val="24"/>
        </w:rPr>
        <w:t>,</w:t>
      </w:r>
    </w:p>
    <w:p w14:paraId="2F2B7E6D" w14:textId="5E4CE4A2" w:rsidR="007C03F8" w:rsidRPr="00D63B46" w:rsidRDefault="007C03F8" w:rsidP="007C03F8">
      <w:pPr>
        <w:rPr>
          <w:rFonts w:eastAsia="Times New Roman"/>
          <w:color w:val="000000"/>
          <w:sz w:val="24"/>
          <w:szCs w:val="24"/>
        </w:rPr>
      </w:pPr>
      <w:r w:rsidRPr="00D63B46">
        <w:rPr>
          <w:rFonts w:eastAsia="Times New Roman"/>
          <w:color w:val="000000"/>
          <w:sz w:val="24"/>
          <w:szCs w:val="24"/>
        </w:rPr>
        <w:t>Thank you for your e-mail and your wishes. Likewise, we hope everything is fine on your end as well.</w:t>
      </w:r>
    </w:p>
    <w:p w14:paraId="329DF091" w14:textId="77777777" w:rsidR="007C03F8" w:rsidRPr="00D63B46" w:rsidRDefault="007C03F8" w:rsidP="007C03F8">
      <w:pPr>
        <w:rPr>
          <w:rFonts w:eastAsia="Times New Roman"/>
          <w:color w:val="000000"/>
          <w:sz w:val="24"/>
          <w:szCs w:val="24"/>
        </w:rPr>
      </w:pPr>
      <w:r w:rsidRPr="00D63B46">
        <w:rPr>
          <w:rFonts w:eastAsia="Times New Roman"/>
          <w:color w:val="000000"/>
          <w:sz w:val="24"/>
          <w:szCs w:val="24"/>
        </w:rPr>
        <w:t>Regarding the proposed Component-3 of the Draft Investment Plan, it is important to note that MENR or EMRA currently have no intention to receive loans for any project, including technical assessment projects for the rehabilitation of HPPs or the development of PHES. Additionally, EUAS, the publicly owned generation company, did not include PHES initiatives in its current investment plan. Furthermore, EUAS has concerns on a US$ 300 million HPP rehabilitation project due to its potential impacts on supply security. That's why we consider these two investment areas still needing further discussion with EUAS's and MENR's higher management. However, we still agree on maintaining the Component-3 to be funded by potential additional grant funding, as this may be the only acceptable method for MENR to finance technical assessment projects aimed at enhancing future investments in these areas.</w:t>
      </w:r>
    </w:p>
    <w:p w14:paraId="00BD0EEC" w14:textId="77777777" w:rsidR="007C03F8" w:rsidRPr="00D63B46" w:rsidRDefault="007C03F8" w:rsidP="007C03F8">
      <w:pPr>
        <w:rPr>
          <w:rFonts w:eastAsia="Times New Roman"/>
          <w:color w:val="000000"/>
          <w:sz w:val="24"/>
          <w:szCs w:val="24"/>
        </w:rPr>
      </w:pPr>
      <w:r w:rsidRPr="00D63B46">
        <w:rPr>
          <w:rFonts w:eastAsia="Times New Roman"/>
          <w:color w:val="000000"/>
          <w:sz w:val="24"/>
          <w:szCs w:val="24"/>
        </w:rPr>
        <w:t>Kind regards,</w:t>
      </w:r>
    </w:p>
    <w:p w14:paraId="38331027" w14:textId="77777777" w:rsidR="007C03F8" w:rsidRPr="00D63B46" w:rsidRDefault="007C03F8" w:rsidP="007C03F8">
      <w:pPr>
        <w:pStyle w:val="xmsonormal"/>
        <w:rPr>
          <w:color w:val="212121"/>
        </w:rPr>
      </w:pPr>
      <w:r w:rsidRPr="00D63B46">
        <w:rPr>
          <w:rFonts w:ascii="Trebuchet MS" w:hAnsi="Trebuchet MS"/>
          <w:b/>
          <w:bCs/>
          <w:color w:val="4472C4"/>
          <w:sz w:val="20"/>
          <w:szCs w:val="20"/>
        </w:rPr>
        <w:t>Engin BOSTANCI</w:t>
      </w:r>
    </w:p>
    <w:p w14:paraId="19FF7C51" w14:textId="77777777" w:rsidR="007C03F8" w:rsidRPr="00D63B46" w:rsidRDefault="007C03F8" w:rsidP="007C03F8">
      <w:pPr>
        <w:pStyle w:val="xmsonormal"/>
        <w:rPr>
          <w:color w:val="212121"/>
        </w:rPr>
      </w:pPr>
      <w:r w:rsidRPr="00D63B46">
        <w:rPr>
          <w:rFonts w:ascii="Trebuchet MS" w:hAnsi="Trebuchet MS"/>
          <w:b/>
          <w:bCs/>
          <w:color w:val="4472C4"/>
          <w:sz w:val="20"/>
          <w:szCs w:val="20"/>
        </w:rPr>
        <w:t>Head of Department</w:t>
      </w:r>
    </w:p>
    <w:p w14:paraId="7950E239" w14:textId="77777777" w:rsidR="007C03F8" w:rsidRPr="00D63B46" w:rsidRDefault="007C03F8" w:rsidP="007C03F8">
      <w:pPr>
        <w:pStyle w:val="xmsonormal"/>
        <w:rPr>
          <w:color w:val="212121"/>
        </w:rPr>
      </w:pPr>
      <w:r w:rsidRPr="00D63B46">
        <w:rPr>
          <w:rFonts w:ascii="Trebuchet MS" w:hAnsi="Trebuchet MS"/>
          <w:color w:val="4472C4"/>
          <w:sz w:val="20"/>
          <w:szCs w:val="20"/>
        </w:rPr>
        <w:t>Republic of Türkiye – Ministry of Energy and Natural Resources</w:t>
      </w:r>
    </w:p>
    <w:p w14:paraId="2F03AAC1" w14:textId="77777777" w:rsidR="007C03F8" w:rsidRPr="00D63B46" w:rsidRDefault="007C03F8" w:rsidP="007C03F8">
      <w:pPr>
        <w:pStyle w:val="xmsonormal"/>
        <w:rPr>
          <w:color w:val="212121"/>
        </w:rPr>
      </w:pPr>
      <w:r w:rsidRPr="00D63B46">
        <w:rPr>
          <w:rFonts w:ascii="Trebuchet MS" w:hAnsi="Trebuchet MS"/>
          <w:color w:val="4472C4"/>
          <w:sz w:val="20"/>
          <w:szCs w:val="20"/>
        </w:rPr>
        <w:t>Directorate-General of Foreign Relations</w:t>
      </w:r>
    </w:p>
    <w:p w14:paraId="3ABA864E" w14:textId="77777777" w:rsidR="007C03F8" w:rsidRPr="00D63B46" w:rsidRDefault="007C03F8" w:rsidP="007C03F8">
      <w:pPr>
        <w:pStyle w:val="xmsonormal"/>
        <w:rPr>
          <w:color w:val="212121"/>
        </w:rPr>
      </w:pPr>
      <w:r w:rsidRPr="00D63B46">
        <w:rPr>
          <w:rFonts w:ascii="Trebuchet MS" w:hAnsi="Trebuchet MS"/>
          <w:color w:val="4472C4"/>
          <w:sz w:val="20"/>
          <w:szCs w:val="20"/>
        </w:rPr>
        <w:t>Department of Foreign Investment Coordination</w:t>
      </w:r>
    </w:p>
    <w:p w14:paraId="20BF3029" w14:textId="77777777" w:rsidR="007C03F8" w:rsidRPr="00D63B46" w:rsidRDefault="007C03F8" w:rsidP="007C03F8">
      <w:pPr>
        <w:pStyle w:val="xmsonormal"/>
        <w:rPr>
          <w:color w:val="212121"/>
        </w:rPr>
      </w:pPr>
      <w:r w:rsidRPr="00D63B46">
        <w:rPr>
          <w:rFonts w:ascii="Trebuchet MS" w:hAnsi="Trebuchet MS"/>
          <w:color w:val="4472C4"/>
          <w:sz w:val="20"/>
          <w:szCs w:val="20"/>
        </w:rPr>
        <w:t>(IPA Support Unit / Project Implementation Unit)</w:t>
      </w:r>
    </w:p>
    <w:p w14:paraId="61A755DB" w14:textId="77777777" w:rsidR="007C03F8" w:rsidRPr="00D63B46" w:rsidRDefault="007C03F8" w:rsidP="007C03F8">
      <w:pPr>
        <w:pStyle w:val="xmsonormal"/>
        <w:rPr>
          <w:color w:val="212121"/>
        </w:rPr>
      </w:pPr>
      <w:r w:rsidRPr="00D63B46">
        <w:rPr>
          <w:rFonts w:ascii="Trebuchet MS" w:hAnsi="Trebuchet MS"/>
          <w:b/>
          <w:bCs/>
          <w:color w:val="4472C4"/>
          <w:sz w:val="20"/>
          <w:szCs w:val="20"/>
        </w:rPr>
        <w:t>Phone:</w:t>
      </w:r>
      <w:r w:rsidRPr="00D63B46">
        <w:rPr>
          <w:rFonts w:ascii="Trebuchet MS" w:hAnsi="Trebuchet MS"/>
          <w:color w:val="4472C4"/>
          <w:sz w:val="20"/>
          <w:szCs w:val="20"/>
        </w:rPr>
        <w:t> +90 312 546 32 05</w:t>
      </w:r>
    </w:p>
    <w:p w14:paraId="6B959EE7" w14:textId="77777777" w:rsidR="007C03F8" w:rsidRPr="00D63B46" w:rsidRDefault="007C03F8" w:rsidP="007C03F8">
      <w:pPr>
        <w:pStyle w:val="xmsonormal"/>
        <w:rPr>
          <w:color w:val="212121"/>
        </w:rPr>
      </w:pPr>
      <w:r w:rsidRPr="00D63B46">
        <w:rPr>
          <w:rFonts w:ascii="Trebuchet MS" w:hAnsi="Trebuchet MS"/>
          <w:b/>
          <w:bCs/>
          <w:color w:val="4472C4"/>
          <w:sz w:val="20"/>
          <w:szCs w:val="20"/>
        </w:rPr>
        <w:t>Address:</w:t>
      </w:r>
      <w:r w:rsidRPr="00D63B46">
        <w:rPr>
          <w:rFonts w:ascii="Trebuchet MS" w:hAnsi="Trebuchet MS"/>
          <w:color w:val="4472C4"/>
          <w:sz w:val="20"/>
          <w:szCs w:val="20"/>
        </w:rPr>
        <w:t> </w:t>
      </w:r>
      <w:proofErr w:type="spellStart"/>
      <w:r w:rsidRPr="00D63B46">
        <w:rPr>
          <w:rFonts w:ascii="Trebuchet MS" w:hAnsi="Trebuchet MS"/>
          <w:color w:val="4472C4"/>
          <w:sz w:val="20"/>
          <w:szCs w:val="20"/>
        </w:rPr>
        <w:t>Türkocağı</w:t>
      </w:r>
      <w:proofErr w:type="spellEnd"/>
      <w:r w:rsidRPr="00D63B46">
        <w:rPr>
          <w:rFonts w:ascii="Trebuchet MS" w:hAnsi="Trebuchet MS"/>
          <w:color w:val="4472C4"/>
          <w:sz w:val="20"/>
          <w:szCs w:val="20"/>
        </w:rPr>
        <w:t xml:space="preserve"> Cad. No: 2 06100 </w:t>
      </w:r>
      <w:proofErr w:type="spellStart"/>
      <w:r w:rsidRPr="00D63B46">
        <w:rPr>
          <w:rFonts w:ascii="Trebuchet MS" w:hAnsi="Trebuchet MS"/>
          <w:color w:val="4472C4"/>
          <w:sz w:val="20"/>
          <w:szCs w:val="20"/>
        </w:rPr>
        <w:t>Bahçelievler</w:t>
      </w:r>
      <w:proofErr w:type="spellEnd"/>
      <w:r w:rsidRPr="00D63B46">
        <w:rPr>
          <w:rFonts w:ascii="Trebuchet MS" w:hAnsi="Trebuchet MS"/>
          <w:color w:val="4472C4"/>
          <w:sz w:val="20"/>
          <w:szCs w:val="20"/>
        </w:rPr>
        <w:t>-Ankara</w:t>
      </w:r>
    </w:p>
    <w:p w14:paraId="65FDF6C8" w14:textId="77777777" w:rsidR="007C03F8" w:rsidRPr="00D63B46" w:rsidRDefault="007C03F8" w:rsidP="007C03F8">
      <w:pPr>
        <w:pStyle w:val="xmsonormal"/>
        <w:rPr>
          <w:color w:val="212121"/>
        </w:rPr>
      </w:pPr>
      <w:r w:rsidRPr="00D63B46">
        <w:rPr>
          <w:rFonts w:ascii="Trebuchet MS" w:hAnsi="Trebuchet MS"/>
          <w:b/>
          <w:bCs/>
          <w:color w:val="4472C4"/>
          <w:sz w:val="20"/>
          <w:szCs w:val="20"/>
        </w:rPr>
        <w:t>E-mail:</w:t>
      </w:r>
      <w:r w:rsidRPr="00D63B46">
        <w:rPr>
          <w:rFonts w:ascii="Trebuchet MS" w:hAnsi="Trebuchet MS"/>
          <w:color w:val="212121"/>
          <w:sz w:val="20"/>
          <w:szCs w:val="20"/>
        </w:rPr>
        <w:t> </w:t>
      </w:r>
      <w:hyperlink r:id="rId77" w:tgtFrame="_blank" w:history="1">
        <w:r w:rsidRPr="00D63B46">
          <w:rPr>
            <w:rStyle w:val="Hyperlink"/>
            <w:rFonts w:ascii="Trebuchet MS" w:hAnsi="Trebuchet MS"/>
            <w:sz w:val="20"/>
            <w:szCs w:val="20"/>
          </w:rPr>
          <w:t>ebostanci@enerji.gov.tr</w:t>
        </w:r>
      </w:hyperlink>
    </w:p>
    <w:p w14:paraId="5AF14207" w14:textId="77777777" w:rsidR="007C03F8" w:rsidRPr="00D63B46" w:rsidRDefault="007C03F8" w:rsidP="007C03F8">
      <w:pPr>
        <w:pStyle w:val="xmsonormal"/>
        <w:rPr>
          <w:color w:val="212121"/>
        </w:rPr>
      </w:pPr>
      <w:r w:rsidRPr="00D63B46">
        <w:rPr>
          <w:color w:val="212121"/>
        </w:rPr>
        <w:t> </w:t>
      </w:r>
    </w:p>
    <w:p w14:paraId="747EEB8B" w14:textId="77777777" w:rsidR="007C03F8" w:rsidRPr="00D63B46" w:rsidRDefault="007C03F8" w:rsidP="007C03F8">
      <w:pPr>
        <w:jc w:val="center"/>
        <w:rPr>
          <w:rFonts w:eastAsia="Times New Roman"/>
          <w:color w:val="000000"/>
          <w:sz w:val="24"/>
          <w:szCs w:val="24"/>
        </w:rPr>
      </w:pPr>
      <w:r w:rsidRPr="00D63B46">
        <w:rPr>
          <w:rFonts w:eastAsia="Times New Roman"/>
          <w:color w:val="000000"/>
          <w:sz w:val="24"/>
          <w:szCs w:val="24"/>
        </w:rPr>
        <w:pict w14:anchorId="1EE2D56C">
          <v:rect id="_x0000_i1045" style="width:458.65pt;height:1pt" o:hrpct="980" o:hralign="center" o:hrstd="t" o:hr="t" fillcolor="#a0a0a0" stroked="f"/>
        </w:pict>
      </w:r>
    </w:p>
    <w:p w14:paraId="7B34B599" w14:textId="51A18A01" w:rsidR="007C03F8" w:rsidRPr="00A23188" w:rsidRDefault="007C03F8" w:rsidP="00A23188">
      <w:pPr>
        <w:pStyle w:val="NormalWeb"/>
        <w:rPr>
          <w:color w:val="000000"/>
        </w:rPr>
      </w:pPr>
      <w:r w:rsidRPr="00D63B46">
        <w:rPr>
          <w:color w:val="000000"/>
        </w:rPr>
        <w:t> </w:t>
      </w:r>
    </w:p>
    <w:p w14:paraId="3027BB99" w14:textId="77777777" w:rsidR="007C03F8" w:rsidRDefault="007C03F8" w:rsidP="007C03F8">
      <w:pPr>
        <w:rPr>
          <w:rFonts w:ascii="Calibri" w:eastAsia="Times New Roman" w:hAnsi="Calibri" w:cs="Calibri"/>
        </w:rPr>
      </w:pPr>
      <w:r>
        <w:rPr>
          <w:rFonts w:ascii="Calibri" w:eastAsia="Times New Roman" w:hAnsi="Calibri" w:cs="Calibri"/>
          <w:b/>
          <w:bCs/>
        </w:rPr>
        <w:t>From:</w:t>
      </w:r>
      <w:r>
        <w:rPr>
          <w:rFonts w:ascii="Calibri" w:eastAsia="Times New Roman" w:hAnsi="Calibri" w:cs="Calibri"/>
        </w:rPr>
        <w:t xml:space="preserve"> TUBA YALIM &lt;tuba.yalim@hmb.gov.tr&gt; </w:t>
      </w:r>
      <w:r>
        <w:rPr>
          <w:rFonts w:ascii="Calibri" w:eastAsia="Times New Roman" w:hAnsi="Calibri" w:cs="Calibri"/>
        </w:rPr>
        <w:br/>
      </w:r>
      <w:r>
        <w:rPr>
          <w:rFonts w:ascii="Calibri" w:eastAsia="Times New Roman" w:hAnsi="Calibri" w:cs="Calibri"/>
          <w:b/>
          <w:bCs/>
        </w:rPr>
        <w:t>Sent:</w:t>
      </w:r>
      <w:r>
        <w:rPr>
          <w:rFonts w:ascii="Calibri" w:eastAsia="Times New Roman" w:hAnsi="Calibri" w:cs="Calibri"/>
        </w:rPr>
        <w:t xml:space="preserve"> Tuesday, June 25, 2024 6:20 PM</w:t>
      </w:r>
      <w:r>
        <w:rPr>
          <w:rFonts w:ascii="Calibri" w:eastAsia="Times New Roman" w:hAnsi="Calibri" w:cs="Calibri"/>
        </w:rPr>
        <w:br/>
      </w:r>
      <w:r>
        <w:rPr>
          <w:rFonts w:ascii="Calibri" w:eastAsia="Times New Roman" w:hAnsi="Calibri" w:cs="Calibri"/>
          <w:b/>
          <w:bCs/>
        </w:rPr>
        <w:t>To:</w:t>
      </w:r>
      <w:r>
        <w:rPr>
          <w:rFonts w:ascii="Calibri" w:eastAsia="Times New Roman" w:hAnsi="Calibri" w:cs="Calibri"/>
        </w:rPr>
        <w:t xml:space="preserve"> Stephan Claude Frederic Garnier &lt;sgarnier@worldbank.org&gt;; Yesim Akcollu &lt;yakcollu@worldbank.org&gt;</w:t>
      </w:r>
      <w:r>
        <w:rPr>
          <w:rFonts w:ascii="Calibri" w:eastAsia="Times New Roman" w:hAnsi="Calibri" w:cs="Calibri"/>
        </w:rPr>
        <w:br/>
      </w:r>
      <w:r>
        <w:rPr>
          <w:rFonts w:ascii="Calibri" w:eastAsia="Times New Roman" w:hAnsi="Calibri" w:cs="Calibri"/>
          <w:b/>
          <w:bCs/>
        </w:rPr>
        <w:t>Cc:</w:t>
      </w:r>
      <w:r>
        <w:rPr>
          <w:rFonts w:ascii="Calibri" w:eastAsia="Times New Roman" w:hAnsi="Calibri" w:cs="Calibri"/>
        </w:rPr>
        <w:t xml:space="preserve"> Kerem Dönmez &lt;kerem.donmez@hmb.gov.tr&gt;; </w:t>
      </w:r>
      <w:proofErr w:type="spellStart"/>
      <w:r>
        <w:rPr>
          <w:rFonts w:ascii="Calibri" w:eastAsia="Times New Roman" w:hAnsi="Calibri" w:cs="Calibri"/>
        </w:rPr>
        <w:t>Bengu</w:t>
      </w:r>
      <w:proofErr w:type="spellEnd"/>
      <w:r>
        <w:rPr>
          <w:rFonts w:ascii="Calibri" w:eastAsia="Times New Roman" w:hAnsi="Calibri" w:cs="Calibri"/>
        </w:rPr>
        <w:t xml:space="preserve"> </w:t>
      </w:r>
      <w:proofErr w:type="spellStart"/>
      <w:r>
        <w:rPr>
          <w:rFonts w:ascii="Calibri" w:eastAsia="Times New Roman" w:hAnsi="Calibri" w:cs="Calibri"/>
        </w:rPr>
        <w:t>Aytekin</w:t>
      </w:r>
      <w:proofErr w:type="spellEnd"/>
      <w:r>
        <w:rPr>
          <w:rFonts w:ascii="Calibri" w:eastAsia="Times New Roman" w:hAnsi="Calibri" w:cs="Calibri"/>
        </w:rPr>
        <w:t xml:space="preserve"> &lt;bengu.aytekin@hmb.gov.tr&gt;; Tendai Madenyika &lt;tmadenyika@ifc.org&gt;; Frank van der Vleuten &lt;fvandervleuten@worldbank.org&gt;; Megan Meyer &lt;mmeyer1@worldbank.org&gt;; Andrey Shlyakhtenko &lt;ashlyakhtenko@ifc.org&gt;; Sudipta Husain &lt;shusain3@ifc.org&gt;; Fatih Avci &lt;favci@ifc.org&gt;; Ozge Ozden &lt;oozden@worldbank.org&gt;; Debabrata </w:t>
      </w:r>
      <w:r>
        <w:rPr>
          <w:rFonts w:ascii="Calibri" w:eastAsia="Times New Roman" w:hAnsi="Calibri" w:cs="Calibri"/>
        </w:rPr>
        <w:lastRenderedPageBreak/>
        <w:t xml:space="preserve">Chattopadhyay &lt;dchattopadhyay@worldbank.org&gt;; Seckin Ulgen &lt;nseckinulgen@gmail.com&gt;; Daniel Morris &lt;dmorris3@worldbank.org&gt;; Jimmy Pannett &lt;jpannett@worldbank.org&gt;; 'Kilic, Sule' &lt;KILICS@ebrd.com&gt;; 'Askin, Muharrem' &lt;ASKINM@ebrd.com&gt;; 'Yasar, Mehmet Erdem' &lt;yasarm@ebrd.com&gt;; 'Tezcan, </w:t>
      </w:r>
      <w:proofErr w:type="spellStart"/>
      <w:r>
        <w:rPr>
          <w:rFonts w:ascii="Calibri" w:eastAsia="Times New Roman" w:hAnsi="Calibri" w:cs="Calibri"/>
        </w:rPr>
        <w:t>Can'</w:t>
      </w:r>
      <w:proofErr w:type="spellEnd"/>
      <w:r>
        <w:rPr>
          <w:rFonts w:ascii="Calibri" w:eastAsia="Times New Roman" w:hAnsi="Calibri" w:cs="Calibri"/>
        </w:rPr>
        <w:t xml:space="preserve"> &lt;TEZCANC@ebrd.com&gt;; Byambasuren Chuluunbat &lt;bchuluunbat1@worldbank.org&gt;; Alan David Lee &lt;adlee@worldbank.org&gt;; Simay Duman &lt;sduman@worldbank.org&gt;; Eyup Mermer &lt;emermer@worldbank.org&gt;; Jimmy Pannett &lt;jpannett@cif.org&gt;; Daniel Morris &lt;danielmorris@cif.org&gt;; gertemir &lt;gertemir@enerji.gov.tr&gt;; Fatih Avci &lt;favci@ifc.org&gt;; Sudipta Husain &lt;shusain3@ifc.org&gt;; Elif Karakas Oglak &lt;elkarakas@ifc.org&gt;; Eyup Mermer &lt;emermer@worldbank.org&gt;; Buse Ucanlar &lt;bucanlar@worldbank.org&gt;; iklim &lt;iklim@hmb.gov.tr&gt;; ManchanS@ebrd.com; 'Kilic, Sule' &lt;KILICS@ebrd.com&gt;; 'Askin, Muharrem' &lt;ASKINM@ebrd.com&gt;; Managadze, David &lt;ManagadD@ebrd.com&gt;; 'Tezcan, </w:t>
      </w:r>
      <w:proofErr w:type="spellStart"/>
      <w:r>
        <w:rPr>
          <w:rFonts w:ascii="Calibri" w:eastAsia="Times New Roman" w:hAnsi="Calibri" w:cs="Calibri"/>
        </w:rPr>
        <w:t>Can'</w:t>
      </w:r>
      <w:proofErr w:type="spellEnd"/>
      <w:r>
        <w:rPr>
          <w:rFonts w:ascii="Calibri" w:eastAsia="Times New Roman" w:hAnsi="Calibri" w:cs="Calibri"/>
        </w:rPr>
        <w:t xml:space="preserve"> &lt;TEZCANC@ebrd.com&gt;; Carraretto, Cristian &lt;CarrareC@ebrd.com&gt;; ManchanS@ebrd.com; Dadivanyan, Tatevik &lt;DADIVANT@ebrd.com&gt;; Tastekin, Elif &lt;TastekiE@ebrd.com&gt;; Calderone, Margherita &lt;CalderoM@ebrd.com&gt;; TumerO@ebrd.com; IroA@ebrd.com; Frank van der Vleuten &lt;fvandervleuten@worldbank.org&gt;; Megan Meyer &lt;mmeyer1@worldbank.org&gt;; gertemir &lt;gertemir@enerji.gov.tr&gt;; iklim &lt;iklim@hmb.gov.tr&gt;; </w:t>
      </w:r>
      <w:proofErr w:type="spellStart"/>
      <w:r>
        <w:rPr>
          <w:rFonts w:ascii="Calibri" w:eastAsia="Times New Roman" w:hAnsi="Calibri" w:cs="Calibri"/>
        </w:rPr>
        <w:t>arda.uludag</w:t>
      </w:r>
      <w:proofErr w:type="spellEnd"/>
      <w:r>
        <w:rPr>
          <w:rFonts w:ascii="Calibri" w:eastAsia="Times New Roman" w:hAnsi="Calibri" w:cs="Calibri"/>
        </w:rPr>
        <w:t xml:space="preserve"> &lt;arda.uludag@hmb.gov.tr&gt;; ebostanci &lt;ebostanci@enerji.gov.tr&gt;; ozgur.turkeri@hmb.gov.tr</w:t>
      </w:r>
      <w:r>
        <w:rPr>
          <w:rFonts w:ascii="Calibri" w:eastAsia="Times New Roman" w:hAnsi="Calibri" w:cs="Calibri"/>
        </w:rPr>
        <w:br/>
      </w:r>
      <w:r>
        <w:rPr>
          <w:rFonts w:ascii="Calibri" w:eastAsia="Times New Roman" w:hAnsi="Calibri" w:cs="Calibri"/>
          <w:b/>
          <w:bCs/>
        </w:rPr>
        <w:t>Subject:</w:t>
      </w:r>
      <w:r>
        <w:rPr>
          <w:rFonts w:ascii="Calibri" w:eastAsia="Times New Roman" w:hAnsi="Calibri" w:cs="Calibri"/>
        </w:rPr>
        <w:t xml:space="preserve"> RE: GENTLE REMINDER --- RE: </w:t>
      </w:r>
      <w:proofErr w:type="spellStart"/>
      <w:r>
        <w:rPr>
          <w:rFonts w:ascii="Calibri" w:eastAsia="Times New Roman" w:hAnsi="Calibri" w:cs="Calibri"/>
        </w:rPr>
        <w:t>Turkiye</w:t>
      </w:r>
      <w:proofErr w:type="spellEnd"/>
      <w:r>
        <w:rPr>
          <w:rFonts w:ascii="Calibri" w:eastAsia="Times New Roman" w:hAnsi="Calibri" w:cs="Calibri"/>
        </w:rPr>
        <w:t xml:space="preserve"> CTF REI IP -- Letter to </w:t>
      </w:r>
      <w:proofErr w:type="spellStart"/>
      <w:r>
        <w:rPr>
          <w:rFonts w:ascii="Calibri" w:eastAsia="Times New Roman" w:hAnsi="Calibri" w:cs="Calibri"/>
        </w:rPr>
        <w:t>MoTF</w:t>
      </w:r>
      <w:proofErr w:type="spellEnd"/>
      <w:r>
        <w:rPr>
          <w:rFonts w:ascii="Calibri" w:eastAsia="Times New Roman" w:hAnsi="Calibri" w:cs="Calibri"/>
        </w:rPr>
        <w:t xml:space="preserve"> / MENR</w:t>
      </w:r>
    </w:p>
    <w:p w14:paraId="1D815313" w14:textId="763127BD" w:rsidR="007C03F8" w:rsidRPr="00A23188" w:rsidRDefault="007C03F8" w:rsidP="007C03F8">
      <w:pPr>
        <w:rPr>
          <w:rFonts w:ascii="Calibri" w:eastAsiaTheme="minorHAnsi" w:hAnsi="Calibri" w:cs="Calibri"/>
          <w:lang w:val="tr-TR"/>
        </w:rPr>
      </w:pPr>
      <w:r>
        <w:rPr>
          <w:rFonts w:ascii="Calibri" w:hAnsi="Calibri" w:cs="Calibri"/>
          <w:lang w:val="tr-TR"/>
        </w:rPr>
        <w:t xml:space="preserve">Dear Mr. Garnier and Mrs. Akcollu, </w:t>
      </w:r>
    </w:p>
    <w:p w14:paraId="53A49C04" w14:textId="1B7F5675" w:rsidR="007C03F8" w:rsidRDefault="007C03F8" w:rsidP="007C03F8">
      <w:pPr>
        <w:rPr>
          <w:rFonts w:ascii="Calibri" w:hAnsi="Calibri" w:cs="Calibri"/>
          <w:lang w:val="tr-TR"/>
        </w:rPr>
      </w:pPr>
      <w:r>
        <w:rPr>
          <w:rFonts w:ascii="Calibri" w:hAnsi="Calibri" w:cs="Calibri"/>
          <w:lang w:val="tr-TR"/>
        </w:rPr>
        <w:t xml:space="preserve">In your previous e-mail below, you stated the interest of some MDB partners to postpone Türkiye’s REI IP in order to have an agreement between TEİAŞ and EBRD on the list of a possible investment. </w:t>
      </w:r>
    </w:p>
    <w:p w14:paraId="086B4FE9" w14:textId="3D429501" w:rsidR="007C03F8" w:rsidRDefault="007C03F8" w:rsidP="007C03F8">
      <w:pPr>
        <w:rPr>
          <w:rFonts w:ascii="Calibri" w:hAnsi="Calibri" w:cs="Calibri"/>
          <w:lang w:val="tr-TR"/>
        </w:rPr>
      </w:pPr>
      <w:r>
        <w:rPr>
          <w:rFonts w:ascii="Calibri" w:hAnsi="Calibri" w:cs="Calibri"/>
          <w:lang w:val="tr-TR"/>
        </w:rPr>
        <w:t xml:space="preserve">Considering the risk of not being able to benefit from the loans and grants to be disbursed under the REI IP, we sent our letter to the CIF Secretariat regarding the submission of the IP until mid-July. </w:t>
      </w:r>
    </w:p>
    <w:p w14:paraId="51E4B543" w14:textId="30D2DBE9" w:rsidR="007C03F8" w:rsidRDefault="007C03F8" w:rsidP="007C03F8">
      <w:pPr>
        <w:rPr>
          <w:rFonts w:ascii="Calibri" w:hAnsi="Calibri" w:cs="Calibri"/>
          <w:lang w:val="tr-TR"/>
        </w:rPr>
      </w:pPr>
      <w:r>
        <w:rPr>
          <w:rFonts w:ascii="Calibri" w:hAnsi="Calibri" w:cs="Calibri"/>
          <w:lang w:val="tr-TR"/>
        </w:rPr>
        <w:t>At this stage, we decided that it would be appropriate for TEİAŞ to continue with the World Bank and to proceed the amounts initially agreed in the component 1 for TEİAŞ (</w:t>
      </w:r>
      <w:r>
        <w:rPr>
          <w:rFonts w:ascii="Calibri" w:hAnsi="Calibri" w:cs="Calibri"/>
        </w:rPr>
        <w:t>US$</w:t>
      </w:r>
      <w:r>
        <w:rPr>
          <w:rFonts w:ascii="Calibri" w:hAnsi="Calibri" w:cs="Calibri"/>
          <w:lang w:val="tr-TR"/>
        </w:rPr>
        <w:t>40 million).</w:t>
      </w:r>
    </w:p>
    <w:p w14:paraId="0BA30E0A" w14:textId="0E65E0AC" w:rsidR="007C03F8" w:rsidRDefault="007C03F8" w:rsidP="007C03F8">
      <w:pPr>
        <w:rPr>
          <w:rFonts w:ascii="Calibri" w:hAnsi="Calibri" w:cs="Calibri"/>
          <w:lang w:val="tr-TR"/>
        </w:rPr>
      </w:pPr>
      <w:r>
        <w:rPr>
          <w:rFonts w:ascii="Calibri" w:hAnsi="Calibri" w:cs="Calibri"/>
          <w:lang w:val="tr-TR"/>
        </w:rPr>
        <w:t xml:space="preserve">Therefore, as you mentioned in our meeting on June 11, 2024, it is essential that the World Bank, as the lead MDB, immediately maintain coordination for the submission of the IP until mid-July so that the REI IP of our country can be endorsed at the next CIF meeting. </w:t>
      </w:r>
    </w:p>
    <w:p w14:paraId="00C5CD3F" w14:textId="060860E5" w:rsidR="007C03F8" w:rsidRDefault="007C03F8" w:rsidP="007C03F8">
      <w:pPr>
        <w:rPr>
          <w:rFonts w:ascii="Calibri" w:hAnsi="Calibri" w:cs="Calibri"/>
          <w:lang w:val="tr-TR"/>
        </w:rPr>
      </w:pPr>
      <w:r>
        <w:rPr>
          <w:rFonts w:ascii="Calibri" w:hAnsi="Calibri" w:cs="Calibri"/>
          <w:lang w:val="tr-TR"/>
        </w:rPr>
        <w:t xml:space="preserve">In addition, we kindly request from you to send us the final version of the updated IP on the basis of the recent comments. </w:t>
      </w:r>
    </w:p>
    <w:p w14:paraId="3F5F8F93" w14:textId="77777777" w:rsidR="007C03F8" w:rsidRDefault="007C03F8" w:rsidP="007C03F8">
      <w:pPr>
        <w:rPr>
          <w:rFonts w:ascii="Calibri" w:hAnsi="Calibri" w:cs="Calibri"/>
          <w:lang w:val="tr-TR"/>
        </w:rPr>
      </w:pPr>
      <w:r>
        <w:rPr>
          <w:rFonts w:ascii="Calibri" w:hAnsi="Calibri" w:cs="Calibri"/>
          <w:lang w:val="tr-TR"/>
        </w:rPr>
        <w:t>Best regards,</w:t>
      </w:r>
    </w:p>
    <w:p w14:paraId="0C4EB001" w14:textId="5953A305" w:rsidR="007C03F8" w:rsidRDefault="007C03F8" w:rsidP="007C03F8">
      <w:pPr>
        <w:rPr>
          <w:rFonts w:ascii="Calisto MT" w:hAnsi="Calisto MT" w:cs="Times New Roman"/>
          <w:color w:val="2F5496"/>
        </w:rPr>
      </w:pPr>
      <w:r>
        <w:rPr>
          <w:rFonts w:ascii="Calibri" w:hAnsi="Calibri" w:cs="Calibri"/>
          <w:lang w:eastAsia="ja-JP"/>
        </w:rPr>
        <w:t>Tuba</w:t>
      </w:r>
      <w:r w:rsidR="003C551D">
        <w:rPr>
          <w:rFonts w:ascii="Calibri" w:hAnsi="Calibri" w:cs="Calibri"/>
          <w:lang w:eastAsia="ja-JP"/>
        </w:rPr>
        <w:t xml:space="preserve">, </w:t>
      </w:r>
      <w:r>
        <w:rPr>
          <w:rFonts w:ascii="Calisto MT" w:hAnsi="Calisto MT"/>
          <w:b/>
          <w:bCs/>
          <w:color w:val="002060"/>
        </w:rPr>
        <w:t>Tuba YALIM</w:t>
      </w:r>
    </w:p>
    <w:p w14:paraId="41C2C857" w14:textId="77777777" w:rsidR="007C03F8" w:rsidRDefault="007C03F8" w:rsidP="007C03F8">
      <w:pPr>
        <w:rPr>
          <w:rFonts w:ascii="Calisto MT" w:hAnsi="Calisto MT"/>
          <w:i/>
          <w:iCs/>
          <w:color w:val="002060"/>
        </w:rPr>
      </w:pPr>
      <w:r>
        <w:rPr>
          <w:rFonts w:ascii="Calisto MT" w:hAnsi="Calisto MT"/>
          <w:i/>
          <w:iCs/>
          <w:color w:val="002060"/>
        </w:rPr>
        <w:t>Head of Department</w:t>
      </w:r>
    </w:p>
    <w:p w14:paraId="73B17BDE" w14:textId="77777777" w:rsidR="007C03F8" w:rsidRDefault="007C03F8" w:rsidP="007C03F8">
      <w:pPr>
        <w:rPr>
          <w:rFonts w:ascii="Calisto MT" w:hAnsi="Calisto MT"/>
          <w:b/>
          <w:bCs/>
          <w:color w:val="002060"/>
        </w:rPr>
      </w:pPr>
      <w:r>
        <w:rPr>
          <w:rFonts w:ascii="Calisto MT" w:hAnsi="Calisto MT"/>
          <w:b/>
          <w:bCs/>
          <w:color w:val="002060"/>
        </w:rPr>
        <w:t>Republic of Türkiye-Ministry of Treasury and Finance</w:t>
      </w:r>
    </w:p>
    <w:p w14:paraId="7AE9E0BE" w14:textId="77777777" w:rsidR="007C03F8" w:rsidRDefault="007C03F8" w:rsidP="007C03F8">
      <w:pPr>
        <w:rPr>
          <w:rFonts w:ascii="Calisto MT" w:hAnsi="Calisto MT"/>
          <w:i/>
          <w:iCs/>
          <w:color w:val="002060"/>
        </w:rPr>
      </w:pPr>
      <w:r>
        <w:rPr>
          <w:rFonts w:ascii="Calisto MT" w:hAnsi="Calisto MT"/>
          <w:i/>
          <w:iCs/>
          <w:color w:val="002060"/>
        </w:rPr>
        <w:t>Directorate General of Foreign Economic Relations</w:t>
      </w:r>
    </w:p>
    <w:p w14:paraId="27916E3D" w14:textId="55EF068D" w:rsidR="00732F2C" w:rsidRPr="0043215C" w:rsidRDefault="007C03F8" w:rsidP="002A0B70">
      <w:pPr>
        <w:spacing w:after="60"/>
        <w:rPr>
          <w:rFonts w:cstheme="minorHAnsi"/>
          <w:sz w:val="20"/>
          <w:szCs w:val="20"/>
        </w:rPr>
      </w:pPr>
      <w:r>
        <w:rPr>
          <w:rFonts w:ascii="Calisto MT" w:hAnsi="Calisto MT"/>
          <w:i/>
          <w:iCs/>
          <w:color w:val="002060"/>
        </w:rPr>
        <w:t>Department of EU, Climate Change and International Organizations</w:t>
      </w:r>
      <w:r w:rsidR="003C551D">
        <w:rPr>
          <w:rFonts w:ascii="Calisto MT" w:hAnsi="Calisto MT"/>
          <w:i/>
          <w:iCs/>
          <w:color w:val="002060"/>
        </w:rPr>
        <w:t>,</w:t>
      </w:r>
      <w:r w:rsidR="003C551D" w:rsidRPr="003C551D">
        <w:rPr>
          <w:rFonts w:ascii="Calisto MT" w:hAnsi="Calisto MT"/>
          <w:color w:val="002060"/>
          <w:sz w:val="20"/>
          <w:szCs w:val="20"/>
        </w:rPr>
        <w:t xml:space="preserve"> </w:t>
      </w:r>
      <w:r w:rsidR="003C551D">
        <w:rPr>
          <w:rFonts w:ascii="Calisto MT" w:hAnsi="Calisto MT"/>
          <w:color w:val="002060"/>
          <w:sz w:val="20"/>
          <w:szCs w:val="20"/>
        </w:rPr>
        <w:t xml:space="preserve">Tel: +90 312 497 70 88 </w:t>
      </w:r>
      <w:bookmarkEnd w:id="271"/>
    </w:p>
    <w:p w14:paraId="31A2F50B" w14:textId="77777777" w:rsidR="00732F2C" w:rsidRPr="0043215C" w:rsidRDefault="00732F2C" w:rsidP="00347F37">
      <w:pPr>
        <w:rPr>
          <w:rFonts w:cstheme="minorHAnsi"/>
          <w:sz w:val="20"/>
          <w:szCs w:val="20"/>
        </w:rPr>
      </w:pPr>
    </w:p>
    <w:p w14:paraId="7A46F883" w14:textId="77777777" w:rsidR="004E52F0" w:rsidRDefault="004E52F0" w:rsidP="004A512C">
      <w:pPr>
        <w:pStyle w:val="Heading3"/>
        <w:sectPr w:rsidR="004E52F0" w:rsidSect="00B027E0">
          <w:pgSz w:w="12240" w:h="15840"/>
          <w:pgMar w:top="1440" w:right="1440" w:bottom="1526" w:left="1440" w:header="720" w:footer="720" w:gutter="0"/>
          <w:cols w:space="720"/>
          <w:docGrid w:linePitch="360"/>
        </w:sectPr>
      </w:pPr>
    </w:p>
    <w:p w14:paraId="2087BC5F" w14:textId="4C0B0B01" w:rsidR="004A512C" w:rsidRPr="00792CEE" w:rsidRDefault="004A512C" w:rsidP="004A512C">
      <w:pPr>
        <w:pStyle w:val="Heading3"/>
      </w:pPr>
      <w:bookmarkStart w:id="272" w:name="_Toc170319877"/>
      <w:r>
        <w:lastRenderedPageBreak/>
        <w:t>ANNEX 1</w:t>
      </w:r>
      <w:r w:rsidR="00090899">
        <w:t>1</w:t>
      </w:r>
      <w:r>
        <w:t>: CIF Integrated Results Framework</w:t>
      </w:r>
      <w:r w:rsidR="008673D2">
        <w:t xml:space="preserve"> Toolkit</w:t>
      </w:r>
      <w:r>
        <w:t>- Renewable Energy Integration Program</w:t>
      </w:r>
      <w:bookmarkEnd w:id="272"/>
    </w:p>
    <w:p w14:paraId="51E1B66B" w14:textId="77777777" w:rsidR="004A512C" w:rsidRPr="00D52D26" w:rsidRDefault="004A512C" w:rsidP="00347F37">
      <w:pPr>
        <w:rPr>
          <w:rFonts w:ascii="Calibri" w:hAnsi="Calibri" w:cs="Calibri"/>
        </w:rPr>
      </w:pPr>
    </w:p>
    <w:tbl>
      <w:tblPr>
        <w:tblStyle w:val="TableGrid"/>
        <w:tblW w:w="15030" w:type="dxa"/>
        <w:tblInd w:w="-117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80" w:firstRow="0" w:lastRow="0" w:firstColumn="1" w:lastColumn="0" w:noHBand="0" w:noVBand="1"/>
      </w:tblPr>
      <w:tblGrid>
        <w:gridCol w:w="15030"/>
      </w:tblGrid>
      <w:tr w:rsidR="00597795" w:rsidRPr="001559BC" w14:paraId="178A268F" w14:textId="77777777" w:rsidTr="004A512C">
        <w:trPr>
          <w:trHeight w:val="432"/>
        </w:trPr>
        <w:tc>
          <w:tcPr>
            <w:tcW w:w="15030" w:type="dxa"/>
            <w:shd w:val="clear" w:color="auto" w:fill="333C42"/>
            <w:vAlign w:val="center"/>
          </w:tcPr>
          <w:p w14:paraId="41F96450" w14:textId="77777777" w:rsidR="003B3F51" w:rsidRPr="002A5594" w:rsidRDefault="003B3F51">
            <w:pPr>
              <w:spacing w:before="240" w:after="240"/>
              <w:jc w:val="center"/>
              <w:rPr>
                <w:rFonts w:asciiTheme="majorHAnsi" w:hAnsiTheme="majorHAnsi" w:cstheme="majorHAnsi"/>
                <w:b/>
                <w:bCs/>
                <w:color w:val="FFFFFF" w:themeColor="background1"/>
                <w:sz w:val="28"/>
                <w:szCs w:val="28"/>
              </w:rPr>
            </w:pPr>
            <w:r w:rsidRPr="002A5594">
              <w:rPr>
                <w:rFonts w:asciiTheme="majorHAnsi" w:hAnsiTheme="majorHAnsi" w:cstheme="majorHAnsi"/>
                <w:b/>
                <w:bCs/>
                <w:color w:val="FFFFFF" w:themeColor="background1"/>
                <w:sz w:val="28"/>
                <w:szCs w:val="28"/>
              </w:rPr>
              <w:t xml:space="preserve">CIF INTEGRATED RESULTS FRAMEWORK </w:t>
            </w:r>
            <w:r>
              <w:rPr>
                <w:rFonts w:asciiTheme="majorHAnsi" w:hAnsiTheme="majorHAnsi" w:cstheme="majorHAnsi"/>
                <w:b/>
                <w:bCs/>
                <w:color w:val="FFFFFF" w:themeColor="background1"/>
                <w:sz w:val="28"/>
                <w:szCs w:val="28"/>
              </w:rPr>
              <w:t xml:space="preserve">– </w:t>
            </w:r>
            <w:r w:rsidRPr="002A5594">
              <w:rPr>
                <w:rFonts w:asciiTheme="majorHAnsi" w:hAnsiTheme="majorHAnsi" w:cstheme="majorHAnsi"/>
                <w:b/>
                <w:bCs/>
                <w:color w:val="FFFFFF" w:themeColor="background1"/>
                <w:sz w:val="28"/>
                <w:szCs w:val="28"/>
              </w:rPr>
              <w:t xml:space="preserve">RENEWABLE ENERGY </w:t>
            </w:r>
            <w:r>
              <w:rPr>
                <w:rFonts w:asciiTheme="majorHAnsi" w:hAnsiTheme="majorHAnsi" w:cstheme="majorHAnsi"/>
                <w:b/>
                <w:bCs/>
                <w:color w:val="FFFFFF" w:themeColor="background1"/>
                <w:sz w:val="28"/>
                <w:szCs w:val="28"/>
              </w:rPr>
              <w:t xml:space="preserve">INTEGRATION </w:t>
            </w:r>
            <w:r w:rsidRPr="002A5594">
              <w:rPr>
                <w:rFonts w:asciiTheme="majorHAnsi" w:hAnsiTheme="majorHAnsi" w:cstheme="majorHAnsi"/>
                <w:b/>
                <w:bCs/>
                <w:color w:val="FFFFFF" w:themeColor="background1"/>
                <w:sz w:val="28"/>
                <w:szCs w:val="28"/>
              </w:rPr>
              <w:t>PROGRAM</w:t>
            </w:r>
          </w:p>
        </w:tc>
      </w:tr>
      <w:tr w:rsidR="00597795" w:rsidRPr="001559BC" w14:paraId="5C61C996" w14:textId="77777777" w:rsidTr="004A512C">
        <w:trPr>
          <w:trHeight w:val="360"/>
        </w:trPr>
        <w:tc>
          <w:tcPr>
            <w:tcW w:w="15030" w:type="dxa"/>
            <w:shd w:val="clear" w:color="auto" w:fill="005364"/>
          </w:tcPr>
          <w:p w14:paraId="29F5F918" w14:textId="77777777" w:rsidR="003B3F51" w:rsidRPr="00D459C9" w:rsidRDefault="003B3F51">
            <w:pPr>
              <w:spacing w:before="240" w:after="240"/>
              <w:jc w:val="center"/>
              <w:rPr>
                <w:rFonts w:asciiTheme="majorHAnsi" w:hAnsiTheme="majorHAnsi" w:cstheme="majorHAnsi"/>
                <w:b/>
                <w:bCs/>
                <w:color w:val="FFFFFF" w:themeColor="background1"/>
                <w:sz w:val="24"/>
                <w:szCs w:val="24"/>
              </w:rPr>
            </w:pPr>
            <w:r w:rsidRPr="00527A31">
              <w:rPr>
                <w:rFonts w:asciiTheme="majorHAnsi" w:hAnsiTheme="majorHAnsi" w:cstheme="majorHAnsi"/>
                <w:b/>
                <w:bCs/>
                <w:color w:val="A6A6A6" w:themeColor="background1" w:themeShade="A6"/>
                <w:sz w:val="28"/>
                <w:szCs w:val="28"/>
              </w:rPr>
              <w:t>CIF IMPACT</w:t>
            </w:r>
            <w:r w:rsidRPr="00824549">
              <w:rPr>
                <w:rFonts w:asciiTheme="majorHAnsi" w:hAnsiTheme="majorHAnsi" w:cstheme="majorHAnsi"/>
                <w:b/>
                <w:bCs/>
                <w:color w:val="FFFFFF" w:themeColor="background1"/>
                <w:sz w:val="24"/>
                <w:szCs w:val="24"/>
              </w:rPr>
              <w:br/>
            </w:r>
            <w:r w:rsidRPr="00A6648B">
              <w:rPr>
                <w:rFonts w:asciiTheme="majorHAnsi" w:hAnsiTheme="majorHAnsi" w:cstheme="majorHAnsi"/>
                <w:b/>
                <w:bCs/>
                <w:color w:val="FFFFFF" w:themeColor="background1"/>
                <w:sz w:val="28"/>
                <w:szCs w:val="28"/>
              </w:rPr>
              <w:t>Accelerated transformational change toward net-zero emissions and inclusive, climate-resilient development pathways</w:t>
            </w:r>
          </w:p>
        </w:tc>
      </w:tr>
    </w:tbl>
    <w:p w14:paraId="2E7F5E5A" w14:textId="77777777" w:rsidR="003B3F51" w:rsidRPr="00664EB9" w:rsidRDefault="003B3F51" w:rsidP="003B3F51">
      <w:pPr>
        <w:rPr>
          <w:sz w:val="2"/>
          <w:szCs w:val="2"/>
        </w:rPr>
      </w:pPr>
    </w:p>
    <w:tbl>
      <w:tblPr>
        <w:tblStyle w:val="TableGrid"/>
        <w:tblW w:w="15030" w:type="dxa"/>
        <w:tblInd w:w="-117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80" w:firstRow="0" w:lastRow="0" w:firstColumn="1" w:lastColumn="0" w:noHBand="0" w:noVBand="1"/>
      </w:tblPr>
      <w:tblGrid>
        <w:gridCol w:w="1799"/>
        <w:gridCol w:w="1801"/>
        <w:gridCol w:w="1198"/>
        <w:gridCol w:w="1067"/>
        <w:gridCol w:w="951"/>
        <w:gridCol w:w="2610"/>
        <w:gridCol w:w="10"/>
        <w:gridCol w:w="5594"/>
      </w:tblGrid>
      <w:tr w:rsidR="00597795" w:rsidRPr="00BB720A" w14:paraId="5C75CDD0" w14:textId="77777777" w:rsidTr="1C9D0F01">
        <w:trPr>
          <w:trHeight w:val="432"/>
          <w:tblHeader/>
        </w:trPr>
        <w:tc>
          <w:tcPr>
            <w:tcW w:w="1799" w:type="dxa"/>
            <w:vMerge w:val="restart"/>
            <w:shd w:val="clear" w:color="auto" w:fill="333C42"/>
            <w:vAlign w:val="center"/>
          </w:tcPr>
          <w:p w14:paraId="67537AE2" w14:textId="77777777" w:rsidR="003B3F51" w:rsidRPr="00BB720A" w:rsidRDefault="003B3F51">
            <w:pPr>
              <w:rPr>
                <w:rFonts w:asciiTheme="majorHAnsi" w:hAnsiTheme="majorHAnsi" w:cstheme="majorHAnsi"/>
                <w:b/>
                <w:bCs/>
                <w:color w:val="FFFFFF" w:themeColor="background1"/>
                <w:sz w:val="21"/>
                <w:szCs w:val="21"/>
              </w:rPr>
            </w:pPr>
            <w:bookmarkStart w:id="273" w:name="_Hlk82186227"/>
            <w:r w:rsidRPr="00BB720A">
              <w:rPr>
                <w:rFonts w:asciiTheme="majorHAnsi" w:hAnsiTheme="majorHAnsi" w:cstheme="majorHAnsi"/>
                <w:b/>
                <w:bCs/>
                <w:color w:val="FFFFFF" w:themeColor="background1"/>
                <w:sz w:val="21"/>
                <w:szCs w:val="21"/>
              </w:rPr>
              <w:t>RESULT STATEMENT</w:t>
            </w:r>
          </w:p>
        </w:tc>
        <w:tc>
          <w:tcPr>
            <w:tcW w:w="7637" w:type="dxa"/>
            <w:gridSpan w:val="6"/>
            <w:shd w:val="clear" w:color="auto" w:fill="333C42"/>
            <w:vAlign w:val="center"/>
          </w:tcPr>
          <w:p w14:paraId="089E284A" w14:textId="77777777" w:rsidR="003B3F51" w:rsidRPr="00BB720A" w:rsidRDefault="003B3F51">
            <w:pPr>
              <w:jc w:val="center"/>
              <w:rPr>
                <w:rFonts w:asciiTheme="majorHAnsi" w:hAnsiTheme="majorHAnsi" w:cstheme="majorHAnsi"/>
                <w:b/>
                <w:bCs/>
                <w:color w:val="FFFFFF" w:themeColor="background1"/>
                <w:sz w:val="21"/>
                <w:szCs w:val="21"/>
              </w:rPr>
            </w:pPr>
            <w:r w:rsidRPr="00BB720A">
              <w:rPr>
                <w:rFonts w:asciiTheme="majorHAnsi" w:hAnsiTheme="majorHAnsi" w:cstheme="majorHAnsi"/>
                <w:b/>
                <w:bCs/>
                <w:color w:val="FFFFFF" w:themeColor="background1"/>
                <w:sz w:val="21"/>
                <w:szCs w:val="21"/>
              </w:rPr>
              <w:t>MONITORING APPROACH</w:t>
            </w:r>
          </w:p>
        </w:tc>
        <w:tc>
          <w:tcPr>
            <w:tcW w:w="5594" w:type="dxa"/>
            <w:shd w:val="clear" w:color="auto" w:fill="333C42"/>
            <w:vAlign w:val="center"/>
          </w:tcPr>
          <w:p w14:paraId="367C5FD9" w14:textId="77777777" w:rsidR="003B3F51" w:rsidRPr="00BB720A" w:rsidRDefault="003B3F51">
            <w:pPr>
              <w:jc w:val="center"/>
              <w:rPr>
                <w:rFonts w:asciiTheme="majorHAnsi" w:hAnsiTheme="majorHAnsi" w:cstheme="majorHAnsi"/>
                <w:b/>
                <w:bCs/>
                <w:color w:val="FFFFFF" w:themeColor="background1"/>
                <w:sz w:val="21"/>
                <w:szCs w:val="21"/>
              </w:rPr>
            </w:pPr>
            <w:r w:rsidRPr="00BB720A">
              <w:rPr>
                <w:rFonts w:asciiTheme="majorHAnsi" w:hAnsiTheme="majorHAnsi" w:cstheme="majorHAnsi"/>
                <w:b/>
                <w:bCs/>
                <w:color w:val="FFFFFF" w:themeColor="background1"/>
                <w:sz w:val="21"/>
                <w:szCs w:val="21"/>
              </w:rPr>
              <w:t>EVALUATION AND LEARNING APPROACH</w:t>
            </w:r>
          </w:p>
        </w:tc>
      </w:tr>
      <w:tr w:rsidR="001C3545" w:rsidRPr="001559BC" w14:paraId="1B38F12D" w14:textId="77777777" w:rsidTr="1C9D0F01">
        <w:trPr>
          <w:trHeight w:val="432"/>
          <w:tblHeader/>
        </w:trPr>
        <w:tc>
          <w:tcPr>
            <w:tcW w:w="1799" w:type="dxa"/>
            <w:vMerge/>
            <w:vAlign w:val="center"/>
          </w:tcPr>
          <w:p w14:paraId="2E65976E" w14:textId="77777777" w:rsidR="003B3F51" w:rsidRPr="00BB720A" w:rsidRDefault="003B3F51">
            <w:pPr>
              <w:rPr>
                <w:rFonts w:asciiTheme="majorHAnsi" w:hAnsiTheme="majorHAnsi" w:cstheme="majorHAnsi"/>
                <w:b/>
                <w:bCs/>
                <w:color w:val="FFFFFF" w:themeColor="background1"/>
                <w:sz w:val="21"/>
                <w:szCs w:val="21"/>
              </w:rPr>
            </w:pPr>
          </w:p>
        </w:tc>
        <w:tc>
          <w:tcPr>
            <w:tcW w:w="1801" w:type="dxa"/>
            <w:shd w:val="clear" w:color="auto" w:fill="333C42"/>
            <w:vAlign w:val="center"/>
          </w:tcPr>
          <w:p w14:paraId="0A6F1BE6" w14:textId="77777777" w:rsidR="003B3F51" w:rsidRPr="00BB720A" w:rsidRDefault="003B3F51">
            <w:pPr>
              <w:rPr>
                <w:rFonts w:asciiTheme="majorHAnsi" w:hAnsiTheme="majorHAnsi" w:cstheme="majorHAnsi"/>
                <w:b/>
                <w:bCs/>
                <w:color w:val="FFFFFF" w:themeColor="background1"/>
                <w:sz w:val="21"/>
                <w:szCs w:val="21"/>
              </w:rPr>
            </w:pPr>
            <w:r w:rsidRPr="00BB720A">
              <w:rPr>
                <w:rFonts w:asciiTheme="majorHAnsi" w:hAnsiTheme="majorHAnsi" w:cstheme="majorHAnsi"/>
                <w:b/>
                <w:bCs/>
                <w:color w:val="FFFFFF" w:themeColor="background1"/>
                <w:sz w:val="21"/>
                <w:szCs w:val="21"/>
              </w:rPr>
              <w:t>INDICATORS</w:t>
            </w:r>
          </w:p>
        </w:tc>
        <w:tc>
          <w:tcPr>
            <w:tcW w:w="1198" w:type="dxa"/>
            <w:shd w:val="clear" w:color="auto" w:fill="333C42"/>
            <w:tcMar>
              <w:left w:w="43" w:type="dxa"/>
              <w:right w:w="0" w:type="dxa"/>
            </w:tcMar>
            <w:vAlign w:val="center"/>
          </w:tcPr>
          <w:p w14:paraId="638DFE39" w14:textId="77777777" w:rsidR="003B3F51" w:rsidRPr="00BB720A" w:rsidRDefault="003B3F51">
            <w:pPr>
              <w:jc w:val="center"/>
              <w:rPr>
                <w:rFonts w:asciiTheme="majorHAnsi" w:hAnsiTheme="majorHAnsi" w:cstheme="majorHAnsi"/>
                <w:b/>
                <w:bCs/>
                <w:color w:val="FFFFFF" w:themeColor="background1"/>
                <w:sz w:val="21"/>
                <w:szCs w:val="21"/>
              </w:rPr>
            </w:pPr>
            <w:r w:rsidRPr="00BB720A">
              <w:rPr>
                <w:rFonts w:asciiTheme="majorHAnsi" w:hAnsiTheme="majorHAnsi" w:cstheme="majorHAnsi"/>
                <w:b/>
                <w:bCs/>
                <w:color w:val="FFFFFF" w:themeColor="background1"/>
                <w:sz w:val="21"/>
                <w:szCs w:val="21"/>
              </w:rPr>
              <w:t>BASELINE</w:t>
            </w:r>
          </w:p>
        </w:tc>
        <w:tc>
          <w:tcPr>
            <w:tcW w:w="1067" w:type="dxa"/>
            <w:shd w:val="clear" w:color="auto" w:fill="333C42"/>
            <w:tcMar>
              <w:left w:w="43" w:type="dxa"/>
              <w:right w:w="0" w:type="dxa"/>
            </w:tcMar>
            <w:vAlign w:val="center"/>
          </w:tcPr>
          <w:p w14:paraId="595ECF56" w14:textId="77777777" w:rsidR="003B3F51" w:rsidRPr="00BB720A" w:rsidRDefault="003B3F51">
            <w:pPr>
              <w:jc w:val="center"/>
              <w:rPr>
                <w:rFonts w:asciiTheme="majorHAnsi" w:hAnsiTheme="majorHAnsi" w:cstheme="majorHAnsi"/>
                <w:b/>
                <w:bCs/>
                <w:color w:val="FFFFFF" w:themeColor="background1"/>
                <w:sz w:val="21"/>
                <w:szCs w:val="21"/>
              </w:rPr>
            </w:pPr>
            <w:r w:rsidRPr="00BB720A">
              <w:rPr>
                <w:rFonts w:asciiTheme="majorHAnsi" w:hAnsiTheme="majorHAnsi" w:cstheme="majorHAnsi"/>
                <w:b/>
                <w:bCs/>
                <w:color w:val="FFFFFF" w:themeColor="background1"/>
                <w:sz w:val="21"/>
                <w:szCs w:val="21"/>
              </w:rPr>
              <w:t>MEANS OF VERIFI-CATION</w:t>
            </w:r>
          </w:p>
        </w:tc>
        <w:tc>
          <w:tcPr>
            <w:tcW w:w="951" w:type="dxa"/>
            <w:shd w:val="clear" w:color="auto" w:fill="333C42"/>
            <w:tcMar>
              <w:left w:w="43" w:type="dxa"/>
              <w:right w:w="0" w:type="dxa"/>
            </w:tcMar>
            <w:vAlign w:val="center"/>
          </w:tcPr>
          <w:p w14:paraId="2544EF09" w14:textId="77777777" w:rsidR="003B3F51" w:rsidRPr="00BB720A" w:rsidRDefault="003B3F51">
            <w:pPr>
              <w:jc w:val="center"/>
              <w:rPr>
                <w:rFonts w:asciiTheme="majorHAnsi" w:hAnsiTheme="majorHAnsi" w:cstheme="majorHAnsi"/>
                <w:b/>
                <w:bCs/>
                <w:color w:val="FFFFFF" w:themeColor="background1"/>
                <w:sz w:val="21"/>
                <w:szCs w:val="21"/>
              </w:rPr>
            </w:pPr>
            <w:r w:rsidRPr="00BB720A">
              <w:rPr>
                <w:rFonts w:asciiTheme="majorHAnsi" w:hAnsiTheme="majorHAnsi" w:cstheme="majorHAnsi"/>
                <w:b/>
                <w:bCs/>
                <w:color w:val="FFFFFF" w:themeColor="background1"/>
                <w:sz w:val="21"/>
                <w:szCs w:val="21"/>
              </w:rPr>
              <w:t>TARGET (DATE)</w:t>
            </w:r>
          </w:p>
        </w:tc>
        <w:tc>
          <w:tcPr>
            <w:tcW w:w="2610" w:type="dxa"/>
            <w:shd w:val="clear" w:color="auto" w:fill="333C42"/>
            <w:vAlign w:val="center"/>
          </w:tcPr>
          <w:p w14:paraId="6092E91C" w14:textId="77777777" w:rsidR="003B3F51" w:rsidRPr="00BB720A" w:rsidRDefault="003B3F51">
            <w:pPr>
              <w:rPr>
                <w:rFonts w:asciiTheme="majorHAnsi" w:hAnsiTheme="majorHAnsi" w:cstheme="majorHAnsi"/>
                <w:b/>
                <w:bCs/>
                <w:color w:val="FFFFFF" w:themeColor="background1"/>
                <w:sz w:val="21"/>
                <w:szCs w:val="21"/>
              </w:rPr>
            </w:pPr>
            <w:r w:rsidRPr="00BB720A">
              <w:rPr>
                <w:rFonts w:asciiTheme="majorHAnsi" w:hAnsiTheme="majorHAnsi" w:cstheme="majorHAnsi"/>
                <w:b/>
                <w:bCs/>
                <w:color w:val="FFFFFF" w:themeColor="background1"/>
                <w:sz w:val="21"/>
                <w:szCs w:val="21"/>
              </w:rPr>
              <w:t>NOTES AND SDG ALIGNMENT</w:t>
            </w:r>
          </w:p>
        </w:tc>
        <w:tc>
          <w:tcPr>
            <w:tcW w:w="5604" w:type="dxa"/>
            <w:gridSpan w:val="2"/>
            <w:shd w:val="clear" w:color="auto" w:fill="333C42"/>
            <w:vAlign w:val="center"/>
          </w:tcPr>
          <w:p w14:paraId="7F05C3E4" w14:textId="77777777" w:rsidR="003B3F51" w:rsidRPr="00BB720A" w:rsidRDefault="003B3F51">
            <w:pPr>
              <w:rPr>
                <w:rFonts w:asciiTheme="majorHAnsi" w:hAnsiTheme="majorHAnsi" w:cstheme="majorHAnsi"/>
                <w:b/>
                <w:bCs/>
                <w:color w:val="FFFFFF" w:themeColor="background1"/>
                <w:sz w:val="21"/>
                <w:szCs w:val="21"/>
              </w:rPr>
            </w:pPr>
            <w:r w:rsidRPr="00BB720A">
              <w:rPr>
                <w:rFonts w:asciiTheme="majorHAnsi" w:hAnsiTheme="majorHAnsi" w:cstheme="majorHAnsi"/>
                <w:b/>
                <w:bCs/>
                <w:color w:val="FFFFFF" w:themeColor="background1"/>
                <w:sz w:val="21"/>
                <w:szCs w:val="21"/>
              </w:rPr>
              <w:br/>
              <w:t>KEY AREAS</w:t>
            </w:r>
          </w:p>
        </w:tc>
      </w:tr>
      <w:tr w:rsidR="00597795" w:rsidRPr="001559BC" w14:paraId="0C31BB80" w14:textId="77777777" w:rsidTr="1C9D0F01">
        <w:trPr>
          <w:trHeight w:val="360"/>
        </w:trPr>
        <w:tc>
          <w:tcPr>
            <w:tcW w:w="15030" w:type="dxa"/>
            <w:gridSpan w:val="8"/>
            <w:shd w:val="clear" w:color="auto" w:fill="005364"/>
            <w:vAlign w:val="center"/>
          </w:tcPr>
          <w:p w14:paraId="7288FBD3" w14:textId="77777777" w:rsidR="003B3F51" w:rsidRPr="001559BC" w:rsidRDefault="003B3F51">
            <w:pPr>
              <w:rPr>
                <w:rFonts w:asciiTheme="majorHAnsi" w:hAnsiTheme="majorHAnsi" w:cstheme="majorHAnsi"/>
                <w:b/>
                <w:bCs/>
                <w:color w:val="FFFFFF" w:themeColor="background1"/>
                <w:sz w:val="20"/>
                <w:szCs w:val="20"/>
              </w:rPr>
            </w:pPr>
            <w:bookmarkStart w:id="274" w:name="_Hlk79415796"/>
            <w:bookmarkEnd w:id="273"/>
            <w:r w:rsidRPr="001356D6">
              <w:rPr>
                <w:rFonts w:asciiTheme="majorHAnsi" w:hAnsiTheme="majorHAnsi" w:cstheme="majorHAnsi"/>
                <w:b/>
                <w:bCs/>
                <w:color w:val="FFFFFF" w:themeColor="background1"/>
                <w:sz w:val="32"/>
                <w:szCs w:val="32"/>
              </w:rPr>
              <w:t>CIF-LEVEL IMPACT</w:t>
            </w:r>
            <w:r>
              <w:rPr>
                <w:rFonts w:asciiTheme="majorHAnsi" w:hAnsiTheme="majorHAnsi" w:cstheme="majorHAnsi"/>
                <w:b/>
                <w:bCs/>
                <w:color w:val="FFFFFF" w:themeColor="background1"/>
                <w:sz w:val="32"/>
                <w:szCs w:val="32"/>
              </w:rPr>
              <w:t>S</w:t>
            </w:r>
          </w:p>
        </w:tc>
      </w:tr>
      <w:bookmarkEnd w:id="274"/>
      <w:tr w:rsidR="0043498D" w:rsidRPr="00776ABA" w14:paraId="72A0789C" w14:textId="77777777" w:rsidTr="1C9D0F01">
        <w:trPr>
          <w:trHeight w:val="971"/>
        </w:trPr>
        <w:tc>
          <w:tcPr>
            <w:tcW w:w="1799" w:type="dxa"/>
            <w:vMerge w:val="restart"/>
            <w:shd w:val="clear" w:color="auto" w:fill="D9E2F3" w:themeFill="accent1" w:themeFillTint="33"/>
            <w:vAlign w:val="center"/>
          </w:tcPr>
          <w:p w14:paraId="6AF2DC10" w14:textId="77777777" w:rsidR="003B3F51" w:rsidRPr="00776ABA" w:rsidRDefault="003B3F51">
            <w:pPr>
              <w:rPr>
                <w:rFonts w:cstheme="minorHAnsi"/>
                <w:sz w:val="18"/>
                <w:szCs w:val="18"/>
              </w:rPr>
            </w:pPr>
            <w:r w:rsidRPr="00776ABA">
              <w:rPr>
                <w:rFonts w:cstheme="minorHAnsi"/>
                <w:sz w:val="18"/>
                <w:szCs w:val="18"/>
              </w:rPr>
              <w:t>Accelerated transformational change toward net-zero emissions and inclusive, climate-resilient development pathways</w:t>
            </w:r>
          </w:p>
        </w:tc>
        <w:tc>
          <w:tcPr>
            <w:tcW w:w="1801" w:type="dxa"/>
            <w:shd w:val="clear" w:color="auto" w:fill="FBE4D5" w:themeFill="accent2" w:themeFillTint="33"/>
            <w:vAlign w:val="center"/>
          </w:tcPr>
          <w:p w14:paraId="01F1455B" w14:textId="77777777" w:rsidR="003B3F51" w:rsidRPr="00776ABA" w:rsidRDefault="003B3F51">
            <w:pPr>
              <w:rPr>
                <w:rFonts w:cstheme="minorHAnsi"/>
                <w:sz w:val="18"/>
                <w:szCs w:val="18"/>
              </w:rPr>
            </w:pPr>
            <w:r w:rsidRPr="00776ABA">
              <w:rPr>
                <w:rFonts w:cstheme="minorHAnsi"/>
                <w:b/>
                <w:bCs/>
                <w:sz w:val="18"/>
                <w:szCs w:val="18"/>
              </w:rPr>
              <w:t xml:space="preserve">CIF 1. Mitigation: </w:t>
            </w:r>
            <w:r w:rsidRPr="00776ABA">
              <w:rPr>
                <w:rFonts w:cstheme="minorHAnsi"/>
                <w:sz w:val="18"/>
                <w:szCs w:val="18"/>
              </w:rPr>
              <w:t>GHG emissions reduced or avoided</w:t>
            </w:r>
          </w:p>
          <w:p w14:paraId="1FFE6B22" w14:textId="77777777" w:rsidR="003B3F51" w:rsidRPr="00776ABA" w:rsidRDefault="003B3F51">
            <w:pPr>
              <w:rPr>
                <w:rFonts w:cstheme="minorHAnsi"/>
                <w:sz w:val="18"/>
                <w:szCs w:val="18"/>
              </w:rPr>
            </w:pPr>
            <w:r w:rsidRPr="00776ABA">
              <w:rPr>
                <w:rFonts w:cstheme="minorHAnsi"/>
                <w:sz w:val="18"/>
                <w:szCs w:val="18"/>
              </w:rPr>
              <w:t>(mt CO</w:t>
            </w:r>
            <w:r w:rsidRPr="00776ABA">
              <w:rPr>
                <w:rFonts w:cstheme="minorHAnsi"/>
                <w:sz w:val="18"/>
                <w:szCs w:val="18"/>
                <w:vertAlign w:val="subscript"/>
              </w:rPr>
              <w:t>2</w:t>
            </w:r>
            <w:r w:rsidRPr="00776ABA">
              <w:rPr>
                <w:rFonts w:cstheme="minorHAnsi"/>
                <w:sz w:val="18"/>
                <w:szCs w:val="18"/>
              </w:rPr>
              <w:t xml:space="preserve"> eq)</w:t>
            </w:r>
          </w:p>
        </w:tc>
        <w:tc>
          <w:tcPr>
            <w:tcW w:w="1198" w:type="dxa"/>
            <w:shd w:val="clear" w:color="auto" w:fill="FBE4D5" w:themeFill="accent2" w:themeFillTint="33"/>
            <w:vAlign w:val="center"/>
          </w:tcPr>
          <w:p w14:paraId="7E60BE3C" w14:textId="77777777" w:rsidR="003B3F51" w:rsidRPr="00776ABA" w:rsidRDefault="003B3F51">
            <w:pPr>
              <w:jc w:val="center"/>
              <w:rPr>
                <w:rFonts w:cstheme="minorHAnsi"/>
                <w:sz w:val="18"/>
                <w:szCs w:val="18"/>
              </w:rPr>
            </w:pPr>
            <w:r w:rsidRPr="00776ABA">
              <w:rPr>
                <w:rFonts w:cstheme="minorHAnsi"/>
                <w:sz w:val="18"/>
                <w:szCs w:val="18"/>
              </w:rPr>
              <w:t>TBD</w:t>
            </w:r>
          </w:p>
          <w:p w14:paraId="606EEE32" w14:textId="77777777" w:rsidR="003B3F51" w:rsidRPr="00776ABA" w:rsidRDefault="003B3F51">
            <w:pPr>
              <w:jc w:val="center"/>
              <w:rPr>
                <w:rFonts w:cstheme="minorHAnsi"/>
                <w:sz w:val="18"/>
                <w:szCs w:val="18"/>
              </w:rPr>
            </w:pPr>
          </w:p>
          <w:p w14:paraId="1AB4CB4F" w14:textId="77777777" w:rsidR="003B3F51" w:rsidRPr="00776ABA" w:rsidRDefault="003B3F51">
            <w:pPr>
              <w:jc w:val="center"/>
              <w:rPr>
                <w:rFonts w:cstheme="minorHAnsi"/>
                <w:sz w:val="18"/>
                <w:szCs w:val="18"/>
              </w:rPr>
            </w:pPr>
            <w:r w:rsidRPr="00776ABA">
              <w:rPr>
                <w:rFonts w:cstheme="minorHAnsi"/>
                <w:sz w:val="18"/>
                <w:szCs w:val="18"/>
              </w:rPr>
              <w:t>(with reference scenario established)</w:t>
            </w:r>
          </w:p>
        </w:tc>
        <w:tc>
          <w:tcPr>
            <w:tcW w:w="1067" w:type="dxa"/>
            <w:shd w:val="clear" w:color="auto" w:fill="FBE4D5" w:themeFill="accent2" w:themeFillTint="33"/>
            <w:vAlign w:val="center"/>
          </w:tcPr>
          <w:p w14:paraId="24E852B1" w14:textId="77777777" w:rsidR="003B3F51" w:rsidRPr="00776ABA" w:rsidRDefault="003B3F51">
            <w:pPr>
              <w:rPr>
                <w:rFonts w:cstheme="minorHAnsi"/>
                <w:sz w:val="18"/>
                <w:szCs w:val="18"/>
              </w:rPr>
            </w:pPr>
          </w:p>
          <w:p w14:paraId="7FB92497" w14:textId="77777777" w:rsidR="003B3F51" w:rsidRPr="00776ABA" w:rsidRDefault="003B3F51">
            <w:pPr>
              <w:rPr>
                <w:rFonts w:cstheme="minorHAnsi"/>
                <w:sz w:val="18"/>
                <w:szCs w:val="18"/>
              </w:rPr>
            </w:pPr>
            <w:r w:rsidRPr="00776ABA">
              <w:rPr>
                <w:rFonts w:cstheme="minorHAnsi"/>
                <w:sz w:val="18"/>
                <w:szCs w:val="18"/>
              </w:rPr>
              <w:t>Annual and lifetime reporting by projects and/or countries</w:t>
            </w:r>
          </w:p>
        </w:tc>
        <w:tc>
          <w:tcPr>
            <w:tcW w:w="951" w:type="dxa"/>
            <w:shd w:val="clear" w:color="auto" w:fill="FBE4D5" w:themeFill="accent2" w:themeFillTint="33"/>
            <w:vAlign w:val="center"/>
          </w:tcPr>
          <w:p w14:paraId="7CBDC251" w14:textId="77777777" w:rsidR="003B3F51" w:rsidRPr="00776ABA" w:rsidRDefault="003B3F51">
            <w:pPr>
              <w:rPr>
                <w:rFonts w:cstheme="minorHAnsi"/>
                <w:sz w:val="18"/>
                <w:szCs w:val="18"/>
              </w:rPr>
            </w:pPr>
          </w:p>
        </w:tc>
        <w:tc>
          <w:tcPr>
            <w:tcW w:w="2610" w:type="dxa"/>
            <w:shd w:val="clear" w:color="auto" w:fill="FBE4D5" w:themeFill="accent2" w:themeFillTint="33"/>
            <w:vAlign w:val="center"/>
          </w:tcPr>
          <w:p w14:paraId="16D49B3C" w14:textId="77777777" w:rsidR="003B3F51" w:rsidRPr="00776ABA" w:rsidRDefault="003B3F51">
            <w:pPr>
              <w:rPr>
                <w:rFonts w:cstheme="minorHAnsi"/>
                <w:sz w:val="18"/>
                <w:szCs w:val="18"/>
              </w:rPr>
            </w:pPr>
            <w:r w:rsidRPr="00776ABA">
              <w:rPr>
                <w:rFonts w:cstheme="minorHAnsi"/>
                <w:sz w:val="18"/>
                <w:szCs w:val="18"/>
              </w:rPr>
              <w:t>This is a CIF impact-level indicator that must be reported as an annual and lifetime estimate of each investment. Core indicator 1 below will feed this indicator for REI.</w:t>
            </w:r>
          </w:p>
          <w:p w14:paraId="7553FF5F" w14:textId="77777777" w:rsidR="003B3F51" w:rsidRPr="00776ABA" w:rsidRDefault="003B3F51">
            <w:pPr>
              <w:rPr>
                <w:rFonts w:cstheme="minorHAnsi"/>
                <w:sz w:val="18"/>
                <w:szCs w:val="18"/>
              </w:rPr>
            </w:pPr>
          </w:p>
          <w:p w14:paraId="3278D0A8" w14:textId="77777777" w:rsidR="003B3F51" w:rsidRPr="00776ABA" w:rsidRDefault="003B3F51">
            <w:pPr>
              <w:rPr>
                <w:rFonts w:cstheme="minorHAnsi"/>
                <w:sz w:val="18"/>
                <w:szCs w:val="18"/>
              </w:rPr>
            </w:pPr>
            <w:r w:rsidRPr="00776ABA">
              <w:rPr>
                <w:rFonts w:cstheme="minorHAnsi"/>
                <w:sz w:val="18"/>
                <w:szCs w:val="18"/>
                <w:u w:val="single"/>
              </w:rPr>
              <w:t>Disaggregation:</w:t>
            </w:r>
            <w:r w:rsidRPr="00776ABA">
              <w:rPr>
                <w:rFonts w:cstheme="minorHAnsi"/>
                <w:sz w:val="18"/>
                <w:szCs w:val="18"/>
              </w:rPr>
              <w:t xml:space="preserve"> Direct vs. indirect reduction of GHG emissions, based on an approved methodology per MDB</w:t>
            </w:r>
          </w:p>
          <w:p w14:paraId="5FE97B4C" w14:textId="77777777" w:rsidR="003B3F51" w:rsidRPr="00776ABA" w:rsidRDefault="003B3F51">
            <w:pPr>
              <w:rPr>
                <w:rFonts w:cstheme="minorHAnsi"/>
                <w:sz w:val="18"/>
                <w:szCs w:val="18"/>
              </w:rPr>
            </w:pPr>
          </w:p>
          <w:p w14:paraId="1B2BEA47" w14:textId="77777777" w:rsidR="003B3F51" w:rsidRPr="00776ABA" w:rsidRDefault="003B3F51">
            <w:pPr>
              <w:rPr>
                <w:rFonts w:cstheme="minorHAnsi"/>
                <w:sz w:val="18"/>
                <w:szCs w:val="18"/>
              </w:rPr>
            </w:pPr>
            <w:r w:rsidRPr="00776ABA">
              <w:rPr>
                <w:rFonts w:cstheme="minorHAnsi"/>
                <w:sz w:val="18"/>
                <w:szCs w:val="18"/>
              </w:rPr>
              <w:t>Projects are encouraged to estimate GHG emissions reductions using a “whole of energy system” baseline analysis, which would differentiate between new renewable energy generation from REI investments and the catalytic effects of other investments (energy storage, grid management technologies, grid interconnections) on annual production cycles, as compared to the approved reference scenario, i.e., counterfactual.</w:t>
            </w:r>
          </w:p>
          <w:p w14:paraId="7EC76D32" w14:textId="77777777" w:rsidR="003B3F51" w:rsidRPr="00776ABA" w:rsidRDefault="003B3F51">
            <w:pPr>
              <w:rPr>
                <w:rFonts w:cstheme="minorHAnsi"/>
                <w:sz w:val="18"/>
                <w:szCs w:val="18"/>
              </w:rPr>
            </w:pPr>
          </w:p>
        </w:tc>
        <w:tc>
          <w:tcPr>
            <w:tcW w:w="5604" w:type="dxa"/>
            <w:gridSpan w:val="2"/>
            <w:vMerge w:val="restart"/>
            <w:shd w:val="clear" w:color="auto" w:fill="E7E6E6" w:themeFill="background2"/>
            <w:vAlign w:val="center"/>
          </w:tcPr>
          <w:p w14:paraId="43B51B56" w14:textId="77777777" w:rsidR="003B3F51" w:rsidRPr="00776ABA" w:rsidRDefault="003B3F51">
            <w:pPr>
              <w:rPr>
                <w:rFonts w:cstheme="minorHAnsi"/>
                <w:sz w:val="18"/>
                <w:szCs w:val="18"/>
              </w:rPr>
            </w:pPr>
            <w:r w:rsidRPr="1E9D41E1">
              <w:rPr>
                <w:b/>
                <w:sz w:val="18"/>
                <w:szCs w:val="18"/>
              </w:rPr>
              <w:lastRenderedPageBreak/>
              <w:t xml:space="preserve">Transformational Change: </w:t>
            </w:r>
            <w:r w:rsidRPr="1E9D41E1">
              <w:rPr>
                <w:sz w:val="18"/>
                <w:szCs w:val="18"/>
              </w:rPr>
              <w:t>CIF aims to drive transformational change</w:t>
            </w:r>
            <w:r w:rsidRPr="1E9D41E1">
              <w:rPr>
                <w:rStyle w:val="FootnoteReference"/>
                <w:sz w:val="18"/>
                <w:szCs w:val="18"/>
              </w:rPr>
              <w:footnoteReference w:id="51"/>
            </w:r>
            <w:r w:rsidRPr="1E9D41E1">
              <w:rPr>
                <w:sz w:val="18"/>
                <w:szCs w:val="18"/>
              </w:rPr>
              <w:t xml:space="preserve"> across all funded programs and activities. Broadly defined, transformational change is a deep and fundamental change in a system’s form, function, or processes. In the context of the climate crisis, this refers to the many profound, rapid changes in social, economic, and technical systems needed to achieve net zero greenhouse gas emissions, increase social inclusion, manage distributional impacts, enhance resilience and adaptation to climate change, and reduce stress on finite natural systems.</w:t>
            </w:r>
          </w:p>
          <w:p w14:paraId="15E69BF8" w14:textId="77777777" w:rsidR="003B3F51" w:rsidRPr="00776ABA" w:rsidRDefault="003B3F51">
            <w:pPr>
              <w:rPr>
                <w:rFonts w:cstheme="minorHAnsi"/>
                <w:color w:val="FF0000"/>
                <w:sz w:val="18"/>
                <w:szCs w:val="18"/>
              </w:rPr>
            </w:pPr>
            <w:r w:rsidRPr="1E9D41E1">
              <w:rPr>
                <w:b/>
                <w:sz w:val="18"/>
                <w:szCs w:val="18"/>
              </w:rPr>
              <w:t>Signals</w:t>
            </w:r>
            <w:r w:rsidRPr="1E9D41E1">
              <w:rPr>
                <w:sz w:val="18"/>
                <w:szCs w:val="18"/>
              </w:rPr>
              <w:t xml:space="preserve"> of transformational change will be assessed through both evaluative and learning-based approaches across </w:t>
            </w:r>
            <w:r w:rsidRPr="1E9D41E1">
              <w:rPr>
                <w:b/>
                <w:sz w:val="18"/>
                <w:szCs w:val="18"/>
              </w:rPr>
              <w:t>dimensions.</w:t>
            </w:r>
            <w:r w:rsidRPr="1E9D41E1">
              <w:rPr>
                <w:rStyle w:val="FootnoteReference"/>
                <w:b/>
                <w:sz w:val="18"/>
                <w:szCs w:val="18"/>
              </w:rPr>
              <w:footnoteReference w:id="52"/>
            </w:r>
            <w:r w:rsidRPr="1E9D41E1">
              <w:rPr>
                <w:b/>
                <w:sz w:val="18"/>
                <w:szCs w:val="18"/>
              </w:rPr>
              <w:t xml:space="preserve"> </w:t>
            </w:r>
            <w:r w:rsidRPr="1E9D41E1">
              <w:rPr>
                <w:sz w:val="18"/>
                <w:szCs w:val="18"/>
              </w:rPr>
              <w:t xml:space="preserve">Unlike indicators, signals mark multiple levels of complex systems dynamics based </w:t>
            </w:r>
            <w:r w:rsidRPr="1E9D41E1">
              <w:rPr>
                <w:sz w:val="18"/>
                <w:szCs w:val="18"/>
              </w:rPr>
              <w:lastRenderedPageBreak/>
              <w:t>on mixed-methods data collection and analysis of CIF contributions toward transformational change in-situ. As these signals are highly context-specific, they will be proposed, defined, tracked, and reported on according to each IP’s unique context analysis and theory of change, and using a range of methodological approaches. Disaggregated data collection to capture impacts on women, youth, migrants, Indigenous Peoples, and local communities, as well as persons with disabilities is encouraged. Ongoing learning and adaptive approaches, including the identification and tracking of new and emerging signals as programs and contexts evolve, is also encouraged.</w:t>
            </w:r>
          </w:p>
          <w:p w14:paraId="4AFA37E2" w14:textId="77777777" w:rsidR="003B3F51" w:rsidRPr="00776ABA" w:rsidRDefault="003B3F51">
            <w:pPr>
              <w:rPr>
                <w:rFonts w:cstheme="minorHAnsi"/>
                <w:b/>
                <w:bCs/>
                <w:sz w:val="18"/>
                <w:szCs w:val="18"/>
              </w:rPr>
            </w:pPr>
            <w:r w:rsidRPr="00776ABA">
              <w:rPr>
                <w:rFonts w:cstheme="minorHAnsi"/>
                <w:b/>
                <w:bCs/>
                <w:sz w:val="18"/>
                <w:szCs w:val="18"/>
              </w:rPr>
              <w:t>This impact area will be measured through CIF-driven evaluation and learning activities, which will not be the direct responsibility of MDBs for annual reporting.</w:t>
            </w:r>
          </w:p>
          <w:p w14:paraId="7C3EBB2E" w14:textId="77777777" w:rsidR="003B3F51" w:rsidRPr="00776ABA" w:rsidRDefault="003B3F51">
            <w:pPr>
              <w:rPr>
                <w:rFonts w:cstheme="minorHAnsi"/>
                <w:sz w:val="18"/>
                <w:szCs w:val="18"/>
              </w:rPr>
            </w:pPr>
            <w:r w:rsidRPr="00776ABA">
              <w:rPr>
                <w:rFonts w:cstheme="minorHAnsi"/>
                <w:b/>
                <w:bCs/>
                <w:sz w:val="18"/>
                <w:szCs w:val="18"/>
              </w:rPr>
              <w:t>Gender-Transformative Impacts:</w:t>
            </w:r>
            <w:r w:rsidRPr="00776ABA">
              <w:rPr>
                <w:rFonts w:cstheme="minorHAnsi"/>
                <w:sz w:val="18"/>
                <w:szCs w:val="18"/>
              </w:rPr>
              <w:t xml:space="preserve"> The CIF Gender Program outlines (i) improved asset position, (ii) voice, and (iii) resilient livelihoods of women through gender-responsive institutions and markets as its key impact objective. These aspects are to be assessed through evaluative and learning-based approaches, as relevant to the REI program, and in combination with other monitoring data.</w:t>
            </w:r>
          </w:p>
          <w:p w14:paraId="0D9FCB00" w14:textId="77777777" w:rsidR="003B3F51" w:rsidRPr="00776ABA" w:rsidRDefault="003B3F51">
            <w:pPr>
              <w:rPr>
                <w:rFonts w:cstheme="minorHAnsi"/>
                <w:sz w:val="18"/>
                <w:szCs w:val="18"/>
              </w:rPr>
            </w:pPr>
            <w:r w:rsidRPr="00776ABA">
              <w:rPr>
                <w:rFonts w:cstheme="minorHAnsi"/>
                <w:sz w:val="18"/>
                <w:szCs w:val="18"/>
              </w:rPr>
              <w:t>Areas for further analysis include mechanisms through which women and their organizations are represented in decision-making on renewable energy generation; share of women working in the energy sector; and the impact of off-grid access on women’s labor/time use.</w:t>
            </w:r>
          </w:p>
          <w:p w14:paraId="463B7912" w14:textId="77777777" w:rsidR="003B3F51" w:rsidRPr="00776ABA" w:rsidRDefault="003B3F51">
            <w:pPr>
              <w:rPr>
                <w:rFonts w:cstheme="minorHAnsi"/>
                <w:sz w:val="18"/>
                <w:szCs w:val="18"/>
              </w:rPr>
            </w:pPr>
            <w:r w:rsidRPr="00776ABA">
              <w:rPr>
                <w:rFonts w:cstheme="minorHAnsi"/>
                <w:b/>
                <w:bCs/>
                <w:sz w:val="18"/>
                <w:szCs w:val="18"/>
              </w:rPr>
              <w:t xml:space="preserve">New and additional climate finance mobilized: </w:t>
            </w:r>
            <w:r w:rsidRPr="00776ABA">
              <w:rPr>
                <w:rFonts w:cstheme="minorHAnsi"/>
                <w:sz w:val="18"/>
                <w:szCs w:val="18"/>
              </w:rPr>
              <w:t>Beyond the immediate co-financing CIF leverages, CIF aims to plays a role as a market catalyst by contributing to the creation of markets and driving non-concessional financing through replication of CIF investments, technologies and innovations, regulatory improvements, and other areas. Evaluation and/or learning approaches may be employed to better understand CIF’s contributing role in market systems transformation and volumes of follow-on green financing in CIF-supported markets. Data might also be sourced through national/local market reports and other third-party data aggregators (e.g., IRENA, BNEF, etc.)</w:t>
            </w:r>
          </w:p>
        </w:tc>
      </w:tr>
      <w:tr w:rsidR="0043498D" w:rsidRPr="00776ABA" w14:paraId="5DE6FB6C" w14:textId="77777777" w:rsidTr="1C9D0F01">
        <w:tc>
          <w:tcPr>
            <w:tcW w:w="1799" w:type="dxa"/>
            <w:vMerge/>
            <w:vAlign w:val="center"/>
          </w:tcPr>
          <w:p w14:paraId="113FE70B" w14:textId="77777777" w:rsidR="003B3F51" w:rsidRPr="00776ABA" w:rsidRDefault="003B3F51">
            <w:pPr>
              <w:rPr>
                <w:rFonts w:cstheme="minorHAnsi"/>
                <w:sz w:val="18"/>
                <w:szCs w:val="18"/>
              </w:rPr>
            </w:pPr>
          </w:p>
        </w:tc>
        <w:tc>
          <w:tcPr>
            <w:tcW w:w="1801" w:type="dxa"/>
            <w:shd w:val="clear" w:color="auto" w:fill="FBE4D5" w:themeFill="accent2" w:themeFillTint="33"/>
            <w:vAlign w:val="center"/>
          </w:tcPr>
          <w:p w14:paraId="5B8F59E6" w14:textId="77777777" w:rsidR="003B3F51" w:rsidRPr="00776ABA" w:rsidRDefault="003B3F51">
            <w:pPr>
              <w:rPr>
                <w:rFonts w:cstheme="minorHAnsi"/>
                <w:sz w:val="18"/>
                <w:szCs w:val="18"/>
              </w:rPr>
            </w:pPr>
            <w:r w:rsidRPr="00776ABA">
              <w:rPr>
                <w:rFonts w:cstheme="minorHAnsi"/>
                <w:b/>
                <w:bCs/>
                <w:sz w:val="18"/>
                <w:szCs w:val="18"/>
              </w:rPr>
              <w:t xml:space="preserve">CIF 2. Co-Finance: </w:t>
            </w:r>
            <w:r w:rsidRPr="00776ABA">
              <w:rPr>
                <w:rFonts w:cstheme="minorHAnsi"/>
                <w:sz w:val="18"/>
                <w:szCs w:val="18"/>
              </w:rPr>
              <w:t xml:space="preserve">Volume of co-finance leveraged (USD) </w:t>
            </w:r>
          </w:p>
          <w:p w14:paraId="2578C2A5" w14:textId="77777777" w:rsidR="003B3F51" w:rsidRPr="00776ABA" w:rsidRDefault="003B3F51">
            <w:pPr>
              <w:rPr>
                <w:rFonts w:cstheme="minorHAnsi"/>
                <w:sz w:val="18"/>
                <w:szCs w:val="18"/>
              </w:rPr>
            </w:pPr>
          </w:p>
        </w:tc>
        <w:tc>
          <w:tcPr>
            <w:tcW w:w="1198" w:type="dxa"/>
            <w:shd w:val="clear" w:color="auto" w:fill="FBE4D5" w:themeFill="accent2" w:themeFillTint="33"/>
            <w:vAlign w:val="center"/>
          </w:tcPr>
          <w:p w14:paraId="24CFF19C" w14:textId="77777777" w:rsidR="003B3F51" w:rsidRPr="00776ABA" w:rsidRDefault="003B3F51">
            <w:pPr>
              <w:jc w:val="center"/>
              <w:rPr>
                <w:rFonts w:cstheme="minorHAnsi"/>
                <w:sz w:val="18"/>
                <w:szCs w:val="18"/>
              </w:rPr>
            </w:pPr>
            <w:r w:rsidRPr="00776ABA">
              <w:rPr>
                <w:rFonts w:cstheme="minorHAnsi"/>
                <w:sz w:val="18"/>
                <w:szCs w:val="18"/>
              </w:rPr>
              <w:t>TBD</w:t>
            </w:r>
          </w:p>
        </w:tc>
        <w:tc>
          <w:tcPr>
            <w:tcW w:w="1067" w:type="dxa"/>
            <w:shd w:val="clear" w:color="auto" w:fill="FBE4D5" w:themeFill="accent2" w:themeFillTint="33"/>
            <w:vAlign w:val="center"/>
          </w:tcPr>
          <w:p w14:paraId="5874B3F4" w14:textId="77777777" w:rsidR="003B3F51" w:rsidRPr="00776ABA" w:rsidRDefault="003B3F51">
            <w:pPr>
              <w:jc w:val="center"/>
              <w:rPr>
                <w:rFonts w:cstheme="minorHAnsi"/>
                <w:sz w:val="18"/>
                <w:szCs w:val="18"/>
              </w:rPr>
            </w:pPr>
            <w:r w:rsidRPr="00776ABA">
              <w:rPr>
                <w:rFonts w:cstheme="minorHAnsi"/>
                <w:sz w:val="18"/>
                <w:szCs w:val="18"/>
              </w:rPr>
              <w:t>TBD</w:t>
            </w:r>
          </w:p>
        </w:tc>
        <w:tc>
          <w:tcPr>
            <w:tcW w:w="951" w:type="dxa"/>
            <w:shd w:val="clear" w:color="auto" w:fill="FBE4D5" w:themeFill="accent2" w:themeFillTint="33"/>
            <w:vAlign w:val="center"/>
          </w:tcPr>
          <w:p w14:paraId="10288005" w14:textId="77777777" w:rsidR="003B3F51" w:rsidRPr="00776ABA" w:rsidRDefault="003B3F51">
            <w:pPr>
              <w:jc w:val="center"/>
              <w:rPr>
                <w:rFonts w:cstheme="minorHAnsi"/>
                <w:sz w:val="18"/>
                <w:szCs w:val="18"/>
              </w:rPr>
            </w:pPr>
          </w:p>
        </w:tc>
        <w:tc>
          <w:tcPr>
            <w:tcW w:w="2610" w:type="dxa"/>
            <w:shd w:val="clear" w:color="auto" w:fill="FBE4D5" w:themeFill="accent2" w:themeFillTint="33"/>
            <w:vAlign w:val="center"/>
          </w:tcPr>
          <w:p w14:paraId="7CC3F443" w14:textId="77777777" w:rsidR="003B3F51" w:rsidRPr="00776ABA" w:rsidRDefault="003B3F51">
            <w:pPr>
              <w:rPr>
                <w:rFonts w:cstheme="minorHAnsi"/>
                <w:sz w:val="18"/>
                <w:szCs w:val="18"/>
              </w:rPr>
            </w:pPr>
            <w:r w:rsidRPr="00776ABA">
              <w:rPr>
                <w:rFonts w:cstheme="minorHAnsi"/>
                <w:sz w:val="18"/>
                <w:szCs w:val="18"/>
              </w:rPr>
              <w:t>Total non-CIF resources leveraged in REI projects. Core indicator 6 below will feed this indicator for REI.</w:t>
            </w:r>
          </w:p>
          <w:p w14:paraId="047EB43E" w14:textId="77777777" w:rsidR="003B3F51" w:rsidRPr="00776ABA" w:rsidRDefault="003B3F51">
            <w:pPr>
              <w:rPr>
                <w:rFonts w:cstheme="minorHAnsi"/>
                <w:sz w:val="18"/>
                <w:szCs w:val="18"/>
              </w:rPr>
            </w:pPr>
          </w:p>
          <w:p w14:paraId="0BD5526B" w14:textId="77777777" w:rsidR="003B3F51" w:rsidRPr="00776ABA" w:rsidRDefault="003B3F51">
            <w:pPr>
              <w:rPr>
                <w:rFonts w:cstheme="minorHAnsi"/>
                <w:sz w:val="18"/>
                <w:szCs w:val="18"/>
              </w:rPr>
            </w:pPr>
            <w:r w:rsidRPr="00776ABA">
              <w:rPr>
                <w:rFonts w:cstheme="minorHAnsi"/>
                <w:sz w:val="18"/>
                <w:szCs w:val="18"/>
                <w:u w:val="single"/>
              </w:rPr>
              <w:t>Disaggregation</w:t>
            </w:r>
            <w:r w:rsidRPr="00776ABA">
              <w:rPr>
                <w:rFonts w:cstheme="minorHAnsi"/>
                <w:sz w:val="18"/>
                <w:szCs w:val="18"/>
              </w:rPr>
              <w:t>: Source of co-financing (MDB, Government, Private Sector, Bilateral, and Other)</w:t>
            </w:r>
          </w:p>
          <w:p w14:paraId="11C78693" w14:textId="77777777" w:rsidR="003B3F51" w:rsidRPr="00776ABA" w:rsidRDefault="003B3F51">
            <w:pPr>
              <w:rPr>
                <w:rFonts w:cstheme="minorHAnsi"/>
                <w:sz w:val="18"/>
                <w:szCs w:val="18"/>
              </w:rPr>
            </w:pPr>
          </w:p>
        </w:tc>
        <w:tc>
          <w:tcPr>
            <w:tcW w:w="5604" w:type="dxa"/>
            <w:gridSpan w:val="2"/>
            <w:vMerge/>
            <w:vAlign w:val="center"/>
          </w:tcPr>
          <w:p w14:paraId="2E82759E" w14:textId="77777777" w:rsidR="003B3F51" w:rsidRPr="00776ABA" w:rsidRDefault="003B3F51">
            <w:pPr>
              <w:rPr>
                <w:rFonts w:cstheme="minorHAnsi"/>
                <w:sz w:val="18"/>
                <w:szCs w:val="18"/>
              </w:rPr>
            </w:pPr>
          </w:p>
        </w:tc>
      </w:tr>
    </w:tbl>
    <w:p w14:paraId="014853F3" w14:textId="77777777" w:rsidR="003B3F51" w:rsidRPr="00776ABA" w:rsidRDefault="003B3F51" w:rsidP="003B3F51">
      <w:pPr>
        <w:rPr>
          <w:rFonts w:cstheme="minorHAnsi"/>
          <w:sz w:val="18"/>
          <w:szCs w:val="18"/>
        </w:rPr>
      </w:pPr>
    </w:p>
    <w:tbl>
      <w:tblPr>
        <w:tblStyle w:val="TableGrid"/>
        <w:tblW w:w="15030" w:type="dxa"/>
        <w:tblInd w:w="-117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80" w:firstRow="0" w:lastRow="0" w:firstColumn="1" w:lastColumn="0" w:noHBand="0" w:noVBand="1"/>
      </w:tblPr>
      <w:tblGrid>
        <w:gridCol w:w="15030"/>
      </w:tblGrid>
      <w:tr w:rsidR="00597795" w:rsidRPr="00776ABA" w14:paraId="2EF2C2DE" w14:textId="77777777" w:rsidTr="004A512C">
        <w:trPr>
          <w:trHeight w:val="620"/>
        </w:trPr>
        <w:tc>
          <w:tcPr>
            <w:tcW w:w="15030" w:type="dxa"/>
            <w:shd w:val="clear" w:color="auto" w:fill="005364"/>
            <w:vAlign w:val="center"/>
          </w:tcPr>
          <w:p w14:paraId="4EC95277" w14:textId="77777777" w:rsidR="003B3F51" w:rsidRPr="00776ABA" w:rsidRDefault="003B3F51">
            <w:pPr>
              <w:spacing w:before="240"/>
              <w:rPr>
                <w:rFonts w:cstheme="minorHAnsi"/>
                <w:b/>
                <w:bCs/>
                <w:color w:val="FFFFFF" w:themeColor="background1"/>
                <w:sz w:val="18"/>
                <w:szCs w:val="18"/>
              </w:rPr>
            </w:pPr>
            <w:bookmarkStart w:id="275" w:name="_Hlk79418860"/>
            <w:r w:rsidRPr="00776ABA">
              <w:rPr>
                <w:rFonts w:cstheme="minorHAnsi"/>
                <w:sz w:val="18"/>
                <w:szCs w:val="18"/>
              </w:rPr>
              <w:lastRenderedPageBreak/>
              <w:br w:type="page"/>
            </w:r>
            <w:r w:rsidRPr="00776ABA">
              <w:rPr>
                <w:rFonts w:cstheme="minorHAnsi"/>
                <w:b/>
                <w:bCs/>
                <w:color w:val="A6A6A6" w:themeColor="background1" w:themeShade="A6"/>
                <w:sz w:val="18"/>
                <w:szCs w:val="18"/>
              </w:rPr>
              <w:t>REI PROGRAM THEORY OF CHANGE:</w:t>
            </w:r>
          </w:p>
          <w:p w14:paraId="1C6D7A1F" w14:textId="77777777" w:rsidR="003B3F51" w:rsidRPr="00776ABA" w:rsidRDefault="003B3F51">
            <w:pPr>
              <w:spacing w:after="240"/>
              <w:rPr>
                <w:rFonts w:cstheme="minorHAnsi"/>
                <w:b/>
                <w:bCs/>
                <w:color w:val="FFFFFF" w:themeColor="background1"/>
                <w:sz w:val="18"/>
                <w:szCs w:val="18"/>
              </w:rPr>
            </w:pPr>
            <w:r w:rsidRPr="00776ABA">
              <w:rPr>
                <w:rFonts w:cstheme="minorHAnsi"/>
                <w:b/>
                <w:bCs/>
                <w:color w:val="FFFFFF" w:themeColor="background1"/>
                <w:sz w:val="18"/>
                <w:szCs w:val="18"/>
              </w:rPr>
              <w:t>If CIF improves market design and system operations, provides enabling technologies and infrastructure, and develops new business models, countries will increase renewable energy penetration in their energy mix, achieve a more flexible and decentralized energy system, improve policies and capabilities, mobilize capital, increase renewable energy access, reduce systems costs, and foster renewable energy innovation, which will all contribute toward CIF’s transformative impact.</w:t>
            </w:r>
          </w:p>
        </w:tc>
      </w:tr>
    </w:tbl>
    <w:p w14:paraId="322A7CB1" w14:textId="77777777" w:rsidR="003B3F51" w:rsidRPr="00664EB9" w:rsidRDefault="003B3F51" w:rsidP="003B3F51">
      <w:pPr>
        <w:rPr>
          <w:sz w:val="2"/>
          <w:szCs w:val="2"/>
        </w:rPr>
      </w:pPr>
    </w:p>
    <w:tbl>
      <w:tblPr>
        <w:tblStyle w:val="TableGrid"/>
        <w:tblW w:w="15030" w:type="dxa"/>
        <w:tblInd w:w="-117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80" w:firstRow="0" w:lastRow="0" w:firstColumn="1" w:lastColumn="0" w:noHBand="0" w:noVBand="1"/>
      </w:tblPr>
      <w:tblGrid>
        <w:gridCol w:w="1799"/>
        <w:gridCol w:w="1801"/>
        <w:gridCol w:w="1198"/>
        <w:gridCol w:w="1067"/>
        <w:gridCol w:w="951"/>
        <w:gridCol w:w="2610"/>
        <w:gridCol w:w="10"/>
        <w:gridCol w:w="5594"/>
      </w:tblGrid>
      <w:tr w:rsidR="00597795" w:rsidRPr="00776ABA" w14:paraId="237CF9DA" w14:textId="77777777" w:rsidTr="004A512C">
        <w:trPr>
          <w:trHeight w:val="432"/>
          <w:tblHeader/>
        </w:trPr>
        <w:tc>
          <w:tcPr>
            <w:tcW w:w="1799" w:type="dxa"/>
            <w:vMerge w:val="restart"/>
            <w:shd w:val="clear" w:color="auto" w:fill="333C42"/>
            <w:vAlign w:val="center"/>
          </w:tcPr>
          <w:p w14:paraId="22FE5510" w14:textId="77777777" w:rsidR="003B3F51" w:rsidRPr="00776ABA" w:rsidRDefault="003B3F51">
            <w:pPr>
              <w:rPr>
                <w:rFonts w:cstheme="minorHAnsi"/>
                <w:b/>
                <w:bCs/>
                <w:color w:val="FFFFFF" w:themeColor="background1"/>
                <w:sz w:val="18"/>
                <w:szCs w:val="18"/>
              </w:rPr>
            </w:pPr>
            <w:r w:rsidRPr="00776ABA">
              <w:rPr>
                <w:rFonts w:cstheme="minorHAnsi"/>
                <w:b/>
                <w:bCs/>
                <w:color w:val="FFFFFF" w:themeColor="background1"/>
                <w:sz w:val="18"/>
                <w:szCs w:val="18"/>
              </w:rPr>
              <w:t>RESULT STATEMENT</w:t>
            </w:r>
          </w:p>
        </w:tc>
        <w:tc>
          <w:tcPr>
            <w:tcW w:w="7637" w:type="dxa"/>
            <w:gridSpan w:val="6"/>
            <w:shd w:val="clear" w:color="auto" w:fill="333C42"/>
            <w:vAlign w:val="center"/>
          </w:tcPr>
          <w:p w14:paraId="12121A96" w14:textId="77777777" w:rsidR="003B3F51" w:rsidRPr="00776ABA" w:rsidRDefault="003B3F51">
            <w:pPr>
              <w:jc w:val="center"/>
              <w:rPr>
                <w:rFonts w:cstheme="minorHAnsi"/>
                <w:b/>
                <w:bCs/>
                <w:color w:val="FFFFFF" w:themeColor="background1"/>
                <w:sz w:val="18"/>
                <w:szCs w:val="18"/>
              </w:rPr>
            </w:pPr>
            <w:r w:rsidRPr="00776ABA">
              <w:rPr>
                <w:rFonts w:cstheme="minorHAnsi"/>
                <w:b/>
                <w:bCs/>
                <w:color w:val="FFFFFF" w:themeColor="background1"/>
                <w:sz w:val="18"/>
                <w:szCs w:val="18"/>
              </w:rPr>
              <w:t>MONITORING APPROACH</w:t>
            </w:r>
          </w:p>
        </w:tc>
        <w:tc>
          <w:tcPr>
            <w:tcW w:w="5594" w:type="dxa"/>
            <w:shd w:val="clear" w:color="auto" w:fill="333C42"/>
            <w:vAlign w:val="center"/>
          </w:tcPr>
          <w:p w14:paraId="5B92A2D0" w14:textId="77777777" w:rsidR="003B3F51" w:rsidRPr="00776ABA" w:rsidRDefault="003B3F51">
            <w:pPr>
              <w:jc w:val="center"/>
              <w:rPr>
                <w:rFonts w:cstheme="minorHAnsi"/>
                <w:b/>
                <w:bCs/>
                <w:color w:val="FFFFFF" w:themeColor="background1"/>
                <w:sz w:val="18"/>
                <w:szCs w:val="18"/>
              </w:rPr>
            </w:pPr>
            <w:r w:rsidRPr="00776ABA">
              <w:rPr>
                <w:rFonts w:cstheme="minorHAnsi"/>
                <w:b/>
                <w:bCs/>
                <w:color w:val="FFFFFF" w:themeColor="background1"/>
                <w:sz w:val="18"/>
                <w:szCs w:val="18"/>
              </w:rPr>
              <w:t>EVALUATION AND LEARNING APPROACH</w:t>
            </w:r>
          </w:p>
        </w:tc>
      </w:tr>
      <w:tr w:rsidR="00597795" w:rsidRPr="00776ABA" w14:paraId="57FA0AE9" w14:textId="77777777" w:rsidTr="004A512C">
        <w:trPr>
          <w:trHeight w:val="432"/>
          <w:tblHeader/>
        </w:trPr>
        <w:tc>
          <w:tcPr>
            <w:tcW w:w="1799" w:type="dxa"/>
            <w:vMerge/>
            <w:shd w:val="clear" w:color="auto" w:fill="333C42"/>
            <w:vAlign w:val="center"/>
          </w:tcPr>
          <w:p w14:paraId="0C89F671" w14:textId="77777777" w:rsidR="003B3F51" w:rsidRPr="00776ABA" w:rsidRDefault="003B3F51">
            <w:pPr>
              <w:rPr>
                <w:rFonts w:cstheme="minorHAnsi"/>
                <w:b/>
                <w:bCs/>
                <w:color w:val="FFFFFF" w:themeColor="background1"/>
                <w:sz w:val="18"/>
                <w:szCs w:val="18"/>
              </w:rPr>
            </w:pPr>
          </w:p>
        </w:tc>
        <w:tc>
          <w:tcPr>
            <w:tcW w:w="1801" w:type="dxa"/>
            <w:shd w:val="clear" w:color="auto" w:fill="333C42"/>
            <w:vAlign w:val="center"/>
          </w:tcPr>
          <w:p w14:paraId="23C00327" w14:textId="77777777" w:rsidR="003B3F51" w:rsidRPr="00776ABA" w:rsidRDefault="003B3F51">
            <w:pPr>
              <w:rPr>
                <w:rFonts w:cstheme="minorHAnsi"/>
                <w:b/>
                <w:bCs/>
                <w:color w:val="FFFFFF" w:themeColor="background1"/>
                <w:sz w:val="18"/>
                <w:szCs w:val="18"/>
              </w:rPr>
            </w:pPr>
            <w:r w:rsidRPr="00776ABA">
              <w:rPr>
                <w:rFonts w:cstheme="minorHAnsi"/>
                <w:b/>
                <w:bCs/>
                <w:color w:val="FFFFFF" w:themeColor="background1"/>
                <w:sz w:val="18"/>
                <w:szCs w:val="18"/>
              </w:rPr>
              <w:t>INDICATORS</w:t>
            </w:r>
          </w:p>
        </w:tc>
        <w:tc>
          <w:tcPr>
            <w:tcW w:w="1198" w:type="dxa"/>
            <w:shd w:val="clear" w:color="auto" w:fill="333C42"/>
            <w:tcMar>
              <w:left w:w="0" w:type="dxa"/>
              <w:right w:w="29" w:type="dxa"/>
            </w:tcMar>
            <w:vAlign w:val="center"/>
          </w:tcPr>
          <w:p w14:paraId="1845A831" w14:textId="77777777" w:rsidR="003B3F51" w:rsidRPr="00776ABA" w:rsidRDefault="003B3F51">
            <w:pPr>
              <w:jc w:val="center"/>
              <w:rPr>
                <w:rFonts w:cstheme="minorHAnsi"/>
                <w:b/>
                <w:bCs/>
                <w:color w:val="FFFFFF" w:themeColor="background1"/>
                <w:sz w:val="18"/>
                <w:szCs w:val="18"/>
              </w:rPr>
            </w:pPr>
            <w:r w:rsidRPr="00776ABA">
              <w:rPr>
                <w:rFonts w:cstheme="minorHAnsi"/>
                <w:b/>
                <w:bCs/>
                <w:color w:val="FFFFFF" w:themeColor="background1"/>
                <w:sz w:val="18"/>
                <w:szCs w:val="18"/>
              </w:rPr>
              <w:t>BASELINE</w:t>
            </w:r>
          </w:p>
        </w:tc>
        <w:tc>
          <w:tcPr>
            <w:tcW w:w="1067" w:type="dxa"/>
            <w:shd w:val="clear" w:color="auto" w:fill="333C42"/>
            <w:tcMar>
              <w:left w:w="0" w:type="dxa"/>
              <w:right w:w="29" w:type="dxa"/>
            </w:tcMar>
            <w:vAlign w:val="center"/>
          </w:tcPr>
          <w:p w14:paraId="43521C0B" w14:textId="77777777" w:rsidR="003B3F51" w:rsidRPr="00776ABA" w:rsidRDefault="003B3F51">
            <w:pPr>
              <w:jc w:val="center"/>
              <w:rPr>
                <w:rFonts w:cstheme="minorHAnsi"/>
                <w:b/>
                <w:bCs/>
                <w:color w:val="FFFFFF" w:themeColor="background1"/>
                <w:sz w:val="18"/>
                <w:szCs w:val="18"/>
              </w:rPr>
            </w:pPr>
            <w:r w:rsidRPr="00776ABA">
              <w:rPr>
                <w:rFonts w:cstheme="minorHAnsi"/>
                <w:b/>
                <w:bCs/>
                <w:color w:val="FFFFFF" w:themeColor="background1"/>
                <w:sz w:val="18"/>
                <w:szCs w:val="18"/>
              </w:rPr>
              <w:t>MEANS OF VERIFI-CATION</w:t>
            </w:r>
          </w:p>
        </w:tc>
        <w:tc>
          <w:tcPr>
            <w:tcW w:w="951" w:type="dxa"/>
            <w:shd w:val="clear" w:color="auto" w:fill="333C42"/>
            <w:tcMar>
              <w:left w:w="0" w:type="dxa"/>
              <w:right w:w="29" w:type="dxa"/>
            </w:tcMar>
            <w:vAlign w:val="center"/>
          </w:tcPr>
          <w:p w14:paraId="400AAD56" w14:textId="77777777" w:rsidR="003B3F51" w:rsidRPr="00776ABA" w:rsidRDefault="003B3F51">
            <w:pPr>
              <w:jc w:val="center"/>
              <w:rPr>
                <w:rFonts w:cstheme="minorHAnsi"/>
                <w:b/>
                <w:bCs/>
                <w:color w:val="FFFFFF" w:themeColor="background1"/>
                <w:sz w:val="18"/>
                <w:szCs w:val="18"/>
              </w:rPr>
            </w:pPr>
            <w:r w:rsidRPr="00776ABA">
              <w:rPr>
                <w:rFonts w:cstheme="minorHAnsi"/>
                <w:b/>
                <w:bCs/>
                <w:color w:val="FFFFFF" w:themeColor="background1"/>
                <w:sz w:val="18"/>
                <w:szCs w:val="18"/>
              </w:rPr>
              <w:t>TARGET (DATE)</w:t>
            </w:r>
          </w:p>
        </w:tc>
        <w:tc>
          <w:tcPr>
            <w:tcW w:w="2610" w:type="dxa"/>
            <w:shd w:val="clear" w:color="auto" w:fill="333C42"/>
            <w:vAlign w:val="center"/>
          </w:tcPr>
          <w:p w14:paraId="74A87FD3" w14:textId="77777777" w:rsidR="003B3F51" w:rsidRPr="00776ABA" w:rsidRDefault="003B3F51">
            <w:pPr>
              <w:rPr>
                <w:rFonts w:cstheme="minorHAnsi"/>
                <w:b/>
                <w:bCs/>
                <w:color w:val="FFFFFF" w:themeColor="background1"/>
                <w:sz w:val="18"/>
                <w:szCs w:val="18"/>
              </w:rPr>
            </w:pPr>
            <w:r w:rsidRPr="00776ABA">
              <w:rPr>
                <w:rFonts w:cstheme="minorHAnsi"/>
                <w:b/>
                <w:bCs/>
                <w:color w:val="FFFFFF" w:themeColor="background1"/>
                <w:sz w:val="18"/>
                <w:szCs w:val="18"/>
              </w:rPr>
              <w:t>NOTES</w:t>
            </w:r>
          </w:p>
        </w:tc>
        <w:tc>
          <w:tcPr>
            <w:tcW w:w="5604" w:type="dxa"/>
            <w:gridSpan w:val="2"/>
            <w:shd w:val="clear" w:color="auto" w:fill="333C42"/>
            <w:vAlign w:val="center"/>
          </w:tcPr>
          <w:p w14:paraId="7F3CBBB5" w14:textId="77777777" w:rsidR="003B3F51" w:rsidRPr="00776ABA" w:rsidRDefault="003B3F51">
            <w:pPr>
              <w:rPr>
                <w:rFonts w:cstheme="minorHAnsi"/>
                <w:b/>
                <w:bCs/>
                <w:color w:val="FFFFFF" w:themeColor="background1"/>
                <w:sz w:val="18"/>
                <w:szCs w:val="18"/>
              </w:rPr>
            </w:pPr>
            <w:r w:rsidRPr="00776ABA">
              <w:rPr>
                <w:rFonts w:cstheme="minorHAnsi"/>
                <w:b/>
                <w:bCs/>
                <w:color w:val="FFFFFF" w:themeColor="background1"/>
                <w:sz w:val="18"/>
                <w:szCs w:val="18"/>
              </w:rPr>
              <w:br/>
              <w:t>KEY AREAS</w:t>
            </w:r>
          </w:p>
        </w:tc>
      </w:tr>
      <w:bookmarkEnd w:id="275"/>
      <w:tr w:rsidR="00597795" w:rsidRPr="00776ABA" w14:paraId="3528B603" w14:textId="77777777" w:rsidTr="004A512C">
        <w:tc>
          <w:tcPr>
            <w:tcW w:w="15030" w:type="dxa"/>
            <w:gridSpan w:val="8"/>
            <w:shd w:val="clear" w:color="auto" w:fill="005364"/>
            <w:vAlign w:val="center"/>
          </w:tcPr>
          <w:p w14:paraId="2E8165BC" w14:textId="77777777" w:rsidR="003B3F51" w:rsidRPr="00776ABA" w:rsidRDefault="003B3F51">
            <w:pPr>
              <w:spacing w:before="40" w:after="40"/>
              <w:rPr>
                <w:rFonts w:cstheme="minorHAnsi"/>
                <w:b/>
                <w:bCs/>
                <w:color w:val="FFFFFF" w:themeColor="background1"/>
                <w:sz w:val="18"/>
                <w:szCs w:val="18"/>
              </w:rPr>
            </w:pPr>
            <w:r w:rsidRPr="00776ABA">
              <w:rPr>
                <w:rFonts w:cstheme="minorHAnsi"/>
                <w:b/>
                <w:bCs/>
                <w:color w:val="FFFFFF" w:themeColor="background1"/>
                <w:sz w:val="18"/>
                <w:szCs w:val="18"/>
              </w:rPr>
              <w:t>REI PROGRAM-LEVEL IMPACTS</w:t>
            </w:r>
          </w:p>
        </w:tc>
      </w:tr>
      <w:tr w:rsidR="0043498D" w:rsidRPr="00776ABA" w14:paraId="2A1B52E1" w14:textId="77777777" w:rsidTr="004A512C">
        <w:tc>
          <w:tcPr>
            <w:tcW w:w="1799" w:type="dxa"/>
            <w:shd w:val="clear" w:color="auto" w:fill="D9E2F3" w:themeFill="accent1" w:themeFillTint="33"/>
            <w:vAlign w:val="center"/>
          </w:tcPr>
          <w:p w14:paraId="75DB6D53" w14:textId="77777777" w:rsidR="003B3F51" w:rsidRPr="00776ABA" w:rsidRDefault="003B3F51">
            <w:pPr>
              <w:rPr>
                <w:rFonts w:cstheme="minorHAnsi"/>
                <w:sz w:val="18"/>
                <w:szCs w:val="18"/>
              </w:rPr>
            </w:pPr>
            <w:r w:rsidRPr="00776ABA">
              <w:rPr>
                <w:rFonts w:cstheme="minorHAnsi"/>
                <w:sz w:val="18"/>
                <w:szCs w:val="18"/>
              </w:rPr>
              <w:t xml:space="preserve">Flexibility of energy systems for smooth integration of higher shares of variable renewable energy generation </w:t>
            </w:r>
          </w:p>
        </w:tc>
        <w:tc>
          <w:tcPr>
            <w:tcW w:w="1801" w:type="dxa"/>
            <w:shd w:val="clear" w:color="auto" w:fill="FBE4D5" w:themeFill="accent2" w:themeFillTint="33"/>
            <w:vAlign w:val="center"/>
          </w:tcPr>
          <w:p w14:paraId="7DFDF9FE" w14:textId="77777777" w:rsidR="003B3F51" w:rsidRPr="00776ABA" w:rsidRDefault="003B3F51">
            <w:pPr>
              <w:rPr>
                <w:rFonts w:cstheme="minorHAnsi"/>
                <w:sz w:val="18"/>
                <w:szCs w:val="18"/>
              </w:rPr>
            </w:pPr>
          </w:p>
          <w:p w14:paraId="136C7465" w14:textId="77777777" w:rsidR="003B3F51" w:rsidRPr="00776ABA" w:rsidRDefault="003B3F51">
            <w:pPr>
              <w:rPr>
                <w:rFonts w:cstheme="minorHAnsi"/>
                <w:sz w:val="18"/>
                <w:szCs w:val="18"/>
              </w:rPr>
            </w:pPr>
            <w:r w:rsidRPr="00776ABA">
              <w:rPr>
                <w:rFonts w:cstheme="minorHAnsi"/>
                <w:sz w:val="18"/>
                <w:szCs w:val="18"/>
              </w:rPr>
              <w:t>Share of renewable energy generation in supported countries’ grid-connected energy systems (%)</w:t>
            </w:r>
          </w:p>
          <w:p w14:paraId="42BA088E" w14:textId="77777777" w:rsidR="003B3F51" w:rsidRPr="00776ABA" w:rsidRDefault="003B3F51">
            <w:pPr>
              <w:rPr>
                <w:rFonts w:cstheme="minorHAnsi"/>
                <w:sz w:val="18"/>
                <w:szCs w:val="18"/>
              </w:rPr>
            </w:pPr>
          </w:p>
          <w:p w14:paraId="75E6FC76" w14:textId="77777777" w:rsidR="003B3F51" w:rsidRPr="00776ABA" w:rsidRDefault="003B3F51">
            <w:pPr>
              <w:rPr>
                <w:rFonts w:cstheme="minorHAnsi"/>
                <w:sz w:val="18"/>
                <w:szCs w:val="18"/>
              </w:rPr>
            </w:pPr>
          </w:p>
        </w:tc>
        <w:tc>
          <w:tcPr>
            <w:tcW w:w="1198" w:type="dxa"/>
            <w:shd w:val="clear" w:color="auto" w:fill="FBE4D5" w:themeFill="accent2" w:themeFillTint="33"/>
            <w:vAlign w:val="center"/>
          </w:tcPr>
          <w:p w14:paraId="397022A5" w14:textId="77777777" w:rsidR="003B3F51" w:rsidRPr="00776ABA" w:rsidRDefault="003B3F51">
            <w:pPr>
              <w:jc w:val="center"/>
              <w:rPr>
                <w:rFonts w:cstheme="minorHAnsi"/>
                <w:sz w:val="18"/>
                <w:szCs w:val="18"/>
              </w:rPr>
            </w:pPr>
            <w:r w:rsidRPr="00776ABA">
              <w:rPr>
                <w:rFonts w:cstheme="minorHAnsi"/>
                <w:sz w:val="18"/>
                <w:szCs w:val="18"/>
              </w:rPr>
              <w:t>Country-level analyses from IPs and project appraisals (non-zero)</w:t>
            </w:r>
          </w:p>
        </w:tc>
        <w:tc>
          <w:tcPr>
            <w:tcW w:w="1067" w:type="dxa"/>
            <w:shd w:val="clear" w:color="auto" w:fill="FBE4D5" w:themeFill="accent2" w:themeFillTint="33"/>
            <w:vAlign w:val="center"/>
          </w:tcPr>
          <w:p w14:paraId="1DEDDD73" w14:textId="77777777" w:rsidR="003B3F51" w:rsidRPr="00776ABA" w:rsidRDefault="003B3F51">
            <w:pPr>
              <w:rPr>
                <w:rFonts w:cstheme="minorHAnsi"/>
                <w:color w:val="000000" w:themeColor="text1"/>
                <w:sz w:val="18"/>
                <w:szCs w:val="18"/>
              </w:rPr>
            </w:pPr>
          </w:p>
          <w:p w14:paraId="49553F85" w14:textId="77777777" w:rsidR="003B3F51" w:rsidRPr="00776ABA" w:rsidRDefault="003B3F51">
            <w:pPr>
              <w:rPr>
                <w:rFonts w:cstheme="minorHAnsi"/>
                <w:color w:val="000000" w:themeColor="text1"/>
                <w:sz w:val="18"/>
                <w:szCs w:val="18"/>
              </w:rPr>
            </w:pPr>
            <w:r w:rsidRPr="00776ABA">
              <w:rPr>
                <w:rFonts w:cstheme="minorHAnsi"/>
                <w:color w:val="000000" w:themeColor="text1"/>
                <w:sz w:val="18"/>
                <w:szCs w:val="18"/>
              </w:rPr>
              <w:t>National statistics, macro-level indicators, World Bank (or other MDB) country data</w:t>
            </w:r>
          </w:p>
        </w:tc>
        <w:tc>
          <w:tcPr>
            <w:tcW w:w="951" w:type="dxa"/>
            <w:shd w:val="clear" w:color="auto" w:fill="FBE4D5" w:themeFill="accent2" w:themeFillTint="33"/>
            <w:vAlign w:val="center"/>
          </w:tcPr>
          <w:p w14:paraId="6672BABD" w14:textId="77777777" w:rsidR="003B3F51" w:rsidRPr="00776ABA" w:rsidRDefault="003B3F51">
            <w:pPr>
              <w:jc w:val="center"/>
              <w:rPr>
                <w:rFonts w:cstheme="minorHAnsi"/>
                <w:color w:val="000000" w:themeColor="text1"/>
                <w:sz w:val="18"/>
                <w:szCs w:val="18"/>
              </w:rPr>
            </w:pPr>
          </w:p>
        </w:tc>
        <w:tc>
          <w:tcPr>
            <w:tcW w:w="2610" w:type="dxa"/>
            <w:shd w:val="clear" w:color="auto" w:fill="FBE4D5" w:themeFill="accent2" w:themeFillTint="33"/>
            <w:vAlign w:val="center"/>
          </w:tcPr>
          <w:p w14:paraId="5A72D44D" w14:textId="77777777" w:rsidR="003B3F51" w:rsidRPr="00776ABA" w:rsidRDefault="003B3F51">
            <w:pPr>
              <w:rPr>
                <w:rFonts w:cstheme="minorHAnsi"/>
                <w:sz w:val="18"/>
                <w:szCs w:val="18"/>
              </w:rPr>
            </w:pPr>
            <w:r w:rsidRPr="00776ABA">
              <w:rPr>
                <w:rFonts w:cstheme="minorHAnsi"/>
                <w:sz w:val="18"/>
                <w:szCs w:val="18"/>
              </w:rPr>
              <w:t>Program-level impacts focus on alignment with NDCs and related climate policy mechanisms, national and sectoral development priorities, and available statistics at the Investment Plan and/or country level.</w:t>
            </w:r>
          </w:p>
          <w:p w14:paraId="0247808B" w14:textId="77777777" w:rsidR="003B3F51" w:rsidRPr="00776ABA" w:rsidRDefault="003B3F51">
            <w:pPr>
              <w:rPr>
                <w:rFonts w:cstheme="minorHAnsi"/>
                <w:sz w:val="18"/>
                <w:szCs w:val="18"/>
              </w:rPr>
            </w:pPr>
          </w:p>
          <w:p w14:paraId="0C1AFD8F" w14:textId="77777777" w:rsidR="003B3F51" w:rsidRPr="00776ABA" w:rsidRDefault="003B3F51">
            <w:pPr>
              <w:rPr>
                <w:rFonts w:cstheme="minorHAnsi"/>
                <w:sz w:val="18"/>
                <w:szCs w:val="18"/>
              </w:rPr>
            </w:pPr>
            <w:r w:rsidRPr="00776ABA">
              <w:rPr>
                <w:rFonts w:cstheme="minorHAnsi"/>
                <w:sz w:val="18"/>
                <w:szCs w:val="18"/>
              </w:rPr>
              <w:t>This aspect of monitoring and reporting is country-driven and will be tailored to the needs, demands, and interests of each CIF recipient country.</w:t>
            </w:r>
          </w:p>
          <w:p w14:paraId="027E1F1D" w14:textId="77777777" w:rsidR="003B3F51" w:rsidRPr="00776ABA" w:rsidRDefault="003B3F51">
            <w:pPr>
              <w:rPr>
                <w:rFonts w:cstheme="minorHAnsi"/>
                <w:sz w:val="18"/>
                <w:szCs w:val="18"/>
              </w:rPr>
            </w:pPr>
          </w:p>
          <w:p w14:paraId="3B7C3C92" w14:textId="77777777" w:rsidR="003B3F51" w:rsidRPr="00776ABA" w:rsidRDefault="003B3F51">
            <w:pPr>
              <w:rPr>
                <w:rFonts w:cstheme="minorHAnsi"/>
                <w:b/>
                <w:bCs/>
                <w:sz w:val="18"/>
                <w:szCs w:val="18"/>
              </w:rPr>
            </w:pPr>
            <w:r w:rsidRPr="00776ABA">
              <w:rPr>
                <w:rFonts w:cstheme="minorHAnsi"/>
                <w:b/>
                <w:bCs/>
                <w:sz w:val="18"/>
                <w:szCs w:val="18"/>
              </w:rPr>
              <w:t xml:space="preserve">MDBs will </w:t>
            </w:r>
            <w:r w:rsidRPr="00776ABA">
              <w:rPr>
                <w:rFonts w:cstheme="minorHAnsi"/>
                <w:b/>
                <w:bCs/>
                <w:sz w:val="18"/>
                <w:szCs w:val="18"/>
                <w:u w:val="single"/>
              </w:rPr>
              <w:t>not</w:t>
            </w:r>
            <w:r w:rsidRPr="00776ABA">
              <w:rPr>
                <w:rFonts w:cstheme="minorHAnsi"/>
                <w:b/>
                <w:bCs/>
                <w:sz w:val="18"/>
                <w:szCs w:val="18"/>
              </w:rPr>
              <w:t xml:space="preserve"> be responsible for program-level impact reporting. All core indicators are situated at the CIF program outcome level.</w:t>
            </w:r>
          </w:p>
        </w:tc>
        <w:tc>
          <w:tcPr>
            <w:tcW w:w="5604" w:type="dxa"/>
            <w:gridSpan w:val="2"/>
            <w:shd w:val="clear" w:color="auto" w:fill="E7E6E6" w:themeFill="background2"/>
            <w:vAlign w:val="center"/>
          </w:tcPr>
          <w:p w14:paraId="282C7B99" w14:textId="77777777" w:rsidR="003B3F51" w:rsidRPr="00776ABA" w:rsidRDefault="003B3F51">
            <w:pPr>
              <w:rPr>
                <w:rFonts w:cstheme="minorHAnsi"/>
                <w:sz w:val="18"/>
                <w:szCs w:val="18"/>
              </w:rPr>
            </w:pPr>
            <w:r w:rsidRPr="00776ABA">
              <w:rPr>
                <w:rFonts w:cstheme="minorHAnsi"/>
                <w:b/>
                <w:bCs/>
                <w:sz w:val="18"/>
                <w:szCs w:val="18"/>
              </w:rPr>
              <w:t>Signals of transformational change:</w:t>
            </w:r>
            <w:r w:rsidRPr="00776ABA">
              <w:rPr>
                <w:rFonts w:cstheme="minorHAnsi"/>
                <w:sz w:val="18"/>
                <w:szCs w:val="18"/>
              </w:rPr>
              <w:t xml:space="preserve"> Signals of transformational change at the program level will focus on more narrowly bounded aspects of energy systems transformation than in the section above (i.e., CIF-level impact). They might cover dimensions of systems transformation that are more closely tied to individual REI recipient countries, Investment Plans and/or project-level impacts. Specific definitions and methodologies are to be determined.</w:t>
            </w:r>
          </w:p>
          <w:p w14:paraId="4D8E55E7" w14:textId="77777777" w:rsidR="003B3F51" w:rsidRPr="00776ABA" w:rsidRDefault="003B3F51">
            <w:pPr>
              <w:rPr>
                <w:rFonts w:cstheme="minorHAnsi"/>
                <w:sz w:val="18"/>
                <w:szCs w:val="18"/>
              </w:rPr>
            </w:pPr>
          </w:p>
          <w:p w14:paraId="68825708" w14:textId="77777777" w:rsidR="003B3F51" w:rsidRPr="00776ABA" w:rsidRDefault="003B3F51">
            <w:pPr>
              <w:rPr>
                <w:rFonts w:cstheme="minorHAnsi"/>
                <w:sz w:val="18"/>
                <w:szCs w:val="18"/>
              </w:rPr>
            </w:pPr>
          </w:p>
          <w:p w14:paraId="6B51BF1F" w14:textId="77777777" w:rsidR="003B3F51" w:rsidRPr="00776ABA" w:rsidRDefault="003B3F51">
            <w:pPr>
              <w:rPr>
                <w:rFonts w:cstheme="minorHAnsi"/>
                <w:sz w:val="18"/>
                <w:szCs w:val="18"/>
              </w:rPr>
            </w:pPr>
          </w:p>
          <w:p w14:paraId="3A1DF3B6" w14:textId="77777777" w:rsidR="003B3F51" w:rsidRPr="00776ABA" w:rsidRDefault="003B3F51">
            <w:pPr>
              <w:tabs>
                <w:tab w:val="left" w:pos="1330"/>
              </w:tabs>
              <w:rPr>
                <w:rFonts w:cstheme="minorHAnsi"/>
                <w:sz w:val="18"/>
                <w:szCs w:val="18"/>
              </w:rPr>
            </w:pPr>
          </w:p>
        </w:tc>
      </w:tr>
      <w:tr w:rsidR="00597795" w:rsidRPr="00776ABA" w14:paraId="486F698A" w14:textId="77777777" w:rsidTr="004A512C">
        <w:trPr>
          <w:trHeight w:val="360"/>
        </w:trPr>
        <w:tc>
          <w:tcPr>
            <w:tcW w:w="15030" w:type="dxa"/>
            <w:gridSpan w:val="8"/>
            <w:shd w:val="clear" w:color="auto" w:fill="005364"/>
            <w:vAlign w:val="center"/>
          </w:tcPr>
          <w:p w14:paraId="75473955" w14:textId="77777777" w:rsidR="003B3F51" w:rsidRPr="00776ABA" w:rsidRDefault="003B3F51">
            <w:pPr>
              <w:spacing w:before="40" w:after="40"/>
              <w:rPr>
                <w:rFonts w:cstheme="minorHAnsi"/>
                <w:b/>
                <w:bCs/>
                <w:color w:val="FFFFFF" w:themeColor="background1"/>
                <w:sz w:val="18"/>
                <w:szCs w:val="18"/>
              </w:rPr>
            </w:pPr>
            <w:r w:rsidRPr="00776ABA">
              <w:rPr>
                <w:rFonts w:cstheme="minorHAnsi"/>
                <w:b/>
                <w:bCs/>
                <w:color w:val="FFFFFF" w:themeColor="background1"/>
                <w:sz w:val="18"/>
                <w:szCs w:val="18"/>
              </w:rPr>
              <w:t>REI PROGRAM-LEVEL OUTCOMES</w:t>
            </w:r>
          </w:p>
        </w:tc>
      </w:tr>
      <w:tr w:rsidR="0043498D" w:rsidRPr="00776ABA" w14:paraId="7A2AD03C" w14:textId="77777777" w:rsidTr="004A512C">
        <w:tc>
          <w:tcPr>
            <w:tcW w:w="1799" w:type="dxa"/>
            <w:vMerge w:val="restart"/>
            <w:shd w:val="clear" w:color="auto" w:fill="D9E2F3" w:themeFill="accent1" w:themeFillTint="33"/>
            <w:vAlign w:val="center"/>
          </w:tcPr>
          <w:p w14:paraId="7530B01E" w14:textId="77777777" w:rsidR="003B3F51" w:rsidRPr="00776ABA" w:rsidRDefault="003B3F51">
            <w:pPr>
              <w:rPr>
                <w:rFonts w:cstheme="minorHAnsi"/>
                <w:sz w:val="18"/>
                <w:szCs w:val="18"/>
              </w:rPr>
            </w:pPr>
          </w:p>
          <w:p w14:paraId="67E158B2" w14:textId="77777777" w:rsidR="003B3F51" w:rsidRPr="00776ABA" w:rsidRDefault="003B3F51">
            <w:pPr>
              <w:rPr>
                <w:rFonts w:cstheme="minorHAnsi"/>
                <w:sz w:val="18"/>
                <w:szCs w:val="18"/>
              </w:rPr>
            </w:pPr>
          </w:p>
          <w:p w14:paraId="4B1490C9" w14:textId="77777777" w:rsidR="003B3F51" w:rsidRPr="00776ABA" w:rsidRDefault="003B3F51">
            <w:pPr>
              <w:rPr>
                <w:rFonts w:cstheme="minorHAnsi"/>
                <w:sz w:val="18"/>
                <w:szCs w:val="18"/>
              </w:rPr>
            </w:pPr>
          </w:p>
          <w:p w14:paraId="6F034CFA" w14:textId="77777777" w:rsidR="003B3F51" w:rsidRPr="00776ABA" w:rsidRDefault="003B3F51">
            <w:pPr>
              <w:rPr>
                <w:rFonts w:cstheme="minorHAnsi"/>
                <w:sz w:val="18"/>
                <w:szCs w:val="18"/>
              </w:rPr>
            </w:pPr>
          </w:p>
          <w:p w14:paraId="6CAD0A7A" w14:textId="77777777" w:rsidR="003B3F51" w:rsidRPr="00776ABA" w:rsidRDefault="003B3F51">
            <w:pPr>
              <w:rPr>
                <w:rFonts w:cstheme="minorHAnsi"/>
                <w:sz w:val="18"/>
                <w:szCs w:val="18"/>
              </w:rPr>
            </w:pPr>
            <w:r w:rsidRPr="00776ABA">
              <w:rPr>
                <w:rFonts w:cstheme="minorHAnsi"/>
                <w:sz w:val="18"/>
                <w:szCs w:val="18"/>
              </w:rPr>
              <w:t xml:space="preserve">A. Increased penetration of variable renewable </w:t>
            </w:r>
            <w:r w:rsidRPr="00776ABA">
              <w:rPr>
                <w:rFonts w:cstheme="minorHAnsi"/>
                <w:sz w:val="18"/>
                <w:szCs w:val="18"/>
              </w:rPr>
              <w:lastRenderedPageBreak/>
              <w:t>energy into power systems and maximized renewable energy potential of countries</w:t>
            </w:r>
          </w:p>
        </w:tc>
        <w:tc>
          <w:tcPr>
            <w:tcW w:w="1801" w:type="dxa"/>
            <w:shd w:val="clear" w:color="auto" w:fill="FBE4D5" w:themeFill="accent2" w:themeFillTint="33"/>
            <w:vAlign w:val="center"/>
          </w:tcPr>
          <w:p w14:paraId="4577EDAB" w14:textId="77777777" w:rsidR="003B3F51" w:rsidRPr="00776ABA" w:rsidRDefault="003B3F51">
            <w:pPr>
              <w:rPr>
                <w:rFonts w:cstheme="minorHAnsi"/>
                <w:b/>
                <w:bCs/>
                <w:color w:val="000000" w:themeColor="text1"/>
                <w:sz w:val="18"/>
                <w:szCs w:val="18"/>
              </w:rPr>
            </w:pPr>
          </w:p>
          <w:p w14:paraId="24E5A2FF" w14:textId="77777777" w:rsidR="003B3F51" w:rsidRPr="00776ABA" w:rsidRDefault="003B3F51">
            <w:pPr>
              <w:rPr>
                <w:rFonts w:cstheme="minorHAnsi"/>
                <w:b/>
                <w:bCs/>
                <w:color w:val="000000" w:themeColor="text1"/>
                <w:sz w:val="18"/>
                <w:szCs w:val="18"/>
              </w:rPr>
            </w:pPr>
            <w:r w:rsidRPr="00776ABA">
              <w:rPr>
                <w:rFonts w:cstheme="minorHAnsi"/>
                <w:b/>
                <w:bCs/>
                <w:color w:val="000000" w:themeColor="text1"/>
                <w:sz w:val="18"/>
                <w:szCs w:val="18"/>
              </w:rPr>
              <w:t>REI CORE 1</w:t>
            </w:r>
          </w:p>
          <w:p w14:paraId="18AADD5E" w14:textId="77777777" w:rsidR="003B3F51" w:rsidRPr="00776ABA" w:rsidRDefault="003B3F51">
            <w:pPr>
              <w:rPr>
                <w:rFonts w:cstheme="minorHAnsi"/>
                <w:sz w:val="18"/>
                <w:szCs w:val="18"/>
              </w:rPr>
            </w:pPr>
            <w:r w:rsidRPr="00776ABA">
              <w:rPr>
                <w:rFonts w:cstheme="minorHAnsi"/>
                <w:b/>
                <w:bCs/>
                <w:color w:val="000000" w:themeColor="text1"/>
                <w:sz w:val="18"/>
                <w:szCs w:val="18"/>
              </w:rPr>
              <w:t>(= CIF 1). Mitigation:</w:t>
            </w:r>
            <w:r w:rsidRPr="00776ABA">
              <w:rPr>
                <w:rFonts w:cstheme="minorHAnsi"/>
                <w:color w:val="000000" w:themeColor="text1"/>
                <w:sz w:val="18"/>
                <w:szCs w:val="18"/>
              </w:rPr>
              <w:t xml:space="preserve"> </w:t>
            </w:r>
            <w:r w:rsidRPr="00776ABA">
              <w:rPr>
                <w:rFonts w:cstheme="minorHAnsi"/>
                <w:sz w:val="18"/>
                <w:szCs w:val="18"/>
              </w:rPr>
              <w:t>GHG emissions reduced or avoided</w:t>
            </w:r>
          </w:p>
          <w:p w14:paraId="6DFB129F" w14:textId="77777777" w:rsidR="003B3F51" w:rsidRPr="00776ABA" w:rsidRDefault="003B3F51">
            <w:pPr>
              <w:rPr>
                <w:rFonts w:cstheme="minorHAnsi"/>
                <w:sz w:val="18"/>
                <w:szCs w:val="18"/>
              </w:rPr>
            </w:pPr>
            <w:r w:rsidRPr="00776ABA">
              <w:rPr>
                <w:rFonts w:cstheme="minorHAnsi"/>
                <w:sz w:val="18"/>
                <w:szCs w:val="18"/>
              </w:rPr>
              <w:t>(t CO</w:t>
            </w:r>
            <w:r w:rsidRPr="00776ABA">
              <w:rPr>
                <w:rFonts w:cstheme="minorHAnsi"/>
                <w:sz w:val="18"/>
                <w:szCs w:val="18"/>
                <w:vertAlign w:val="subscript"/>
              </w:rPr>
              <w:t>2</w:t>
            </w:r>
            <w:r w:rsidRPr="00776ABA">
              <w:rPr>
                <w:rFonts w:cstheme="minorHAnsi"/>
                <w:sz w:val="18"/>
                <w:szCs w:val="18"/>
              </w:rPr>
              <w:t xml:space="preserve"> eq) – direct/indirect</w:t>
            </w:r>
          </w:p>
          <w:p w14:paraId="540655CC" w14:textId="77777777" w:rsidR="003B3F51" w:rsidRPr="00776ABA" w:rsidRDefault="003B3F51">
            <w:pPr>
              <w:rPr>
                <w:rFonts w:cstheme="minorHAnsi"/>
                <w:sz w:val="18"/>
                <w:szCs w:val="18"/>
              </w:rPr>
            </w:pPr>
          </w:p>
        </w:tc>
        <w:tc>
          <w:tcPr>
            <w:tcW w:w="1198" w:type="dxa"/>
            <w:shd w:val="clear" w:color="auto" w:fill="FBE4D5" w:themeFill="accent2" w:themeFillTint="33"/>
            <w:vAlign w:val="center"/>
          </w:tcPr>
          <w:p w14:paraId="12164CA7" w14:textId="77777777" w:rsidR="003B3F51" w:rsidRPr="00776ABA" w:rsidRDefault="003B3F51">
            <w:pPr>
              <w:jc w:val="center"/>
              <w:rPr>
                <w:rFonts w:cstheme="minorHAnsi"/>
                <w:sz w:val="18"/>
                <w:szCs w:val="18"/>
              </w:rPr>
            </w:pPr>
          </w:p>
          <w:p w14:paraId="7C875877" w14:textId="77777777" w:rsidR="003B3F51" w:rsidRPr="00776ABA" w:rsidRDefault="003B3F51">
            <w:pPr>
              <w:jc w:val="center"/>
              <w:rPr>
                <w:rFonts w:cstheme="minorHAnsi"/>
                <w:sz w:val="18"/>
                <w:szCs w:val="18"/>
              </w:rPr>
            </w:pPr>
            <w:r w:rsidRPr="00776ABA">
              <w:rPr>
                <w:rFonts w:cstheme="minorHAnsi"/>
                <w:sz w:val="18"/>
                <w:szCs w:val="18"/>
              </w:rPr>
              <w:t>0</w:t>
            </w:r>
          </w:p>
          <w:p w14:paraId="6F59B71A" w14:textId="77777777" w:rsidR="003B3F51" w:rsidRPr="00776ABA" w:rsidRDefault="003B3F51">
            <w:pPr>
              <w:jc w:val="center"/>
              <w:rPr>
                <w:rFonts w:cstheme="minorHAnsi"/>
                <w:sz w:val="18"/>
                <w:szCs w:val="18"/>
              </w:rPr>
            </w:pPr>
          </w:p>
          <w:p w14:paraId="5FD2539C" w14:textId="77777777" w:rsidR="003B3F51" w:rsidRPr="00776ABA" w:rsidRDefault="003B3F51">
            <w:pPr>
              <w:jc w:val="center"/>
              <w:rPr>
                <w:rFonts w:cstheme="minorHAnsi"/>
                <w:sz w:val="18"/>
                <w:szCs w:val="18"/>
              </w:rPr>
            </w:pPr>
            <w:r w:rsidRPr="00776ABA">
              <w:rPr>
                <w:rFonts w:cstheme="minorHAnsi"/>
                <w:sz w:val="18"/>
                <w:szCs w:val="18"/>
              </w:rPr>
              <w:t>(with reference scenario established)</w:t>
            </w:r>
          </w:p>
        </w:tc>
        <w:tc>
          <w:tcPr>
            <w:tcW w:w="1067" w:type="dxa"/>
            <w:shd w:val="clear" w:color="auto" w:fill="FBE4D5" w:themeFill="accent2" w:themeFillTint="33"/>
            <w:vAlign w:val="center"/>
          </w:tcPr>
          <w:p w14:paraId="22DE688E" w14:textId="77777777" w:rsidR="003B3F51" w:rsidRPr="00776ABA" w:rsidRDefault="003B3F51">
            <w:pPr>
              <w:jc w:val="center"/>
              <w:rPr>
                <w:rFonts w:cstheme="minorHAnsi"/>
                <w:sz w:val="18"/>
                <w:szCs w:val="18"/>
              </w:rPr>
            </w:pPr>
          </w:p>
          <w:p w14:paraId="495DE41B" w14:textId="77777777" w:rsidR="003B3F51" w:rsidRPr="00776ABA" w:rsidRDefault="003B3F51">
            <w:pPr>
              <w:jc w:val="center"/>
              <w:rPr>
                <w:rFonts w:cstheme="minorHAnsi"/>
                <w:color w:val="000000" w:themeColor="text1"/>
                <w:sz w:val="18"/>
                <w:szCs w:val="18"/>
              </w:rPr>
            </w:pPr>
            <w:r w:rsidRPr="00776ABA">
              <w:rPr>
                <w:rFonts w:cstheme="minorHAnsi"/>
                <w:sz w:val="18"/>
                <w:szCs w:val="18"/>
              </w:rPr>
              <w:t>Annual and lifetime estimates by projects</w:t>
            </w:r>
          </w:p>
        </w:tc>
        <w:tc>
          <w:tcPr>
            <w:tcW w:w="951" w:type="dxa"/>
            <w:shd w:val="clear" w:color="auto" w:fill="FBE4D5" w:themeFill="accent2" w:themeFillTint="33"/>
            <w:vAlign w:val="center"/>
          </w:tcPr>
          <w:p w14:paraId="3204B574" w14:textId="77777777" w:rsidR="003B3F51" w:rsidRPr="00776ABA" w:rsidRDefault="003B3F51">
            <w:pPr>
              <w:rPr>
                <w:rFonts w:cstheme="minorHAnsi"/>
                <w:color w:val="000000" w:themeColor="text1"/>
                <w:sz w:val="18"/>
                <w:szCs w:val="18"/>
              </w:rPr>
            </w:pPr>
          </w:p>
        </w:tc>
        <w:tc>
          <w:tcPr>
            <w:tcW w:w="2610" w:type="dxa"/>
            <w:shd w:val="clear" w:color="auto" w:fill="FBE4D5" w:themeFill="accent2" w:themeFillTint="33"/>
            <w:vAlign w:val="center"/>
          </w:tcPr>
          <w:p w14:paraId="79B1EE37" w14:textId="77777777" w:rsidR="003B3F51" w:rsidRPr="00776ABA" w:rsidRDefault="003B3F51">
            <w:pPr>
              <w:rPr>
                <w:rFonts w:cstheme="minorHAnsi"/>
                <w:sz w:val="18"/>
                <w:szCs w:val="18"/>
              </w:rPr>
            </w:pPr>
          </w:p>
          <w:p w14:paraId="3A0CB455" w14:textId="77777777" w:rsidR="003B3F51" w:rsidRPr="00776ABA" w:rsidRDefault="003B3F51">
            <w:pPr>
              <w:rPr>
                <w:rFonts w:cstheme="minorHAnsi"/>
                <w:sz w:val="18"/>
                <w:szCs w:val="18"/>
              </w:rPr>
            </w:pPr>
          </w:p>
          <w:p w14:paraId="146F0091" w14:textId="77777777" w:rsidR="003B3F51" w:rsidRPr="00776ABA" w:rsidRDefault="003B3F51">
            <w:pPr>
              <w:rPr>
                <w:rFonts w:cstheme="minorHAnsi"/>
                <w:sz w:val="18"/>
                <w:szCs w:val="18"/>
              </w:rPr>
            </w:pPr>
            <w:r w:rsidRPr="00776ABA">
              <w:rPr>
                <w:rFonts w:cstheme="minorHAnsi"/>
                <w:sz w:val="18"/>
                <w:szCs w:val="18"/>
              </w:rPr>
              <w:t xml:space="preserve">This indicator feeds into </w:t>
            </w:r>
            <w:r w:rsidRPr="00776ABA">
              <w:rPr>
                <w:rFonts w:cstheme="minorHAnsi"/>
                <w:b/>
                <w:bCs/>
                <w:sz w:val="18"/>
                <w:szCs w:val="18"/>
              </w:rPr>
              <w:t xml:space="preserve">CIF Impact 1 (Mitigation) </w:t>
            </w:r>
            <w:r w:rsidRPr="00776ABA">
              <w:rPr>
                <w:rFonts w:cstheme="minorHAnsi"/>
                <w:sz w:val="18"/>
                <w:szCs w:val="18"/>
              </w:rPr>
              <w:t xml:space="preserve">and should be reported as direct vs. indirect reductions (per MDB-approved </w:t>
            </w:r>
            <w:r w:rsidRPr="00776ABA">
              <w:rPr>
                <w:rFonts w:cstheme="minorHAnsi"/>
                <w:sz w:val="18"/>
                <w:szCs w:val="18"/>
              </w:rPr>
              <w:lastRenderedPageBreak/>
              <w:t>methodologies) with evidence provided.</w:t>
            </w:r>
          </w:p>
        </w:tc>
        <w:tc>
          <w:tcPr>
            <w:tcW w:w="5604" w:type="dxa"/>
            <w:gridSpan w:val="2"/>
            <w:vMerge w:val="restart"/>
            <w:shd w:val="clear" w:color="auto" w:fill="E7E6E6" w:themeFill="background2"/>
            <w:vAlign w:val="center"/>
          </w:tcPr>
          <w:p w14:paraId="01756C6F" w14:textId="77777777" w:rsidR="003B3F51" w:rsidRPr="00776ABA" w:rsidRDefault="003B3F51">
            <w:pPr>
              <w:rPr>
                <w:rFonts w:cstheme="minorHAnsi"/>
                <w:b/>
                <w:bCs/>
                <w:sz w:val="18"/>
                <w:szCs w:val="18"/>
              </w:rPr>
            </w:pPr>
          </w:p>
          <w:p w14:paraId="10CD82D1" w14:textId="77777777" w:rsidR="003B3F51" w:rsidRPr="00776ABA" w:rsidRDefault="003B3F51">
            <w:pPr>
              <w:rPr>
                <w:rFonts w:cstheme="minorHAnsi"/>
                <w:sz w:val="18"/>
                <w:szCs w:val="18"/>
              </w:rPr>
            </w:pPr>
            <w:r w:rsidRPr="00776ABA">
              <w:rPr>
                <w:rFonts w:cstheme="minorHAnsi"/>
                <w:b/>
                <w:bCs/>
                <w:sz w:val="18"/>
                <w:szCs w:val="18"/>
              </w:rPr>
              <w:t>MDBs are encouraged to undertake</w:t>
            </w:r>
            <w:r w:rsidRPr="00776ABA">
              <w:rPr>
                <w:rFonts w:cstheme="minorHAnsi"/>
                <w:sz w:val="18"/>
                <w:szCs w:val="18"/>
              </w:rPr>
              <w:t xml:space="preserve"> </w:t>
            </w:r>
            <w:r w:rsidRPr="00776ABA">
              <w:rPr>
                <w:rFonts w:cstheme="minorHAnsi"/>
                <w:b/>
                <w:bCs/>
                <w:sz w:val="18"/>
                <w:szCs w:val="18"/>
              </w:rPr>
              <w:t>“whole of energy systems”</w:t>
            </w:r>
            <w:r w:rsidRPr="00776ABA">
              <w:rPr>
                <w:rFonts w:cstheme="minorHAnsi"/>
                <w:sz w:val="18"/>
                <w:szCs w:val="18"/>
              </w:rPr>
              <w:t xml:space="preserve"> </w:t>
            </w:r>
            <w:r w:rsidRPr="00776ABA">
              <w:rPr>
                <w:rFonts w:cstheme="minorHAnsi"/>
                <w:b/>
                <w:bCs/>
                <w:sz w:val="18"/>
                <w:szCs w:val="18"/>
              </w:rPr>
              <w:t>analyses</w:t>
            </w:r>
            <w:r w:rsidRPr="00776ABA">
              <w:rPr>
                <w:rFonts w:cstheme="minorHAnsi"/>
                <w:sz w:val="18"/>
                <w:szCs w:val="18"/>
              </w:rPr>
              <w:t xml:space="preserve"> as baselines during the Investment Plans and project appraisal process and to fully incorporate monitoring, evaluation, and learning aspects into such analyses. Integrated, energy systems-levels analyses can be used to build a theoretical model and reference scenario for how specific renewable energy grid and off-grid integration interventions will affect multiple </w:t>
            </w:r>
            <w:r w:rsidRPr="00776ABA">
              <w:rPr>
                <w:rFonts w:cstheme="minorHAnsi"/>
                <w:sz w:val="18"/>
                <w:szCs w:val="18"/>
              </w:rPr>
              <w:lastRenderedPageBreak/>
              <w:t>results areas: renewable energy installation and grid interconnection, annual production, GHG emissions reductions, and changes in energy access. Both estimated and real operational data can also then be consolidated effectively to report across these multiple indicators. Additional guidance on whole of energy systems analyses will follow separately from this IRF.</w:t>
            </w:r>
          </w:p>
          <w:p w14:paraId="37205103" w14:textId="77777777" w:rsidR="003B3F51" w:rsidRPr="00776ABA" w:rsidRDefault="003B3F51">
            <w:pPr>
              <w:rPr>
                <w:rFonts w:cstheme="minorHAnsi"/>
                <w:b/>
                <w:bCs/>
                <w:sz w:val="18"/>
                <w:szCs w:val="18"/>
              </w:rPr>
            </w:pPr>
          </w:p>
          <w:p w14:paraId="6DD0B132" w14:textId="77777777" w:rsidR="003B3F51" w:rsidRPr="00776ABA" w:rsidRDefault="003B3F51">
            <w:pPr>
              <w:rPr>
                <w:rFonts w:cstheme="minorHAnsi"/>
                <w:sz w:val="18"/>
                <w:szCs w:val="18"/>
              </w:rPr>
            </w:pPr>
            <w:r w:rsidRPr="00776ABA">
              <w:rPr>
                <w:rFonts w:cstheme="minorHAnsi"/>
                <w:b/>
                <w:bCs/>
                <w:sz w:val="18"/>
                <w:szCs w:val="18"/>
              </w:rPr>
              <w:t xml:space="preserve">CIF’s targeted evaluations and/or sector studies to fill strategic knowledge gaps: </w:t>
            </w:r>
            <w:r w:rsidRPr="00776ABA">
              <w:rPr>
                <w:rFonts w:cstheme="minorHAnsi"/>
                <w:sz w:val="18"/>
                <w:szCs w:val="18"/>
              </w:rPr>
              <w:t>Moving down the results chain, the monitoring function becomes increasingly important to capture program outcomes and outputs, whereas the evaluation and learning function will complement core indicators by filling strategic knowledge gaps. Evaluation and learning activities will be selected based on overall stakeholder demand, evidence gaps, and cross-learning opportunities.</w:t>
            </w:r>
          </w:p>
        </w:tc>
      </w:tr>
      <w:tr w:rsidR="0043498D" w:rsidRPr="00776ABA" w14:paraId="32F5FA7C" w14:textId="77777777" w:rsidTr="004A512C">
        <w:trPr>
          <w:trHeight w:val="5282"/>
        </w:trPr>
        <w:tc>
          <w:tcPr>
            <w:tcW w:w="1799" w:type="dxa"/>
            <w:vMerge/>
            <w:shd w:val="clear" w:color="auto" w:fill="D9E2F3" w:themeFill="accent1" w:themeFillTint="33"/>
            <w:vAlign w:val="center"/>
          </w:tcPr>
          <w:p w14:paraId="57837E6A" w14:textId="77777777" w:rsidR="003B3F51" w:rsidRPr="00776ABA" w:rsidRDefault="003B3F51">
            <w:pPr>
              <w:rPr>
                <w:rFonts w:cstheme="minorHAnsi"/>
                <w:sz w:val="18"/>
                <w:szCs w:val="18"/>
              </w:rPr>
            </w:pPr>
          </w:p>
        </w:tc>
        <w:tc>
          <w:tcPr>
            <w:tcW w:w="1801" w:type="dxa"/>
            <w:shd w:val="clear" w:color="auto" w:fill="FBE4D5" w:themeFill="accent2" w:themeFillTint="33"/>
            <w:vAlign w:val="center"/>
          </w:tcPr>
          <w:p w14:paraId="6A9582A5" w14:textId="77777777" w:rsidR="003B3F51" w:rsidRPr="00776ABA" w:rsidRDefault="003B3F51">
            <w:pPr>
              <w:rPr>
                <w:rFonts w:cstheme="minorHAnsi"/>
                <w:sz w:val="18"/>
                <w:szCs w:val="18"/>
              </w:rPr>
            </w:pPr>
            <w:r w:rsidRPr="00776ABA">
              <w:rPr>
                <w:rFonts w:cstheme="minorHAnsi"/>
                <w:b/>
                <w:bCs/>
                <w:sz w:val="18"/>
                <w:szCs w:val="18"/>
              </w:rPr>
              <w:t>REI CORE 2. Installed Capacity:</w:t>
            </w:r>
            <w:r w:rsidRPr="00776ABA">
              <w:rPr>
                <w:rFonts w:cstheme="minorHAnsi"/>
                <w:sz w:val="18"/>
                <w:szCs w:val="18"/>
              </w:rPr>
              <w:t xml:space="preserve"> Installed capacity of variable renewable energy available to the grid (MW) – direct/indirect</w:t>
            </w:r>
          </w:p>
        </w:tc>
        <w:tc>
          <w:tcPr>
            <w:tcW w:w="1198" w:type="dxa"/>
            <w:shd w:val="clear" w:color="auto" w:fill="FBE4D5" w:themeFill="accent2" w:themeFillTint="33"/>
            <w:vAlign w:val="center"/>
          </w:tcPr>
          <w:p w14:paraId="04C1E17E" w14:textId="77777777" w:rsidR="003B3F51" w:rsidRPr="00776ABA" w:rsidRDefault="003B3F51">
            <w:pPr>
              <w:jc w:val="center"/>
              <w:rPr>
                <w:rFonts w:cstheme="minorHAnsi"/>
                <w:sz w:val="18"/>
                <w:szCs w:val="18"/>
              </w:rPr>
            </w:pPr>
            <w:r w:rsidRPr="00776ABA">
              <w:rPr>
                <w:rFonts w:cstheme="minorHAnsi"/>
                <w:sz w:val="18"/>
                <w:szCs w:val="18"/>
              </w:rPr>
              <w:t>0</w:t>
            </w:r>
          </w:p>
        </w:tc>
        <w:tc>
          <w:tcPr>
            <w:tcW w:w="1067" w:type="dxa"/>
            <w:shd w:val="clear" w:color="auto" w:fill="FBE4D5" w:themeFill="accent2" w:themeFillTint="33"/>
            <w:vAlign w:val="center"/>
          </w:tcPr>
          <w:p w14:paraId="1CF44151" w14:textId="77777777" w:rsidR="003B3F51" w:rsidRPr="00776ABA" w:rsidRDefault="003B3F51">
            <w:pPr>
              <w:rPr>
                <w:rFonts w:cstheme="minorHAnsi"/>
                <w:color w:val="000000" w:themeColor="text1"/>
                <w:sz w:val="18"/>
                <w:szCs w:val="18"/>
              </w:rPr>
            </w:pPr>
            <w:r w:rsidRPr="00776ABA">
              <w:rPr>
                <w:rFonts w:cstheme="minorHAnsi"/>
                <w:color w:val="000000" w:themeColor="text1"/>
                <w:sz w:val="18"/>
                <w:szCs w:val="18"/>
              </w:rPr>
              <w:t>MDB project results data</w:t>
            </w:r>
          </w:p>
        </w:tc>
        <w:tc>
          <w:tcPr>
            <w:tcW w:w="951" w:type="dxa"/>
            <w:shd w:val="clear" w:color="auto" w:fill="FBE4D5" w:themeFill="accent2" w:themeFillTint="33"/>
            <w:vAlign w:val="center"/>
          </w:tcPr>
          <w:p w14:paraId="617A9026" w14:textId="77777777" w:rsidR="003B3F51" w:rsidRPr="00776ABA" w:rsidRDefault="003B3F51">
            <w:pPr>
              <w:rPr>
                <w:rFonts w:cstheme="minorHAnsi"/>
                <w:color w:val="000000" w:themeColor="text1"/>
                <w:sz w:val="18"/>
                <w:szCs w:val="18"/>
              </w:rPr>
            </w:pPr>
          </w:p>
        </w:tc>
        <w:tc>
          <w:tcPr>
            <w:tcW w:w="2610" w:type="dxa"/>
            <w:shd w:val="clear" w:color="auto" w:fill="FBE4D5" w:themeFill="accent2" w:themeFillTint="33"/>
            <w:vAlign w:val="center"/>
          </w:tcPr>
          <w:p w14:paraId="35F8E5D6" w14:textId="77777777" w:rsidR="003B3F51" w:rsidRPr="00776ABA" w:rsidRDefault="003B3F51">
            <w:pPr>
              <w:rPr>
                <w:rFonts w:cstheme="minorHAnsi"/>
                <w:sz w:val="18"/>
                <w:szCs w:val="18"/>
              </w:rPr>
            </w:pPr>
          </w:p>
          <w:p w14:paraId="28960907" w14:textId="77777777" w:rsidR="003B3F51" w:rsidRPr="00776ABA" w:rsidRDefault="003B3F51">
            <w:pPr>
              <w:rPr>
                <w:rFonts w:cstheme="minorHAnsi"/>
                <w:sz w:val="18"/>
                <w:szCs w:val="18"/>
              </w:rPr>
            </w:pPr>
            <w:r w:rsidRPr="00776ABA">
              <w:rPr>
                <w:rFonts w:cstheme="minorHAnsi"/>
                <w:sz w:val="18"/>
                <w:szCs w:val="18"/>
              </w:rPr>
              <w:t>Estimated capacity from renewables (e.g., solar and wind energy) installed, operationalized, and integrated into power grids each year (or commissioned off-grid) as a result of REI interventions.</w:t>
            </w:r>
          </w:p>
          <w:p w14:paraId="1EE5138F" w14:textId="77777777" w:rsidR="003B3F51" w:rsidRPr="00776ABA" w:rsidRDefault="003B3F51">
            <w:pPr>
              <w:rPr>
                <w:rFonts w:cstheme="minorHAnsi"/>
                <w:sz w:val="18"/>
                <w:szCs w:val="18"/>
              </w:rPr>
            </w:pPr>
          </w:p>
          <w:p w14:paraId="552C0966" w14:textId="77777777" w:rsidR="003B3F51" w:rsidRPr="00776ABA" w:rsidRDefault="003B3F51">
            <w:pPr>
              <w:rPr>
                <w:rFonts w:cstheme="minorHAnsi"/>
                <w:sz w:val="18"/>
                <w:szCs w:val="18"/>
                <w:u w:val="single"/>
              </w:rPr>
            </w:pPr>
            <w:r w:rsidRPr="00776ABA">
              <w:rPr>
                <w:rFonts w:cstheme="minorHAnsi"/>
                <w:sz w:val="18"/>
                <w:szCs w:val="18"/>
                <w:u w:val="single"/>
              </w:rPr>
              <w:t xml:space="preserve">Disaggregation: </w:t>
            </w:r>
            <w:r w:rsidRPr="00776ABA">
              <w:rPr>
                <w:rFonts w:cstheme="minorHAnsi"/>
                <w:sz w:val="18"/>
                <w:szCs w:val="18"/>
              </w:rPr>
              <w:t>Renewable energy type (solar, wind, hydro, geothermal, etc.)</w:t>
            </w:r>
          </w:p>
          <w:p w14:paraId="15716D97" w14:textId="77777777" w:rsidR="003B3F51" w:rsidRPr="00776ABA" w:rsidRDefault="003B3F51">
            <w:pPr>
              <w:rPr>
                <w:rFonts w:cstheme="minorHAnsi"/>
                <w:sz w:val="18"/>
                <w:szCs w:val="18"/>
              </w:rPr>
            </w:pPr>
          </w:p>
          <w:p w14:paraId="3B860409" w14:textId="77777777" w:rsidR="003B3F51" w:rsidRPr="00776ABA" w:rsidRDefault="003B3F51">
            <w:pPr>
              <w:rPr>
                <w:rFonts w:cstheme="minorHAnsi"/>
                <w:sz w:val="18"/>
                <w:szCs w:val="18"/>
              </w:rPr>
            </w:pPr>
            <w:r w:rsidRPr="00776ABA">
              <w:rPr>
                <w:rFonts w:cstheme="minorHAnsi"/>
                <w:sz w:val="18"/>
                <w:szCs w:val="18"/>
              </w:rPr>
              <w:t>Direct vs. indirect capacity (MDB-approved methodology)</w:t>
            </w:r>
          </w:p>
        </w:tc>
        <w:tc>
          <w:tcPr>
            <w:tcW w:w="5604" w:type="dxa"/>
            <w:gridSpan w:val="2"/>
            <w:vMerge/>
            <w:shd w:val="clear" w:color="auto" w:fill="E7E6E6" w:themeFill="background2"/>
            <w:vAlign w:val="center"/>
          </w:tcPr>
          <w:p w14:paraId="1F55A05E" w14:textId="77777777" w:rsidR="003B3F51" w:rsidRPr="00776ABA" w:rsidRDefault="003B3F51">
            <w:pPr>
              <w:rPr>
                <w:rFonts w:cstheme="minorHAnsi"/>
                <w:sz w:val="18"/>
                <w:szCs w:val="18"/>
              </w:rPr>
            </w:pPr>
          </w:p>
        </w:tc>
      </w:tr>
      <w:tr w:rsidR="0043498D" w:rsidRPr="00776ABA" w14:paraId="05C16FBD" w14:textId="77777777" w:rsidTr="004A512C">
        <w:tc>
          <w:tcPr>
            <w:tcW w:w="1799" w:type="dxa"/>
            <w:vMerge/>
            <w:shd w:val="clear" w:color="auto" w:fill="D9E2F3" w:themeFill="accent1" w:themeFillTint="33"/>
            <w:vAlign w:val="center"/>
          </w:tcPr>
          <w:p w14:paraId="219733B3" w14:textId="77777777" w:rsidR="003B3F51" w:rsidRPr="00776ABA" w:rsidRDefault="003B3F51">
            <w:pPr>
              <w:rPr>
                <w:rFonts w:cstheme="minorHAnsi"/>
                <w:b/>
                <w:bCs/>
                <w:sz w:val="18"/>
                <w:szCs w:val="18"/>
              </w:rPr>
            </w:pPr>
          </w:p>
        </w:tc>
        <w:tc>
          <w:tcPr>
            <w:tcW w:w="1801" w:type="dxa"/>
            <w:shd w:val="clear" w:color="auto" w:fill="FBE4D5" w:themeFill="accent2" w:themeFillTint="33"/>
            <w:vAlign w:val="center"/>
          </w:tcPr>
          <w:p w14:paraId="40A72CE6" w14:textId="77777777" w:rsidR="003B3F51" w:rsidRPr="00776ABA" w:rsidRDefault="003B3F51">
            <w:pPr>
              <w:rPr>
                <w:rFonts w:cstheme="minorHAnsi"/>
                <w:sz w:val="18"/>
                <w:szCs w:val="18"/>
              </w:rPr>
            </w:pPr>
            <w:r w:rsidRPr="00776ABA">
              <w:rPr>
                <w:rFonts w:cstheme="minorHAnsi"/>
                <w:b/>
                <w:bCs/>
                <w:sz w:val="18"/>
                <w:szCs w:val="18"/>
              </w:rPr>
              <w:t xml:space="preserve">REI CORE 3. Renewable Energy Production: </w:t>
            </w:r>
            <w:r w:rsidRPr="00776ABA">
              <w:rPr>
                <w:rFonts w:cstheme="minorHAnsi"/>
                <w:sz w:val="18"/>
                <w:szCs w:val="18"/>
              </w:rPr>
              <w:t>Annual renewable energy output (MWh)</w:t>
            </w:r>
          </w:p>
        </w:tc>
        <w:tc>
          <w:tcPr>
            <w:tcW w:w="1198" w:type="dxa"/>
            <w:shd w:val="clear" w:color="auto" w:fill="FBE4D5" w:themeFill="accent2" w:themeFillTint="33"/>
            <w:vAlign w:val="center"/>
          </w:tcPr>
          <w:p w14:paraId="68724958" w14:textId="77777777" w:rsidR="003B3F51" w:rsidRPr="00776ABA" w:rsidRDefault="003B3F51">
            <w:pPr>
              <w:jc w:val="center"/>
              <w:rPr>
                <w:rFonts w:cstheme="minorHAnsi"/>
                <w:sz w:val="18"/>
                <w:szCs w:val="18"/>
              </w:rPr>
            </w:pPr>
            <w:r w:rsidRPr="00776ABA">
              <w:rPr>
                <w:rFonts w:cstheme="minorHAnsi"/>
                <w:sz w:val="18"/>
                <w:szCs w:val="18"/>
              </w:rPr>
              <w:t>0</w:t>
            </w:r>
          </w:p>
        </w:tc>
        <w:tc>
          <w:tcPr>
            <w:tcW w:w="1067" w:type="dxa"/>
            <w:shd w:val="clear" w:color="auto" w:fill="FBE4D5" w:themeFill="accent2" w:themeFillTint="33"/>
            <w:vAlign w:val="center"/>
          </w:tcPr>
          <w:p w14:paraId="0374B45A" w14:textId="77777777" w:rsidR="003B3F51" w:rsidRPr="00776ABA" w:rsidRDefault="003B3F51">
            <w:pPr>
              <w:jc w:val="center"/>
              <w:rPr>
                <w:rFonts w:cstheme="minorHAnsi"/>
                <w:color w:val="000000" w:themeColor="text1"/>
                <w:sz w:val="18"/>
                <w:szCs w:val="18"/>
              </w:rPr>
            </w:pPr>
            <w:r w:rsidRPr="00776ABA">
              <w:rPr>
                <w:rFonts w:cstheme="minorHAnsi"/>
                <w:color w:val="000000" w:themeColor="text1"/>
                <w:sz w:val="18"/>
                <w:szCs w:val="18"/>
              </w:rPr>
              <w:t>MDB project results/ utilities data</w:t>
            </w:r>
          </w:p>
        </w:tc>
        <w:tc>
          <w:tcPr>
            <w:tcW w:w="951" w:type="dxa"/>
            <w:shd w:val="clear" w:color="auto" w:fill="FBE4D5" w:themeFill="accent2" w:themeFillTint="33"/>
            <w:vAlign w:val="center"/>
          </w:tcPr>
          <w:p w14:paraId="2F378C15" w14:textId="77777777" w:rsidR="003B3F51" w:rsidRPr="00776ABA" w:rsidRDefault="003B3F51">
            <w:pPr>
              <w:jc w:val="center"/>
              <w:rPr>
                <w:rFonts w:cstheme="minorHAnsi"/>
                <w:color w:val="000000" w:themeColor="text1"/>
                <w:sz w:val="18"/>
                <w:szCs w:val="18"/>
              </w:rPr>
            </w:pPr>
          </w:p>
        </w:tc>
        <w:tc>
          <w:tcPr>
            <w:tcW w:w="2610" w:type="dxa"/>
            <w:shd w:val="clear" w:color="auto" w:fill="FBE4D5" w:themeFill="accent2" w:themeFillTint="33"/>
            <w:vAlign w:val="center"/>
          </w:tcPr>
          <w:p w14:paraId="0105BBA1" w14:textId="77777777" w:rsidR="003B3F51" w:rsidRPr="00776ABA" w:rsidRDefault="003B3F51">
            <w:pPr>
              <w:rPr>
                <w:rFonts w:cstheme="minorHAnsi"/>
                <w:sz w:val="18"/>
                <w:szCs w:val="18"/>
              </w:rPr>
            </w:pPr>
          </w:p>
          <w:p w14:paraId="53FBB33A" w14:textId="77777777" w:rsidR="003B3F51" w:rsidRPr="00776ABA" w:rsidRDefault="003B3F51">
            <w:pPr>
              <w:rPr>
                <w:rFonts w:cstheme="minorHAnsi"/>
                <w:sz w:val="18"/>
                <w:szCs w:val="18"/>
              </w:rPr>
            </w:pPr>
            <w:r w:rsidRPr="00776ABA">
              <w:rPr>
                <w:rFonts w:cstheme="minorHAnsi"/>
                <w:sz w:val="18"/>
                <w:szCs w:val="18"/>
              </w:rPr>
              <w:t>Measured by applying the methodology used for REI CORE 2 in combination with annual production data</w:t>
            </w:r>
          </w:p>
          <w:p w14:paraId="7A17AA8F" w14:textId="77777777" w:rsidR="003B3F51" w:rsidRPr="00776ABA" w:rsidRDefault="003B3F51">
            <w:pPr>
              <w:rPr>
                <w:rFonts w:cstheme="minorHAnsi"/>
                <w:sz w:val="18"/>
                <w:szCs w:val="18"/>
                <w:u w:val="single"/>
              </w:rPr>
            </w:pPr>
          </w:p>
          <w:p w14:paraId="78F72A3B" w14:textId="77777777" w:rsidR="003B3F51" w:rsidRPr="00776ABA" w:rsidRDefault="003B3F51">
            <w:pPr>
              <w:rPr>
                <w:rFonts w:cstheme="minorHAnsi"/>
                <w:sz w:val="18"/>
                <w:szCs w:val="18"/>
                <w:u w:val="single"/>
              </w:rPr>
            </w:pPr>
            <w:r w:rsidRPr="00776ABA">
              <w:rPr>
                <w:rFonts w:cstheme="minorHAnsi"/>
                <w:sz w:val="18"/>
                <w:szCs w:val="18"/>
                <w:u w:val="single"/>
              </w:rPr>
              <w:t>Disaggregation</w:t>
            </w:r>
            <w:r w:rsidRPr="00776ABA">
              <w:rPr>
                <w:rFonts w:cstheme="minorHAnsi"/>
                <w:sz w:val="18"/>
                <w:szCs w:val="18"/>
              </w:rPr>
              <w:t>:</w:t>
            </w:r>
            <w:r w:rsidRPr="00776ABA">
              <w:rPr>
                <w:rFonts w:cstheme="minorHAnsi"/>
                <w:sz w:val="18"/>
                <w:szCs w:val="18"/>
                <w:u w:val="single"/>
              </w:rPr>
              <w:t xml:space="preserve"> </w:t>
            </w:r>
            <w:r w:rsidRPr="00776ABA">
              <w:rPr>
                <w:rFonts w:cstheme="minorHAnsi"/>
                <w:sz w:val="18"/>
                <w:szCs w:val="18"/>
              </w:rPr>
              <w:t>Renewable energy type (solar, wind, hydro, geothermal, etc.)</w:t>
            </w:r>
          </w:p>
          <w:p w14:paraId="3D1C040F" w14:textId="77777777" w:rsidR="003B3F51" w:rsidRPr="00776ABA" w:rsidRDefault="003B3F51">
            <w:pPr>
              <w:rPr>
                <w:rFonts w:cstheme="minorHAnsi"/>
                <w:sz w:val="18"/>
                <w:szCs w:val="18"/>
              </w:rPr>
            </w:pPr>
          </w:p>
          <w:p w14:paraId="76D47934" w14:textId="77777777" w:rsidR="003B3F51" w:rsidRPr="00776ABA" w:rsidRDefault="003B3F51">
            <w:pPr>
              <w:rPr>
                <w:rFonts w:cstheme="minorHAnsi"/>
                <w:sz w:val="18"/>
                <w:szCs w:val="18"/>
              </w:rPr>
            </w:pPr>
            <w:r w:rsidRPr="00776ABA">
              <w:rPr>
                <w:rFonts w:cstheme="minorHAnsi"/>
                <w:sz w:val="18"/>
                <w:szCs w:val="18"/>
              </w:rPr>
              <w:lastRenderedPageBreak/>
              <w:t>Direct vs. indirect production (MDB-approved methodology)</w:t>
            </w:r>
          </w:p>
          <w:p w14:paraId="503AC437" w14:textId="77777777" w:rsidR="003B3F51" w:rsidRPr="00776ABA" w:rsidRDefault="003B3F51">
            <w:pPr>
              <w:rPr>
                <w:rFonts w:cstheme="minorHAnsi"/>
                <w:sz w:val="18"/>
                <w:szCs w:val="18"/>
              </w:rPr>
            </w:pPr>
          </w:p>
          <w:p w14:paraId="7986436D" w14:textId="77777777" w:rsidR="003B3F51" w:rsidRPr="00776ABA" w:rsidRDefault="003B3F51">
            <w:pPr>
              <w:rPr>
                <w:rFonts w:cstheme="minorHAnsi"/>
                <w:sz w:val="18"/>
                <w:szCs w:val="18"/>
              </w:rPr>
            </w:pPr>
            <w:r w:rsidRPr="00776ABA">
              <w:rPr>
                <w:rFonts w:cstheme="minorHAnsi"/>
                <w:sz w:val="18"/>
                <w:szCs w:val="18"/>
              </w:rPr>
              <w:t>Grid-connected vs. off-grid/distributed energy supply</w:t>
            </w:r>
          </w:p>
          <w:p w14:paraId="2ED59772" w14:textId="77777777" w:rsidR="003B3F51" w:rsidRPr="00776ABA" w:rsidRDefault="003B3F51">
            <w:pPr>
              <w:rPr>
                <w:rFonts w:cstheme="minorHAnsi"/>
                <w:sz w:val="18"/>
                <w:szCs w:val="18"/>
              </w:rPr>
            </w:pPr>
          </w:p>
        </w:tc>
        <w:tc>
          <w:tcPr>
            <w:tcW w:w="5604" w:type="dxa"/>
            <w:gridSpan w:val="2"/>
            <w:vMerge/>
            <w:shd w:val="clear" w:color="auto" w:fill="E7E6E6" w:themeFill="background2"/>
            <w:vAlign w:val="center"/>
          </w:tcPr>
          <w:p w14:paraId="531FCB27" w14:textId="77777777" w:rsidR="003B3F51" w:rsidRPr="00776ABA" w:rsidRDefault="003B3F51">
            <w:pPr>
              <w:rPr>
                <w:rFonts w:cstheme="minorHAnsi"/>
                <w:sz w:val="18"/>
                <w:szCs w:val="18"/>
              </w:rPr>
            </w:pPr>
          </w:p>
        </w:tc>
      </w:tr>
      <w:tr w:rsidR="0043498D" w:rsidRPr="00776ABA" w14:paraId="05A91E93" w14:textId="77777777" w:rsidTr="004A512C">
        <w:tc>
          <w:tcPr>
            <w:tcW w:w="1799" w:type="dxa"/>
            <w:vMerge/>
            <w:shd w:val="clear" w:color="auto" w:fill="D9E2F3" w:themeFill="accent1" w:themeFillTint="33"/>
            <w:vAlign w:val="center"/>
          </w:tcPr>
          <w:p w14:paraId="68E84D98" w14:textId="77777777" w:rsidR="003B3F51" w:rsidRPr="00776ABA" w:rsidRDefault="003B3F51">
            <w:pPr>
              <w:rPr>
                <w:rFonts w:cstheme="minorHAnsi"/>
                <w:b/>
                <w:bCs/>
                <w:sz w:val="18"/>
                <w:szCs w:val="18"/>
              </w:rPr>
            </w:pPr>
          </w:p>
        </w:tc>
        <w:tc>
          <w:tcPr>
            <w:tcW w:w="1801" w:type="dxa"/>
            <w:shd w:val="clear" w:color="auto" w:fill="FBE4D5" w:themeFill="accent2" w:themeFillTint="33"/>
            <w:vAlign w:val="center"/>
          </w:tcPr>
          <w:p w14:paraId="32F5B94E" w14:textId="77777777" w:rsidR="003B3F51" w:rsidRPr="00776ABA" w:rsidRDefault="003B3F51">
            <w:pPr>
              <w:rPr>
                <w:rFonts w:cstheme="minorHAnsi"/>
                <w:sz w:val="18"/>
                <w:szCs w:val="18"/>
              </w:rPr>
            </w:pPr>
            <w:r w:rsidRPr="00776ABA">
              <w:rPr>
                <w:rFonts w:cstheme="minorHAnsi"/>
                <w:b/>
                <w:bCs/>
                <w:sz w:val="18"/>
                <w:szCs w:val="18"/>
              </w:rPr>
              <w:t xml:space="preserve">REI CORE 4. Grid Services: </w:t>
            </w:r>
            <w:r w:rsidRPr="00776ABA">
              <w:rPr>
                <w:rFonts w:cstheme="minorHAnsi"/>
                <w:sz w:val="18"/>
                <w:szCs w:val="18"/>
              </w:rPr>
              <w:t xml:space="preserve">Increase in available grid services and improvements (#) </w:t>
            </w:r>
          </w:p>
          <w:p w14:paraId="17D2AD32" w14:textId="77777777" w:rsidR="003B3F51" w:rsidRPr="00776ABA" w:rsidRDefault="003B3F51">
            <w:pPr>
              <w:rPr>
                <w:rFonts w:cstheme="minorHAnsi"/>
                <w:sz w:val="18"/>
                <w:szCs w:val="18"/>
              </w:rPr>
            </w:pPr>
          </w:p>
        </w:tc>
        <w:tc>
          <w:tcPr>
            <w:tcW w:w="1198" w:type="dxa"/>
            <w:shd w:val="clear" w:color="auto" w:fill="FBE4D5" w:themeFill="accent2" w:themeFillTint="33"/>
            <w:vAlign w:val="center"/>
          </w:tcPr>
          <w:p w14:paraId="084B1210" w14:textId="77777777" w:rsidR="003B3F51" w:rsidRPr="00776ABA" w:rsidRDefault="003B3F51">
            <w:pPr>
              <w:jc w:val="center"/>
              <w:rPr>
                <w:rFonts w:cstheme="minorHAnsi"/>
                <w:sz w:val="18"/>
                <w:szCs w:val="18"/>
              </w:rPr>
            </w:pPr>
            <w:r w:rsidRPr="00776ABA">
              <w:rPr>
                <w:rFonts w:cstheme="minorHAnsi"/>
                <w:sz w:val="18"/>
                <w:szCs w:val="18"/>
              </w:rPr>
              <w:t>TBD</w:t>
            </w:r>
          </w:p>
        </w:tc>
        <w:tc>
          <w:tcPr>
            <w:tcW w:w="1067" w:type="dxa"/>
            <w:shd w:val="clear" w:color="auto" w:fill="FBE4D5" w:themeFill="accent2" w:themeFillTint="33"/>
            <w:vAlign w:val="center"/>
          </w:tcPr>
          <w:p w14:paraId="43009A72" w14:textId="77777777" w:rsidR="003B3F51" w:rsidRPr="00776ABA" w:rsidRDefault="003B3F51">
            <w:pPr>
              <w:jc w:val="center"/>
              <w:rPr>
                <w:rFonts w:cstheme="minorHAnsi"/>
                <w:color w:val="000000" w:themeColor="text1"/>
                <w:sz w:val="18"/>
                <w:szCs w:val="18"/>
              </w:rPr>
            </w:pPr>
            <w:r w:rsidRPr="00776ABA">
              <w:rPr>
                <w:rFonts w:cstheme="minorHAnsi"/>
                <w:color w:val="000000" w:themeColor="text1"/>
                <w:sz w:val="18"/>
                <w:szCs w:val="18"/>
              </w:rPr>
              <w:t>MDB project results/ utilities data</w:t>
            </w:r>
          </w:p>
        </w:tc>
        <w:tc>
          <w:tcPr>
            <w:tcW w:w="951" w:type="dxa"/>
            <w:shd w:val="clear" w:color="auto" w:fill="FBE4D5" w:themeFill="accent2" w:themeFillTint="33"/>
            <w:vAlign w:val="center"/>
          </w:tcPr>
          <w:p w14:paraId="0931EED2" w14:textId="77777777" w:rsidR="003B3F51" w:rsidRPr="00776ABA" w:rsidRDefault="003B3F51">
            <w:pPr>
              <w:jc w:val="center"/>
              <w:rPr>
                <w:rFonts w:cstheme="minorHAnsi"/>
                <w:color w:val="000000" w:themeColor="text1"/>
                <w:sz w:val="18"/>
                <w:szCs w:val="18"/>
              </w:rPr>
            </w:pPr>
          </w:p>
        </w:tc>
        <w:tc>
          <w:tcPr>
            <w:tcW w:w="2610" w:type="dxa"/>
            <w:shd w:val="clear" w:color="auto" w:fill="FBE4D5" w:themeFill="accent2" w:themeFillTint="33"/>
            <w:vAlign w:val="center"/>
          </w:tcPr>
          <w:p w14:paraId="5BA394E0" w14:textId="77777777" w:rsidR="003B3F51" w:rsidRPr="00776ABA" w:rsidRDefault="003B3F51">
            <w:pPr>
              <w:rPr>
                <w:rFonts w:cstheme="minorHAnsi"/>
                <w:sz w:val="18"/>
                <w:szCs w:val="18"/>
              </w:rPr>
            </w:pPr>
            <w:r w:rsidRPr="00776ABA">
              <w:rPr>
                <w:rFonts w:cstheme="minorHAnsi"/>
                <w:sz w:val="18"/>
                <w:szCs w:val="18"/>
                <w:u w:val="single"/>
              </w:rPr>
              <w:t>Disaggregation:</w:t>
            </w:r>
            <w:r w:rsidRPr="00776ABA">
              <w:rPr>
                <w:rFonts w:cstheme="minorHAnsi"/>
                <w:sz w:val="18"/>
                <w:szCs w:val="18"/>
              </w:rPr>
              <w:t xml:space="preserve"> Type, volume, and assets (as established by each MDB)</w:t>
            </w:r>
          </w:p>
        </w:tc>
        <w:tc>
          <w:tcPr>
            <w:tcW w:w="5604" w:type="dxa"/>
            <w:gridSpan w:val="2"/>
            <w:vMerge/>
            <w:shd w:val="clear" w:color="auto" w:fill="E7E6E6" w:themeFill="background2"/>
            <w:vAlign w:val="center"/>
          </w:tcPr>
          <w:p w14:paraId="2D93441F" w14:textId="77777777" w:rsidR="003B3F51" w:rsidRPr="00776ABA" w:rsidRDefault="003B3F51">
            <w:pPr>
              <w:rPr>
                <w:rFonts w:cstheme="minorHAnsi"/>
                <w:sz w:val="18"/>
                <w:szCs w:val="18"/>
              </w:rPr>
            </w:pPr>
          </w:p>
        </w:tc>
      </w:tr>
      <w:tr w:rsidR="0043498D" w:rsidRPr="00776ABA" w14:paraId="468BBB55" w14:textId="77777777" w:rsidTr="004A512C">
        <w:tc>
          <w:tcPr>
            <w:tcW w:w="1799" w:type="dxa"/>
            <w:shd w:val="clear" w:color="auto" w:fill="D9E2F3" w:themeFill="accent1" w:themeFillTint="33"/>
            <w:vAlign w:val="center"/>
          </w:tcPr>
          <w:p w14:paraId="4406A18D" w14:textId="77777777" w:rsidR="003B3F51" w:rsidRPr="00776ABA" w:rsidRDefault="003B3F51">
            <w:pPr>
              <w:rPr>
                <w:rFonts w:cstheme="minorHAnsi"/>
                <w:sz w:val="18"/>
                <w:szCs w:val="18"/>
              </w:rPr>
            </w:pPr>
            <w:r w:rsidRPr="00776ABA">
              <w:rPr>
                <w:rFonts w:cstheme="minorHAnsi"/>
                <w:sz w:val="18"/>
                <w:szCs w:val="18"/>
              </w:rPr>
              <w:t>B. Mobilized public and private capital</w:t>
            </w:r>
          </w:p>
        </w:tc>
        <w:tc>
          <w:tcPr>
            <w:tcW w:w="1801" w:type="dxa"/>
            <w:shd w:val="clear" w:color="auto" w:fill="FBE4D5" w:themeFill="accent2" w:themeFillTint="33"/>
            <w:vAlign w:val="center"/>
          </w:tcPr>
          <w:p w14:paraId="4D70883F" w14:textId="77777777" w:rsidR="003B3F51" w:rsidRPr="00776ABA" w:rsidRDefault="003B3F51">
            <w:pPr>
              <w:rPr>
                <w:rFonts w:cstheme="minorHAnsi"/>
                <w:sz w:val="18"/>
                <w:szCs w:val="18"/>
              </w:rPr>
            </w:pPr>
          </w:p>
          <w:p w14:paraId="7127B38C" w14:textId="77777777" w:rsidR="003B3F51" w:rsidRPr="00776ABA" w:rsidRDefault="003B3F51">
            <w:pPr>
              <w:rPr>
                <w:rFonts w:cstheme="minorHAnsi"/>
                <w:sz w:val="18"/>
                <w:szCs w:val="18"/>
              </w:rPr>
            </w:pPr>
            <w:r w:rsidRPr="00776ABA">
              <w:rPr>
                <w:rFonts w:cstheme="minorHAnsi"/>
                <w:b/>
                <w:bCs/>
                <w:sz w:val="18"/>
                <w:szCs w:val="18"/>
              </w:rPr>
              <w:t>REI CORE 5</w:t>
            </w:r>
            <w:r w:rsidRPr="00776ABA">
              <w:rPr>
                <w:rFonts w:cstheme="minorHAnsi"/>
                <w:b/>
                <w:bCs/>
                <w:sz w:val="18"/>
                <w:szCs w:val="18"/>
              </w:rPr>
              <w:br/>
              <w:t>(= CIF 4).</w:t>
            </w:r>
            <w:r w:rsidRPr="00776ABA">
              <w:rPr>
                <w:rFonts w:cstheme="minorHAnsi"/>
                <w:b/>
                <w:bCs/>
                <w:sz w:val="18"/>
                <w:szCs w:val="18"/>
              </w:rPr>
              <w:br/>
              <w:t xml:space="preserve">Co-Finance: </w:t>
            </w:r>
            <w:r w:rsidRPr="00776ABA">
              <w:rPr>
                <w:rFonts w:cstheme="minorHAnsi"/>
                <w:sz w:val="18"/>
                <w:szCs w:val="18"/>
              </w:rPr>
              <w:t>Volume of co-finance leveraged (USD)</w:t>
            </w:r>
          </w:p>
        </w:tc>
        <w:tc>
          <w:tcPr>
            <w:tcW w:w="1198" w:type="dxa"/>
            <w:shd w:val="clear" w:color="auto" w:fill="FBE4D5" w:themeFill="accent2" w:themeFillTint="33"/>
            <w:vAlign w:val="center"/>
          </w:tcPr>
          <w:p w14:paraId="1B1FF9D2" w14:textId="77777777" w:rsidR="003B3F51" w:rsidRPr="00776ABA" w:rsidRDefault="003B3F51">
            <w:pPr>
              <w:jc w:val="center"/>
              <w:rPr>
                <w:rFonts w:cstheme="minorHAnsi"/>
                <w:sz w:val="18"/>
                <w:szCs w:val="18"/>
              </w:rPr>
            </w:pPr>
            <w:r w:rsidRPr="00776ABA">
              <w:rPr>
                <w:rFonts w:cstheme="minorHAnsi"/>
                <w:sz w:val="18"/>
                <w:szCs w:val="18"/>
              </w:rPr>
              <w:t>0</w:t>
            </w:r>
          </w:p>
        </w:tc>
        <w:tc>
          <w:tcPr>
            <w:tcW w:w="1067" w:type="dxa"/>
            <w:shd w:val="clear" w:color="auto" w:fill="FBE4D5" w:themeFill="accent2" w:themeFillTint="33"/>
            <w:vAlign w:val="center"/>
          </w:tcPr>
          <w:p w14:paraId="34BFBFC9" w14:textId="77777777" w:rsidR="003B3F51" w:rsidRPr="00776ABA" w:rsidRDefault="003B3F51">
            <w:pPr>
              <w:jc w:val="center"/>
              <w:rPr>
                <w:rFonts w:cstheme="minorHAnsi"/>
                <w:color w:val="000000" w:themeColor="text1"/>
                <w:sz w:val="18"/>
                <w:szCs w:val="18"/>
              </w:rPr>
            </w:pPr>
            <w:r w:rsidRPr="00776ABA">
              <w:rPr>
                <w:rFonts w:cstheme="minorHAnsi"/>
                <w:color w:val="000000" w:themeColor="text1"/>
                <w:sz w:val="18"/>
                <w:szCs w:val="18"/>
              </w:rPr>
              <w:t>MDB project financial data</w:t>
            </w:r>
          </w:p>
        </w:tc>
        <w:tc>
          <w:tcPr>
            <w:tcW w:w="951" w:type="dxa"/>
            <w:shd w:val="clear" w:color="auto" w:fill="FBE4D5" w:themeFill="accent2" w:themeFillTint="33"/>
            <w:vAlign w:val="center"/>
          </w:tcPr>
          <w:p w14:paraId="3B2D5B56" w14:textId="77777777" w:rsidR="003B3F51" w:rsidRPr="00776ABA" w:rsidRDefault="003B3F51">
            <w:pPr>
              <w:jc w:val="center"/>
              <w:rPr>
                <w:rFonts w:cstheme="minorHAnsi"/>
                <w:color w:val="000000" w:themeColor="text1"/>
                <w:sz w:val="18"/>
                <w:szCs w:val="18"/>
              </w:rPr>
            </w:pPr>
          </w:p>
        </w:tc>
        <w:tc>
          <w:tcPr>
            <w:tcW w:w="2610" w:type="dxa"/>
            <w:shd w:val="clear" w:color="auto" w:fill="FBE4D5" w:themeFill="accent2" w:themeFillTint="33"/>
            <w:vAlign w:val="center"/>
          </w:tcPr>
          <w:p w14:paraId="5615B97F" w14:textId="77777777" w:rsidR="003B3F51" w:rsidRPr="00776ABA" w:rsidRDefault="003B3F51">
            <w:pPr>
              <w:rPr>
                <w:rFonts w:cstheme="minorHAnsi"/>
                <w:sz w:val="18"/>
                <w:szCs w:val="18"/>
              </w:rPr>
            </w:pPr>
            <w:r w:rsidRPr="00776ABA">
              <w:rPr>
                <w:rFonts w:cstheme="minorHAnsi"/>
                <w:sz w:val="18"/>
                <w:szCs w:val="18"/>
              </w:rPr>
              <w:t xml:space="preserve">Total of non-CIF resources leveraged in REI projects. Reporting on this indicator feeds directly into </w:t>
            </w:r>
            <w:r w:rsidRPr="00776ABA">
              <w:rPr>
                <w:rFonts w:cstheme="minorHAnsi"/>
                <w:b/>
                <w:bCs/>
                <w:sz w:val="18"/>
                <w:szCs w:val="18"/>
              </w:rPr>
              <w:t>CIF Impact 4 (Co-Finance)</w:t>
            </w:r>
            <w:r w:rsidRPr="00776ABA">
              <w:rPr>
                <w:rFonts w:cstheme="minorHAnsi"/>
                <w:sz w:val="18"/>
                <w:szCs w:val="18"/>
              </w:rPr>
              <w:t>.</w:t>
            </w:r>
          </w:p>
          <w:p w14:paraId="1A7A3360" w14:textId="77777777" w:rsidR="003B3F51" w:rsidRPr="00776ABA" w:rsidRDefault="003B3F51">
            <w:pPr>
              <w:rPr>
                <w:rFonts w:cstheme="minorHAnsi"/>
                <w:sz w:val="18"/>
                <w:szCs w:val="18"/>
              </w:rPr>
            </w:pPr>
          </w:p>
          <w:p w14:paraId="5D11B57A" w14:textId="77777777" w:rsidR="003B3F51" w:rsidRPr="00776ABA" w:rsidRDefault="003B3F51">
            <w:pPr>
              <w:rPr>
                <w:rFonts w:cstheme="minorHAnsi"/>
                <w:sz w:val="18"/>
                <w:szCs w:val="18"/>
              </w:rPr>
            </w:pPr>
            <w:r w:rsidRPr="00776ABA">
              <w:rPr>
                <w:rFonts w:cstheme="minorHAnsi"/>
                <w:sz w:val="18"/>
                <w:szCs w:val="18"/>
                <w:u w:val="single"/>
              </w:rPr>
              <w:t>Disaggregation</w:t>
            </w:r>
            <w:r w:rsidRPr="00776ABA">
              <w:rPr>
                <w:rFonts w:cstheme="minorHAnsi"/>
                <w:sz w:val="18"/>
                <w:szCs w:val="18"/>
              </w:rPr>
              <w:t>: Source of co-financing (MDB, Government, Private Sector, Bilateral, and Other)</w:t>
            </w:r>
          </w:p>
        </w:tc>
        <w:tc>
          <w:tcPr>
            <w:tcW w:w="5604" w:type="dxa"/>
            <w:gridSpan w:val="2"/>
            <w:shd w:val="clear" w:color="auto" w:fill="E7E6E6" w:themeFill="background2"/>
            <w:vAlign w:val="center"/>
          </w:tcPr>
          <w:p w14:paraId="0B6BEDBA" w14:textId="77777777" w:rsidR="003B3F51" w:rsidRPr="00776ABA" w:rsidRDefault="003B3F51">
            <w:pPr>
              <w:rPr>
                <w:rFonts w:cstheme="minorHAnsi"/>
                <w:sz w:val="18"/>
                <w:szCs w:val="18"/>
              </w:rPr>
            </w:pPr>
          </w:p>
        </w:tc>
      </w:tr>
      <w:tr w:rsidR="00597795" w:rsidRPr="00776ABA" w14:paraId="5093DFFE" w14:textId="77777777" w:rsidTr="004A512C">
        <w:trPr>
          <w:trHeight w:val="360"/>
        </w:trPr>
        <w:tc>
          <w:tcPr>
            <w:tcW w:w="15030" w:type="dxa"/>
            <w:gridSpan w:val="8"/>
            <w:shd w:val="clear" w:color="auto" w:fill="005364"/>
            <w:vAlign w:val="center"/>
          </w:tcPr>
          <w:p w14:paraId="799E7FA5" w14:textId="77777777" w:rsidR="003B3F51" w:rsidRPr="00776ABA" w:rsidRDefault="003B3F51">
            <w:pPr>
              <w:rPr>
                <w:rFonts w:cstheme="minorHAnsi"/>
                <w:b/>
                <w:bCs/>
                <w:color w:val="FFFFFF" w:themeColor="background1"/>
                <w:sz w:val="18"/>
                <w:szCs w:val="18"/>
              </w:rPr>
            </w:pPr>
            <w:r w:rsidRPr="00776ABA">
              <w:rPr>
                <w:rFonts w:cstheme="minorHAnsi"/>
                <w:b/>
                <w:bCs/>
                <w:color w:val="FFFFFF" w:themeColor="background1"/>
                <w:sz w:val="18"/>
                <w:szCs w:val="18"/>
              </w:rPr>
              <w:t>REI PROGRAM-LEVEL CO-BENEFITS</w:t>
            </w:r>
          </w:p>
        </w:tc>
      </w:tr>
      <w:tr w:rsidR="0043498D" w:rsidRPr="00776ABA" w14:paraId="2292777B" w14:textId="77777777" w:rsidTr="004A512C">
        <w:tc>
          <w:tcPr>
            <w:tcW w:w="1799" w:type="dxa"/>
            <w:vMerge w:val="restart"/>
            <w:shd w:val="clear" w:color="auto" w:fill="D9E2F3" w:themeFill="accent1" w:themeFillTint="33"/>
            <w:vAlign w:val="center"/>
          </w:tcPr>
          <w:p w14:paraId="5404E146" w14:textId="77777777" w:rsidR="003B3F51" w:rsidRPr="00776ABA" w:rsidRDefault="003B3F51">
            <w:pPr>
              <w:rPr>
                <w:rFonts w:cstheme="minorHAnsi"/>
                <w:sz w:val="18"/>
                <w:szCs w:val="18"/>
              </w:rPr>
            </w:pPr>
          </w:p>
          <w:p w14:paraId="5A4317A4" w14:textId="77777777" w:rsidR="003B3F51" w:rsidRPr="00776ABA" w:rsidRDefault="003B3F51">
            <w:pPr>
              <w:rPr>
                <w:rFonts w:cstheme="minorHAnsi"/>
                <w:sz w:val="18"/>
                <w:szCs w:val="18"/>
              </w:rPr>
            </w:pPr>
          </w:p>
          <w:p w14:paraId="5AEEC6EB" w14:textId="77777777" w:rsidR="003B3F51" w:rsidRPr="00776ABA" w:rsidRDefault="003B3F51">
            <w:pPr>
              <w:rPr>
                <w:rFonts w:cstheme="minorHAnsi"/>
                <w:sz w:val="18"/>
                <w:szCs w:val="18"/>
              </w:rPr>
            </w:pPr>
          </w:p>
          <w:p w14:paraId="15520522" w14:textId="77777777" w:rsidR="003B3F51" w:rsidRPr="00776ABA" w:rsidRDefault="003B3F51">
            <w:pPr>
              <w:rPr>
                <w:rFonts w:cstheme="minorHAnsi"/>
                <w:sz w:val="18"/>
                <w:szCs w:val="18"/>
              </w:rPr>
            </w:pPr>
          </w:p>
          <w:p w14:paraId="069BA213" w14:textId="77777777" w:rsidR="003B3F51" w:rsidRPr="00776ABA" w:rsidRDefault="003B3F51">
            <w:pPr>
              <w:rPr>
                <w:rFonts w:cstheme="minorHAnsi"/>
                <w:sz w:val="18"/>
                <w:szCs w:val="18"/>
              </w:rPr>
            </w:pPr>
          </w:p>
          <w:p w14:paraId="1BA579A3" w14:textId="77777777" w:rsidR="003B3F51" w:rsidRPr="00776ABA" w:rsidRDefault="003B3F51">
            <w:pPr>
              <w:rPr>
                <w:rFonts w:cstheme="minorHAnsi"/>
                <w:sz w:val="18"/>
                <w:szCs w:val="18"/>
              </w:rPr>
            </w:pPr>
          </w:p>
          <w:p w14:paraId="363827AD" w14:textId="77777777" w:rsidR="003B3F51" w:rsidRPr="00776ABA" w:rsidRDefault="003B3F51">
            <w:pPr>
              <w:rPr>
                <w:rFonts w:cstheme="minorHAnsi"/>
                <w:sz w:val="18"/>
                <w:szCs w:val="18"/>
              </w:rPr>
            </w:pPr>
          </w:p>
          <w:p w14:paraId="2356D9F0" w14:textId="77777777" w:rsidR="003B3F51" w:rsidRPr="00776ABA" w:rsidRDefault="003B3F51">
            <w:pPr>
              <w:rPr>
                <w:rFonts w:cstheme="minorHAnsi"/>
                <w:sz w:val="18"/>
                <w:szCs w:val="18"/>
              </w:rPr>
            </w:pPr>
            <w:r w:rsidRPr="00776ABA">
              <w:rPr>
                <w:rFonts w:cstheme="minorHAnsi"/>
                <w:sz w:val="18"/>
                <w:szCs w:val="18"/>
              </w:rPr>
              <w:t>Social and Economic Development Co-Benefits</w:t>
            </w:r>
            <w:r w:rsidRPr="00776ABA">
              <w:rPr>
                <w:rFonts w:cstheme="minorHAnsi"/>
                <w:sz w:val="18"/>
                <w:szCs w:val="18"/>
              </w:rPr>
              <w:br/>
            </w:r>
          </w:p>
        </w:tc>
        <w:tc>
          <w:tcPr>
            <w:tcW w:w="1801" w:type="dxa"/>
            <w:shd w:val="clear" w:color="auto" w:fill="FBE4D5" w:themeFill="accent2" w:themeFillTint="33"/>
            <w:vAlign w:val="center"/>
          </w:tcPr>
          <w:p w14:paraId="55F3879B" w14:textId="77777777" w:rsidR="003B3F51" w:rsidRPr="00776ABA" w:rsidRDefault="003B3F51">
            <w:pPr>
              <w:adjustRightInd w:val="0"/>
              <w:rPr>
                <w:rFonts w:eastAsiaTheme="minorHAnsi" w:cstheme="minorHAnsi"/>
                <w:b/>
                <w:bCs/>
                <w:sz w:val="18"/>
                <w:szCs w:val="18"/>
              </w:rPr>
            </w:pPr>
            <w:r w:rsidRPr="00776ABA">
              <w:rPr>
                <w:rFonts w:eastAsiaTheme="minorHAnsi" w:cstheme="minorHAnsi"/>
                <w:b/>
                <w:bCs/>
                <w:sz w:val="18"/>
                <w:szCs w:val="18"/>
              </w:rPr>
              <w:t>CO-BENEFIT 1.</w:t>
            </w:r>
          </w:p>
          <w:p w14:paraId="7AA620B8" w14:textId="77777777" w:rsidR="003B3F51" w:rsidRPr="00776ABA" w:rsidRDefault="003B3F51">
            <w:pPr>
              <w:adjustRightInd w:val="0"/>
              <w:rPr>
                <w:rFonts w:eastAsiaTheme="minorHAnsi" w:cstheme="minorHAnsi"/>
                <w:b/>
                <w:bCs/>
                <w:sz w:val="18"/>
                <w:szCs w:val="18"/>
              </w:rPr>
            </w:pPr>
            <w:r w:rsidRPr="00776ABA">
              <w:rPr>
                <w:rFonts w:eastAsiaTheme="minorHAnsi" w:cstheme="minorHAnsi"/>
                <w:b/>
                <w:bCs/>
                <w:sz w:val="18"/>
                <w:szCs w:val="18"/>
              </w:rPr>
              <w:t>Employment and</w:t>
            </w:r>
          </w:p>
          <w:p w14:paraId="524223C3" w14:textId="77777777" w:rsidR="003B3F51" w:rsidRPr="00776ABA" w:rsidRDefault="003B3F51">
            <w:pPr>
              <w:adjustRightInd w:val="0"/>
              <w:rPr>
                <w:rFonts w:eastAsiaTheme="minorHAnsi" w:cstheme="minorHAnsi"/>
                <w:sz w:val="18"/>
                <w:szCs w:val="18"/>
              </w:rPr>
            </w:pPr>
            <w:r w:rsidRPr="00776ABA">
              <w:rPr>
                <w:rFonts w:eastAsiaTheme="minorHAnsi" w:cstheme="minorHAnsi"/>
                <w:b/>
                <w:bCs/>
                <w:sz w:val="18"/>
                <w:szCs w:val="18"/>
              </w:rPr>
              <w:t xml:space="preserve">Livelihoods: </w:t>
            </w:r>
            <w:r w:rsidRPr="00776ABA">
              <w:rPr>
                <w:rFonts w:eastAsiaTheme="minorHAnsi" w:cstheme="minorHAnsi"/>
                <w:sz w:val="18"/>
                <w:szCs w:val="18"/>
              </w:rPr>
              <w:t>Jobs</w:t>
            </w:r>
          </w:p>
          <w:p w14:paraId="4E62BF7D" w14:textId="77777777" w:rsidR="003B3F51" w:rsidRPr="00776ABA" w:rsidRDefault="003B3F51">
            <w:pPr>
              <w:adjustRightInd w:val="0"/>
              <w:rPr>
                <w:rFonts w:eastAsiaTheme="minorHAnsi" w:cstheme="minorHAnsi"/>
                <w:sz w:val="18"/>
                <w:szCs w:val="18"/>
              </w:rPr>
            </w:pPr>
            <w:r w:rsidRPr="00776ABA">
              <w:rPr>
                <w:rFonts w:eastAsiaTheme="minorHAnsi" w:cstheme="minorHAnsi"/>
                <w:sz w:val="18"/>
                <w:szCs w:val="18"/>
              </w:rPr>
              <w:t>created – direct</w:t>
            </w:r>
          </w:p>
          <w:p w14:paraId="3D58FB79" w14:textId="77777777" w:rsidR="003B3F51" w:rsidRPr="00776ABA" w:rsidRDefault="003B3F51">
            <w:pPr>
              <w:rPr>
                <w:rFonts w:cstheme="minorHAnsi"/>
                <w:sz w:val="18"/>
                <w:szCs w:val="18"/>
              </w:rPr>
            </w:pPr>
            <w:r w:rsidRPr="00776ABA">
              <w:rPr>
                <w:rFonts w:eastAsiaTheme="minorHAnsi" w:cstheme="minorHAnsi"/>
                <w:sz w:val="18"/>
                <w:szCs w:val="18"/>
              </w:rPr>
              <w:t>and indirect</w:t>
            </w:r>
          </w:p>
        </w:tc>
        <w:tc>
          <w:tcPr>
            <w:tcW w:w="1198" w:type="dxa"/>
            <w:shd w:val="clear" w:color="auto" w:fill="FBE4D5" w:themeFill="accent2" w:themeFillTint="33"/>
            <w:vAlign w:val="center"/>
          </w:tcPr>
          <w:p w14:paraId="19B41B5D" w14:textId="77777777" w:rsidR="003B3F51" w:rsidRPr="00776ABA" w:rsidRDefault="003B3F51">
            <w:pPr>
              <w:jc w:val="center"/>
              <w:rPr>
                <w:rFonts w:cstheme="minorHAnsi"/>
                <w:color w:val="000000" w:themeColor="text1"/>
                <w:sz w:val="18"/>
                <w:szCs w:val="18"/>
              </w:rPr>
            </w:pPr>
            <w:r w:rsidRPr="00776ABA">
              <w:rPr>
                <w:rFonts w:cstheme="minorHAnsi"/>
                <w:color w:val="000000" w:themeColor="text1"/>
                <w:sz w:val="18"/>
                <w:szCs w:val="18"/>
              </w:rPr>
              <w:t>0</w:t>
            </w:r>
          </w:p>
        </w:tc>
        <w:tc>
          <w:tcPr>
            <w:tcW w:w="1067" w:type="dxa"/>
            <w:shd w:val="clear" w:color="auto" w:fill="FBE4D5" w:themeFill="accent2" w:themeFillTint="33"/>
            <w:vAlign w:val="center"/>
          </w:tcPr>
          <w:p w14:paraId="2D8A806C" w14:textId="77777777" w:rsidR="003B3F51" w:rsidRPr="00776ABA" w:rsidRDefault="003B3F51">
            <w:pPr>
              <w:jc w:val="center"/>
              <w:rPr>
                <w:rFonts w:cstheme="minorHAnsi"/>
                <w:color w:val="000000" w:themeColor="text1"/>
                <w:sz w:val="18"/>
                <w:szCs w:val="18"/>
              </w:rPr>
            </w:pPr>
            <w:r w:rsidRPr="00776ABA">
              <w:rPr>
                <w:rFonts w:cstheme="minorHAnsi"/>
                <w:color w:val="000000" w:themeColor="text1"/>
                <w:sz w:val="18"/>
                <w:szCs w:val="18"/>
              </w:rPr>
              <w:t>MDB project results data / CIF modeling</w:t>
            </w:r>
          </w:p>
        </w:tc>
        <w:tc>
          <w:tcPr>
            <w:tcW w:w="951" w:type="dxa"/>
            <w:shd w:val="clear" w:color="auto" w:fill="FBE4D5" w:themeFill="accent2" w:themeFillTint="33"/>
            <w:vAlign w:val="center"/>
          </w:tcPr>
          <w:p w14:paraId="356D8D92" w14:textId="77777777" w:rsidR="003B3F51" w:rsidRPr="00776ABA" w:rsidRDefault="003B3F51">
            <w:pPr>
              <w:jc w:val="center"/>
              <w:rPr>
                <w:rFonts w:cstheme="minorHAnsi"/>
                <w:color w:val="000000" w:themeColor="text1"/>
                <w:sz w:val="18"/>
                <w:szCs w:val="18"/>
              </w:rPr>
            </w:pPr>
          </w:p>
        </w:tc>
        <w:tc>
          <w:tcPr>
            <w:tcW w:w="2610" w:type="dxa"/>
            <w:shd w:val="clear" w:color="auto" w:fill="FBE4D5" w:themeFill="accent2" w:themeFillTint="33"/>
            <w:vAlign w:val="center"/>
          </w:tcPr>
          <w:p w14:paraId="46DCE7D1" w14:textId="77777777" w:rsidR="003B3F51" w:rsidRPr="00776ABA" w:rsidRDefault="003B3F51">
            <w:pPr>
              <w:rPr>
                <w:rFonts w:cstheme="minorHAnsi"/>
                <w:b/>
                <w:bCs/>
                <w:sz w:val="18"/>
                <w:szCs w:val="18"/>
              </w:rPr>
            </w:pPr>
          </w:p>
          <w:p w14:paraId="23B6053C" w14:textId="77777777" w:rsidR="003B3F51" w:rsidRPr="00776ABA" w:rsidRDefault="003B3F51">
            <w:pPr>
              <w:rPr>
                <w:rFonts w:cstheme="minorHAnsi"/>
                <w:b/>
                <w:bCs/>
                <w:sz w:val="18"/>
                <w:szCs w:val="18"/>
              </w:rPr>
            </w:pPr>
            <w:r w:rsidRPr="00776ABA">
              <w:rPr>
                <w:rFonts w:cstheme="minorHAnsi"/>
                <w:b/>
                <w:bCs/>
                <w:sz w:val="18"/>
                <w:szCs w:val="18"/>
              </w:rPr>
              <w:t>MDBs will only need to report on one co-benefit indicator per REI project and can select among a range of options or propose another relevant co-benefit.</w:t>
            </w:r>
          </w:p>
          <w:p w14:paraId="18F38D24" w14:textId="77777777" w:rsidR="003B3F51" w:rsidRPr="00776ABA" w:rsidRDefault="003B3F51">
            <w:pPr>
              <w:rPr>
                <w:rFonts w:cstheme="minorHAnsi"/>
                <w:sz w:val="18"/>
                <w:szCs w:val="18"/>
              </w:rPr>
            </w:pPr>
            <w:r w:rsidRPr="00776ABA">
              <w:rPr>
                <w:rFonts w:cstheme="minorHAnsi"/>
                <w:sz w:val="18"/>
                <w:szCs w:val="18"/>
                <w:u w:val="single"/>
              </w:rPr>
              <w:t>Disaggregation</w:t>
            </w:r>
            <w:r w:rsidRPr="00776ABA">
              <w:rPr>
                <w:rFonts w:cstheme="minorHAnsi"/>
                <w:sz w:val="18"/>
                <w:szCs w:val="18"/>
              </w:rPr>
              <w:t>: Direct vs. indirect</w:t>
            </w:r>
          </w:p>
          <w:p w14:paraId="527A5659" w14:textId="77777777" w:rsidR="003B3F51" w:rsidRPr="00776ABA" w:rsidRDefault="003B3F51">
            <w:pPr>
              <w:rPr>
                <w:rFonts w:cstheme="minorHAnsi"/>
                <w:sz w:val="18"/>
                <w:szCs w:val="18"/>
              </w:rPr>
            </w:pPr>
            <w:r w:rsidRPr="00776ABA">
              <w:rPr>
                <w:rFonts w:cstheme="minorHAnsi"/>
                <w:sz w:val="18"/>
                <w:szCs w:val="18"/>
              </w:rPr>
              <w:t>By gender (mandatory) and vulnerable groups</w:t>
            </w:r>
          </w:p>
          <w:p w14:paraId="3A4F7DFB" w14:textId="77777777" w:rsidR="003B3F51" w:rsidRPr="00776ABA" w:rsidRDefault="003B3F51">
            <w:pPr>
              <w:rPr>
                <w:rFonts w:cstheme="minorHAnsi"/>
                <w:sz w:val="18"/>
                <w:szCs w:val="18"/>
              </w:rPr>
            </w:pPr>
            <w:r w:rsidRPr="00776ABA">
              <w:rPr>
                <w:rFonts w:cstheme="minorHAnsi"/>
                <w:sz w:val="18"/>
                <w:szCs w:val="18"/>
              </w:rPr>
              <w:t>By type of job</w:t>
            </w:r>
          </w:p>
          <w:p w14:paraId="16A0E45F" w14:textId="77777777" w:rsidR="003B3F51" w:rsidRPr="00776ABA" w:rsidRDefault="003B3F51">
            <w:pPr>
              <w:rPr>
                <w:rFonts w:cstheme="minorHAnsi"/>
                <w:sz w:val="18"/>
                <w:szCs w:val="18"/>
              </w:rPr>
            </w:pPr>
          </w:p>
        </w:tc>
        <w:tc>
          <w:tcPr>
            <w:tcW w:w="5604" w:type="dxa"/>
            <w:gridSpan w:val="2"/>
            <w:shd w:val="clear" w:color="auto" w:fill="E7E6E6" w:themeFill="background2"/>
            <w:vAlign w:val="center"/>
          </w:tcPr>
          <w:p w14:paraId="3565D05A" w14:textId="77777777" w:rsidR="003B3F51" w:rsidRPr="00776ABA" w:rsidRDefault="003B3F51">
            <w:pPr>
              <w:rPr>
                <w:rFonts w:cstheme="minorHAnsi"/>
                <w:sz w:val="18"/>
                <w:szCs w:val="18"/>
              </w:rPr>
            </w:pPr>
            <w:r w:rsidRPr="00776ABA">
              <w:rPr>
                <w:rFonts w:cstheme="minorHAnsi"/>
                <w:b/>
                <w:bCs/>
                <w:sz w:val="18"/>
                <w:szCs w:val="18"/>
              </w:rPr>
              <w:t>Quality and distribution of jobs:</w:t>
            </w:r>
            <w:r w:rsidRPr="00776ABA">
              <w:rPr>
                <w:rFonts w:cstheme="minorHAnsi"/>
                <w:sz w:val="18"/>
                <w:szCs w:val="18"/>
              </w:rPr>
              <w:t xml:space="preserve"> Through both just transition and gender-responsive approaches, further evaluative and learning-oriented analyses may center on the types of jobs created (and lost), and which sub-populations are gaining (and losing) employment opportunities. For example, this might include generating evidence on decent jobs created and plans for addressing jobs lost through skills development and economic diversification activities. Alternatively, it might include analyses of women’s access to medium- and high-skilled green jobs, STEM-education and vocational training, and school-to-work transitions.</w:t>
            </w:r>
          </w:p>
          <w:p w14:paraId="1DF6DD3F" w14:textId="77777777" w:rsidR="003B3F51" w:rsidRPr="00776ABA" w:rsidRDefault="003B3F51">
            <w:pPr>
              <w:rPr>
                <w:rFonts w:cstheme="minorHAnsi"/>
                <w:sz w:val="18"/>
                <w:szCs w:val="18"/>
              </w:rPr>
            </w:pPr>
            <w:r w:rsidRPr="00776ABA">
              <w:rPr>
                <w:rFonts w:cstheme="minorHAnsi"/>
                <w:b/>
                <w:bCs/>
                <w:sz w:val="18"/>
                <w:szCs w:val="18"/>
              </w:rPr>
              <w:t>Modeling:</w:t>
            </w:r>
            <w:r w:rsidRPr="00776ABA">
              <w:rPr>
                <w:rFonts w:cstheme="minorHAnsi"/>
                <w:sz w:val="18"/>
                <w:szCs w:val="18"/>
              </w:rPr>
              <w:t xml:space="preserve"> Indirect job creation, such as induced employment along the supply chain, may be estimated using modeling techniques alongside projects’ reporting of direct job creation.</w:t>
            </w:r>
          </w:p>
        </w:tc>
      </w:tr>
      <w:tr w:rsidR="0043498D" w:rsidRPr="00776ABA" w14:paraId="1ECD5CD0" w14:textId="77777777" w:rsidTr="004A512C">
        <w:tc>
          <w:tcPr>
            <w:tcW w:w="1799" w:type="dxa"/>
            <w:vMerge/>
            <w:shd w:val="clear" w:color="auto" w:fill="D9E2F3" w:themeFill="accent1" w:themeFillTint="33"/>
            <w:vAlign w:val="center"/>
          </w:tcPr>
          <w:p w14:paraId="67FE68FF" w14:textId="77777777" w:rsidR="003B3F51" w:rsidRPr="00776ABA" w:rsidRDefault="003B3F51">
            <w:pPr>
              <w:rPr>
                <w:rFonts w:cstheme="minorHAnsi"/>
                <w:b/>
                <w:bCs/>
                <w:sz w:val="18"/>
                <w:szCs w:val="18"/>
              </w:rPr>
            </w:pPr>
          </w:p>
        </w:tc>
        <w:tc>
          <w:tcPr>
            <w:tcW w:w="1801" w:type="dxa"/>
            <w:shd w:val="clear" w:color="auto" w:fill="FBE4D5" w:themeFill="accent2" w:themeFillTint="33"/>
            <w:vAlign w:val="center"/>
          </w:tcPr>
          <w:p w14:paraId="260EEB23" w14:textId="77777777" w:rsidR="003B3F51" w:rsidRPr="00776ABA" w:rsidRDefault="003B3F51">
            <w:pPr>
              <w:rPr>
                <w:rFonts w:cstheme="minorHAnsi"/>
                <w:sz w:val="18"/>
                <w:szCs w:val="18"/>
              </w:rPr>
            </w:pPr>
            <w:r w:rsidRPr="00776ABA">
              <w:rPr>
                <w:rFonts w:cstheme="minorHAnsi"/>
                <w:b/>
                <w:bCs/>
                <w:sz w:val="18"/>
                <w:szCs w:val="18"/>
              </w:rPr>
              <w:t xml:space="preserve">CO-BENEFIT 2. Policy and Planning: </w:t>
            </w:r>
            <w:r w:rsidRPr="00776ABA">
              <w:rPr>
                <w:rFonts w:cstheme="minorHAnsi"/>
                <w:sz w:val="18"/>
                <w:szCs w:val="18"/>
              </w:rPr>
              <w:t>Coherence across sectors</w:t>
            </w:r>
          </w:p>
        </w:tc>
        <w:tc>
          <w:tcPr>
            <w:tcW w:w="1198" w:type="dxa"/>
            <w:shd w:val="clear" w:color="auto" w:fill="FBE4D5" w:themeFill="accent2" w:themeFillTint="33"/>
            <w:vAlign w:val="center"/>
          </w:tcPr>
          <w:p w14:paraId="255F51CB" w14:textId="77777777" w:rsidR="003B3F51" w:rsidRPr="00776ABA" w:rsidRDefault="003B3F51">
            <w:pPr>
              <w:jc w:val="center"/>
              <w:rPr>
                <w:rFonts w:cstheme="minorHAnsi"/>
                <w:color w:val="000000" w:themeColor="text1"/>
                <w:sz w:val="18"/>
                <w:szCs w:val="18"/>
              </w:rPr>
            </w:pPr>
            <w:r w:rsidRPr="00776ABA">
              <w:rPr>
                <w:rFonts w:cstheme="minorHAnsi"/>
                <w:color w:val="000000" w:themeColor="text1"/>
                <w:sz w:val="18"/>
                <w:szCs w:val="18"/>
              </w:rPr>
              <w:t>N/A</w:t>
            </w:r>
          </w:p>
        </w:tc>
        <w:tc>
          <w:tcPr>
            <w:tcW w:w="1067" w:type="dxa"/>
            <w:shd w:val="clear" w:color="auto" w:fill="FBE4D5" w:themeFill="accent2" w:themeFillTint="33"/>
            <w:vAlign w:val="center"/>
          </w:tcPr>
          <w:p w14:paraId="54D19570" w14:textId="77777777" w:rsidR="003B3F51" w:rsidRPr="00776ABA" w:rsidRDefault="003B3F51">
            <w:pPr>
              <w:jc w:val="center"/>
              <w:rPr>
                <w:rFonts w:cstheme="minorHAnsi"/>
                <w:color w:val="000000" w:themeColor="text1"/>
                <w:sz w:val="18"/>
                <w:szCs w:val="18"/>
              </w:rPr>
            </w:pPr>
            <w:r w:rsidRPr="00776ABA">
              <w:rPr>
                <w:rFonts w:cstheme="minorHAnsi"/>
                <w:color w:val="000000" w:themeColor="text1"/>
                <w:sz w:val="18"/>
                <w:szCs w:val="18"/>
              </w:rPr>
              <w:t>N/A</w:t>
            </w:r>
          </w:p>
        </w:tc>
        <w:tc>
          <w:tcPr>
            <w:tcW w:w="951" w:type="dxa"/>
            <w:shd w:val="clear" w:color="auto" w:fill="FBE4D5" w:themeFill="accent2" w:themeFillTint="33"/>
            <w:vAlign w:val="center"/>
          </w:tcPr>
          <w:p w14:paraId="075EC87A" w14:textId="77777777" w:rsidR="003B3F51" w:rsidRPr="00776ABA" w:rsidRDefault="003B3F51">
            <w:pPr>
              <w:jc w:val="center"/>
              <w:rPr>
                <w:rFonts w:cstheme="minorHAnsi"/>
                <w:color w:val="000000" w:themeColor="text1"/>
                <w:sz w:val="18"/>
                <w:szCs w:val="18"/>
              </w:rPr>
            </w:pPr>
          </w:p>
        </w:tc>
        <w:tc>
          <w:tcPr>
            <w:tcW w:w="2610" w:type="dxa"/>
            <w:shd w:val="clear" w:color="auto" w:fill="FBE4D5" w:themeFill="accent2" w:themeFillTint="33"/>
            <w:vAlign w:val="center"/>
          </w:tcPr>
          <w:p w14:paraId="5A3D9B2E" w14:textId="77777777" w:rsidR="003B3F51" w:rsidRPr="00776ABA" w:rsidRDefault="003B3F51">
            <w:pPr>
              <w:jc w:val="center"/>
              <w:rPr>
                <w:rFonts w:cstheme="minorHAnsi"/>
                <w:sz w:val="18"/>
                <w:szCs w:val="18"/>
              </w:rPr>
            </w:pPr>
            <w:r w:rsidRPr="00776ABA">
              <w:rPr>
                <w:rFonts w:cstheme="minorHAnsi"/>
                <w:sz w:val="18"/>
                <w:szCs w:val="18"/>
              </w:rPr>
              <w:t>N/A</w:t>
            </w:r>
          </w:p>
        </w:tc>
        <w:tc>
          <w:tcPr>
            <w:tcW w:w="5604" w:type="dxa"/>
            <w:gridSpan w:val="2"/>
            <w:shd w:val="clear" w:color="auto" w:fill="E7E6E6" w:themeFill="background2"/>
            <w:vAlign w:val="center"/>
          </w:tcPr>
          <w:p w14:paraId="087709A8" w14:textId="77777777" w:rsidR="003B3F51" w:rsidRPr="00776ABA" w:rsidRDefault="003B3F51">
            <w:pPr>
              <w:rPr>
                <w:rFonts w:cstheme="minorHAnsi"/>
                <w:sz w:val="18"/>
                <w:szCs w:val="18"/>
              </w:rPr>
            </w:pPr>
            <w:r w:rsidRPr="00776ABA">
              <w:rPr>
                <w:rFonts w:cstheme="minorHAnsi"/>
                <w:sz w:val="18"/>
                <w:szCs w:val="18"/>
              </w:rPr>
              <w:t>Approaches may consider the degree of alignment between NDCs, national policy, and REI Investment Plans.</w:t>
            </w:r>
          </w:p>
          <w:p w14:paraId="59BA329E" w14:textId="77777777" w:rsidR="003B3F51" w:rsidRPr="00776ABA" w:rsidRDefault="003B3F51">
            <w:pPr>
              <w:rPr>
                <w:rFonts w:cstheme="minorHAnsi"/>
                <w:sz w:val="18"/>
                <w:szCs w:val="18"/>
              </w:rPr>
            </w:pPr>
            <w:r w:rsidRPr="00776ABA">
              <w:rPr>
                <w:rFonts w:cstheme="minorHAnsi"/>
                <w:sz w:val="18"/>
                <w:szCs w:val="18"/>
              </w:rPr>
              <w:t>They may further consider the extent to which other sectors have been consulted during the development of the REI Investment Plans.</w:t>
            </w:r>
          </w:p>
          <w:p w14:paraId="5734C744" w14:textId="77777777" w:rsidR="003B3F51" w:rsidRPr="00776ABA" w:rsidRDefault="003B3F51">
            <w:pPr>
              <w:rPr>
                <w:rFonts w:cstheme="minorHAnsi"/>
                <w:sz w:val="18"/>
                <w:szCs w:val="18"/>
              </w:rPr>
            </w:pPr>
          </w:p>
        </w:tc>
      </w:tr>
      <w:tr w:rsidR="001C3545" w:rsidRPr="00776ABA" w14:paraId="207FE2FC" w14:textId="77777777" w:rsidTr="004A512C">
        <w:trPr>
          <w:trHeight w:val="360"/>
        </w:trPr>
        <w:tc>
          <w:tcPr>
            <w:tcW w:w="9436" w:type="dxa"/>
            <w:gridSpan w:val="7"/>
            <w:shd w:val="clear" w:color="auto" w:fill="005364"/>
            <w:vAlign w:val="center"/>
          </w:tcPr>
          <w:p w14:paraId="476E5AA0" w14:textId="77777777" w:rsidR="003B3F51" w:rsidRPr="00776ABA" w:rsidRDefault="003B3F51">
            <w:pPr>
              <w:rPr>
                <w:rFonts w:cstheme="minorHAnsi"/>
                <w:b/>
                <w:bCs/>
                <w:color w:val="FFFFFF" w:themeColor="background1"/>
                <w:sz w:val="18"/>
                <w:szCs w:val="18"/>
              </w:rPr>
            </w:pPr>
            <w:r w:rsidRPr="00776ABA">
              <w:rPr>
                <w:rFonts w:cstheme="minorHAnsi"/>
                <w:b/>
                <w:bCs/>
                <w:color w:val="FFFFFF" w:themeColor="background1"/>
                <w:sz w:val="18"/>
                <w:szCs w:val="18"/>
              </w:rPr>
              <w:t>REI PROGRAM-LEVEL OUTPUTS</w:t>
            </w:r>
          </w:p>
        </w:tc>
        <w:tc>
          <w:tcPr>
            <w:tcW w:w="5594" w:type="dxa"/>
            <w:shd w:val="clear" w:color="auto" w:fill="005364"/>
            <w:vAlign w:val="center"/>
          </w:tcPr>
          <w:p w14:paraId="6F977567" w14:textId="77777777" w:rsidR="003B3F51" w:rsidRPr="00776ABA" w:rsidRDefault="003B3F51">
            <w:pPr>
              <w:rPr>
                <w:rFonts w:cstheme="minorHAnsi"/>
                <w:b/>
                <w:bCs/>
                <w:color w:val="FFFFFF" w:themeColor="background1"/>
                <w:sz w:val="18"/>
                <w:szCs w:val="18"/>
              </w:rPr>
            </w:pPr>
          </w:p>
        </w:tc>
      </w:tr>
      <w:tr w:rsidR="0043498D" w:rsidRPr="00776ABA" w14:paraId="7F1F1873" w14:textId="77777777" w:rsidTr="004A512C">
        <w:tc>
          <w:tcPr>
            <w:tcW w:w="1799" w:type="dxa"/>
            <w:vMerge w:val="restart"/>
            <w:shd w:val="clear" w:color="auto" w:fill="D9E2F3" w:themeFill="accent1" w:themeFillTint="33"/>
            <w:vAlign w:val="center"/>
          </w:tcPr>
          <w:p w14:paraId="6533AD0B" w14:textId="77777777" w:rsidR="003B3F51" w:rsidRPr="00776ABA" w:rsidRDefault="003B3F51">
            <w:pPr>
              <w:rPr>
                <w:rFonts w:cstheme="minorHAnsi"/>
                <w:sz w:val="18"/>
                <w:szCs w:val="18"/>
              </w:rPr>
            </w:pPr>
            <w:r w:rsidRPr="00776ABA">
              <w:rPr>
                <w:rFonts w:cstheme="minorHAnsi"/>
                <w:sz w:val="18"/>
                <w:szCs w:val="18"/>
              </w:rPr>
              <w:t>A. Improved market design and systems</w:t>
            </w:r>
          </w:p>
          <w:p w14:paraId="0A82747D" w14:textId="77777777" w:rsidR="003B3F51" w:rsidRPr="00776ABA" w:rsidRDefault="003B3F51">
            <w:pPr>
              <w:rPr>
                <w:rFonts w:cstheme="minorHAnsi"/>
                <w:sz w:val="18"/>
                <w:szCs w:val="18"/>
              </w:rPr>
            </w:pPr>
          </w:p>
        </w:tc>
        <w:tc>
          <w:tcPr>
            <w:tcW w:w="1801" w:type="dxa"/>
            <w:shd w:val="clear" w:color="auto" w:fill="FBE4D5" w:themeFill="accent2" w:themeFillTint="33"/>
            <w:vAlign w:val="center"/>
          </w:tcPr>
          <w:p w14:paraId="49BB8BB1" w14:textId="77777777" w:rsidR="003B3F51" w:rsidRPr="00776ABA" w:rsidRDefault="003B3F51">
            <w:pPr>
              <w:rPr>
                <w:rFonts w:cstheme="minorHAnsi"/>
                <w:sz w:val="18"/>
                <w:szCs w:val="18"/>
              </w:rPr>
            </w:pPr>
          </w:p>
          <w:p w14:paraId="3AEAEC8D" w14:textId="77777777" w:rsidR="003B3F51" w:rsidRPr="00776ABA" w:rsidRDefault="003B3F51">
            <w:pPr>
              <w:rPr>
                <w:rFonts w:cstheme="minorHAnsi"/>
                <w:sz w:val="18"/>
                <w:szCs w:val="18"/>
              </w:rPr>
            </w:pPr>
            <w:r w:rsidRPr="00776ABA">
              <w:rPr>
                <w:rFonts w:cstheme="minorHAnsi"/>
                <w:sz w:val="18"/>
                <w:szCs w:val="18"/>
              </w:rPr>
              <w:t>OPTIONAL (REI Optional Output 8): Number of policies, regulations, codes, or standards supported</w:t>
            </w:r>
            <w:r w:rsidRPr="00776ABA">
              <w:rPr>
                <w:rFonts w:cstheme="minorHAnsi"/>
                <w:i/>
                <w:iCs/>
                <w:sz w:val="18"/>
                <w:szCs w:val="18"/>
              </w:rPr>
              <w:t xml:space="preserve"> </w:t>
            </w:r>
            <w:r w:rsidRPr="00776ABA">
              <w:rPr>
                <w:rFonts w:cstheme="minorHAnsi"/>
                <w:sz w:val="18"/>
                <w:szCs w:val="18"/>
              </w:rPr>
              <w:t>to enhance the enabling environment for renewable energy uptake (#)</w:t>
            </w:r>
          </w:p>
        </w:tc>
        <w:tc>
          <w:tcPr>
            <w:tcW w:w="1198" w:type="dxa"/>
            <w:shd w:val="clear" w:color="auto" w:fill="FBE4D5" w:themeFill="accent2" w:themeFillTint="33"/>
            <w:vAlign w:val="center"/>
          </w:tcPr>
          <w:p w14:paraId="6181C299" w14:textId="77777777" w:rsidR="003B3F51" w:rsidRPr="00776ABA" w:rsidRDefault="003B3F51">
            <w:pPr>
              <w:jc w:val="center"/>
              <w:rPr>
                <w:rFonts w:cstheme="minorHAnsi"/>
                <w:sz w:val="18"/>
                <w:szCs w:val="18"/>
              </w:rPr>
            </w:pPr>
            <w:r w:rsidRPr="00776ABA">
              <w:rPr>
                <w:rFonts w:cstheme="minorHAnsi"/>
                <w:sz w:val="18"/>
                <w:szCs w:val="18"/>
              </w:rPr>
              <w:t>0</w:t>
            </w:r>
          </w:p>
        </w:tc>
        <w:tc>
          <w:tcPr>
            <w:tcW w:w="1067" w:type="dxa"/>
            <w:shd w:val="clear" w:color="auto" w:fill="FBE4D5" w:themeFill="accent2" w:themeFillTint="33"/>
            <w:vAlign w:val="center"/>
          </w:tcPr>
          <w:p w14:paraId="4A135E91" w14:textId="77777777" w:rsidR="003B3F51" w:rsidRPr="00776ABA" w:rsidRDefault="003B3F51">
            <w:pPr>
              <w:jc w:val="center"/>
              <w:rPr>
                <w:rFonts w:cstheme="minorHAnsi"/>
                <w:color w:val="000000" w:themeColor="text1"/>
                <w:sz w:val="18"/>
                <w:szCs w:val="18"/>
              </w:rPr>
            </w:pPr>
          </w:p>
          <w:p w14:paraId="641FCB99" w14:textId="77777777" w:rsidR="003B3F51" w:rsidRPr="00776ABA" w:rsidRDefault="003B3F51">
            <w:pPr>
              <w:jc w:val="center"/>
              <w:rPr>
                <w:rFonts w:cstheme="minorHAnsi"/>
                <w:color w:val="000000" w:themeColor="text1"/>
                <w:sz w:val="18"/>
                <w:szCs w:val="18"/>
              </w:rPr>
            </w:pPr>
          </w:p>
          <w:p w14:paraId="32D28E24" w14:textId="77777777" w:rsidR="003B3F51" w:rsidRPr="00776ABA" w:rsidRDefault="003B3F51">
            <w:pPr>
              <w:jc w:val="center"/>
              <w:rPr>
                <w:rFonts w:cstheme="minorHAnsi"/>
                <w:color w:val="000000" w:themeColor="text1"/>
                <w:sz w:val="18"/>
                <w:szCs w:val="18"/>
              </w:rPr>
            </w:pPr>
          </w:p>
          <w:p w14:paraId="52A3C196" w14:textId="77777777" w:rsidR="003B3F51" w:rsidRPr="00776ABA" w:rsidRDefault="003B3F51">
            <w:pPr>
              <w:jc w:val="center"/>
              <w:rPr>
                <w:rFonts w:cstheme="minorHAnsi"/>
                <w:color w:val="000000" w:themeColor="text1"/>
                <w:sz w:val="18"/>
                <w:szCs w:val="18"/>
              </w:rPr>
            </w:pPr>
          </w:p>
          <w:p w14:paraId="6F466E68" w14:textId="77777777" w:rsidR="003B3F51" w:rsidRPr="00776ABA" w:rsidRDefault="003B3F51">
            <w:pPr>
              <w:jc w:val="center"/>
              <w:rPr>
                <w:rFonts w:cstheme="minorHAnsi"/>
                <w:color w:val="000000" w:themeColor="text1"/>
                <w:sz w:val="18"/>
                <w:szCs w:val="18"/>
              </w:rPr>
            </w:pPr>
            <w:r w:rsidRPr="00776ABA">
              <w:rPr>
                <w:rFonts w:cstheme="minorHAnsi"/>
                <w:color w:val="000000" w:themeColor="text1"/>
                <w:sz w:val="18"/>
                <w:szCs w:val="18"/>
              </w:rPr>
              <w:t>MDB project results / country data</w:t>
            </w:r>
          </w:p>
        </w:tc>
        <w:tc>
          <w:tcPr>
            <w:tcW w:w="951" w:type="dxa"/>
            <w:shd w:val="clear" w:color="auto" w:fill="FBE4D5" w:themeFill="accent2" w:themeFillTint="33"/>
            <w:vAlign w:val="center"/>
          </w:tcPr>
          <w:p w14:paraId="7C068097" w14:textId="77777777" w:rsidR="003B3F51" w:rsidRPr="00776ABA" w:rsidRDefault="003B3F51">
            <w:pPr>
              <w:jc w:val="center"/>
              <w:rPr>
                <w:rFonts w:cstheme="minorHAnsi"/>
                <w:color w:val="000000" w:themeColor="text1"/>
                <w:sz w:val="18"/>
                <w:szCs w:val="18"/>
              </w:rPr>
            </w:pPr>
          </w:p>
        </w:tc>
        <w:tc>
          <w:tcPr>
            <w:tcW w:w="2610" w:type="dxa"/>
            <w:shd w:val="clear" w:color="auto" w:fill="FBE4D5" w:themeFill="accent2" w:themeFillTint="33"/>
            <w:vAlign w:val="center"/>
          </w:tcPr>
          <w:p w14:paraId="208027F4" w14:textId="77777777" w:rsidR="003B3F51" w:rsidRPr="00776ABA" w:rsidRDefault="003B3F51">
            <w:pPr>
              <w:rPr>
                <w:rFonts w:cstheme="minorHAnsi"/>
                <w:sz w:val="18"/>
                <w:szCs w:val="18"/>
              </w:rPr>
            </w:pPr>
            <w:r w:rsidRPr="00776ABA">
              <w:rPr>
                <w:rFonts w:cstheme="minorHAnsi"/>
                <w:sz w:val="18"/>
                <w:szCs w:val="18"/>
              </w:rPr>
              <w:t>Designed to address policy or regulatory barriers to renewable energy uptake and subsequent actions taken by local/national governments to increase future investments in renewable energy.</w:t>
            </w:r>
          </w:p>
          <w:p w14:paraId="6F89824C" w14:textId="77777777" w:rsidR="003B3F51" w:rsidRPr="00776ABA" w:rsidRDefault="003B3F51">
            <w:pPr>
              <w:rPr>
                <w:rFonts w:cstheme="minorHAnsi"/>
                <w:sz w:val="18"/>
                <w:szCs w:val="18"/>
              </w:rPr>
            </w:pPr>
          </w:p>
          <w:p w14:paraId="09588277" w14:textId="77777777" w:rsidR="003B3F51" w:rsidRPr="00776ABA" w:rsidRDefault="003B3F51">
            <w:pPr>
              <w:rPr>
                <w:rFonts w:cstheme="minorHAnsi"/>
                <w:sz w:val="18"/>
                <w:szCs w:val="18"/>
              </w:rPr>
            </w:pPr>
            <w:r w:rsidRPr="00776ABA">
              <w:rPr>
                <w:rFonts w:cstheme="minorHAnsi"/>
                <w:sz w:val="18"/>
                <w:szCs w:val="18"/>
              </w:rPr>
              <w:t>This indicator includes all policies supported, whether they are adopted (REI CORE 5) or not.</w:t>
            </w:r>
          </w:p>
        </w:tc>
        <w:tc>
          <w:tcPr>
            <w:tcW w:w="5604" w:type="dxa"/>
            <w:gridSpan w:val="2"/>
            <w:vMerge w:val="restart"/>
            <w:shd w:val="clear" w:color="auto" w:fill="E7E6E6" w:themeFill="background2"/>
            <w:vAlign w:val="center"/>
          </w:tcPr>
          <w:p w14:paraId="2391D597" w14:textId="77777777" w:rsidR="003B3F51" w:rsidRPr="00776ABA" w:rsidRDefault="003B3F51">
            <w:pPr>
              <w:rPr>
                <w:rFonts w:cstheme="minorHAnsi"/>
                <w:sz w:val="18"/>
                <w:szCs w:val="18"/>
              </w:rPr>
            </w:pPr>
            <w:r w:rsidRPr="00776ABA">
              <w:rPr>
                <w:rFonts w:cstheme="minorHAnsi"/>
                <w:b/>
                <w:bCs/>
                <w:sz w:val="18"/>
                <w:szCs w:val="18"/>
              </w:rPr>
              <w:t>Specific evaluation and learning</w:t>
            </w:r>
            <w:r w:rsidRPr="00776ABA">
              <w:rPr>
                <w:rFonts w:cstheme="minorHAnsi"/>
                <w:sz w:val="18"/>
                <w:szCs w:val="18"/>
              </w:rPr>
              <w:t xml:space="preserve"> activities may support output-level learning and assessment. Monitoring data from the output level may also feed into the evidence base for transformational change signals and other higher-level analyses related to REI.</w:t>
            </w:r>
          </w:p>
          <w:p w14:paraId="2CBBCAD6" w14:textId="77777777" w:rsidR="003B3F51" w:rsidRPr="00776ABA" w:rsidRDefault="003B3F51">
            <w:pPr>
              <w:rPr>
                <w:rFonts w:cstheme="minorHAnsi"/>
                <w:sz w:val="18"/>
                <w:szCs w:val="18"/>
              </w:rPr>
            </w:pPr>
          </w:p>
          <w:p w14:paraId="3B614A6F" w14:textId="77777777" w:rsidR="003B3F51" w:rsidRPr="00776ABA" w:rsidRDefault="003B3F51">
            <w:pPr>
              <w:rPr>
                <w:rFonts w:cstheme="minorHAnsi"/>
                <w:sz w:val="18"/>
                <w:szCs w:val="18"/>
              </w:rPr>
            </w:pPr>
          </w:p>
          <w:p w14:paraId="1E71643C" w14:textId="77777777" w:rsidR="003B3F51" w:rsidRPr="00776ABA" w:rsidRDefault="003B3F51">
            <w:pPr>
              <w:rPr>
                <w:rFonts w:cstheme="minorHAnsi"/>
                <w:sz w:val="18"/>
                <w:szCs w:val="18"/>
              </w:rPr>
            </w:pPr>
            <w:r w:rsidRPr="00776ABA">
              <w:rPr>
                <w:rFonts w:cstheme="minorHAnsi"/>
                <w:b/>
                <w:bCs/>
                <w:sz w:val="18"/>
                <w:szCs w:val="18"/>
              </w:rPr>
              <w:t xml:space="preserve">Gender trainings: </w:t>
            </w:r>
            <w:r w:rsidRPr="00776ABA">
              <w:rPr>
                <w:rFonts w:cstheme="minorHAnsi"/>
                <w:sz w:val="18"/>
                <w:szCs w:val="18"/>
              </w:rPr>
              <w:t>While CIF will not track all types of trainings directly, projects are encouraged to also measure trainings designed to address gender considerations, such as women’s awareness of productive use applications and trainings focused on providing women green skills that enable them to access medium and high-skilled green jobs.</w:t>
            </w:r>
          </w:p>
        </w:tc>
      </w:tr>
      <w:tr w:rsidR="0043498D" w:rsidRPr="00776ABA" w14:paraId="0AB25347" w14:textId="77777777" w:rsidTr="004A512C">
        <w:trPr>
          <w:trHeight w:val="432"/>
        </w:trPr>
        <w:tc>
          <w:tcPr>
            <w:tcW w:w="1799" w:type="dxa"/>
            <w:vMerge/>
            <w:shd w:val="clear" w:color="auto" w:fill="D9E2F3" w:themeFill="accent1" w:themeFillTint="33"/>
            <w:vAlign w:val="center"/>
          </w:tcPr>
          <w:p w14:paraId="66F9FEFE" w14:textId="77777777" w:rsidR="003B3F51" w:rsidRPr="00776ABA" w:rsidRDefault="003B3F51">
            <w:pPr>
              <w:rPr>
                <w:rFonts w:cstheme="minorHAnsi"/>
                <w:b/>
                <w:bCs/>
                <w:color w:val="FFFFFF" w:themeColor="background1"/>
                <w:sz w:val="18"/>
                <w:szCs w:val="18"/>
              </w:rPr>
            </w:pPr>
          </w:p>
        </w:tc>
        <w:tc>
          <w:tcPr>
            <w:tcW w:w="1801" w:type="dxa"/>
            <w:shd w:val="clear" w:color="auto" w:fill="FBE4D5" w:themeFill="accent2" w:themeFillTint="33"/>
            <w:vAlign w:val="center"/>
          </w:tcPr>
          <w:p w14:paraId="1FB842FF" w14:textId="77777777" w:rsidR="003B3F51" w:rsidRPr="00776ABA" w:rsidRDefault="003B3F51">
            <w:pPr>
              <w:rPr>
                <w:rFonts w:cstheme="minorHAnsi"/>
                <w:sz w:val="18"/>
                <w:szCs w:val="18"/>
              </w:rPr>
            </w:pPr>
            <w:r w:rsidRPr="00776ABA">
              <w:rPr>
                <w:rFonts w:cstheme="minorHAnsi"/>
                <w:sz w:val="18"/>
                <w:szCs w:val="18"/>
              </w:rPr>
              <w:t>OPTIONAL (REI Optional Output 9): Number of technical/financial analyses completed to enhance the enabling environment for RE uptake (#)</w:t>
            </w:r>
          </w:p>
        </w:tc>
        <w:tc>
          <w:tcPr>
            <w:tcW w:w="1198" w:type="dxa"/>
            <w:shd w:val="clear" w:color="auto" w:fill="FBE4D5" w:themeFill="accent2" w:themeFillTint="33"/>
            <w:vAlign w:val="center"/>
          </w:tcPr>
          <w:p w14:paraId="7AEEF99D" w14:textId="77777777" w:rsidR="003B3F51" w:rsidRPr="00776ABA" w:rsidRDefault="003B3F51">
            <w:pPr>
              <w:jc w:val="center"/>
              <w:rPr>
                <w:rFonts w:cstheme="minorHAnsi"/>
                <w:sz w:val="18"/>
                <w:szCs w:val="18"/>
              </w:rPr>
            </w:pPr>
            <w:r w:rsidRPr="00776ABA">
              <w:rPr>
                <w:rFonts w:cstheme="minorHAnsi"/>
                <w:sz w:val="18"/>
                <w:szCs w:val="18"/>
              </w:rPr>
              <w:t>0</w:t>
            </w:r>
          </w:p>
        </w:tc>
        <w:tc>
          <w:tcPr>
            <w:tcW w:w="1067" w:type="dxa"/>
            <w:shd w:val="clear" w:color="auto" w:fill="FBE4D5" w:themeFill="accent2" w:themeFillTint="33"/>
            <w:vAlign w:val="center"/>
          </w:tcPr>
          <w:p w14:paraId="3CEAF917" w14:textId="77777777" w:rsidR="003B3F51" w:rsidRPr="00776ABA" w:rsidRDefault="003B3F51">
            <w:pPr>
              <w:jc w:val="center"/>
              <w:rPr>
                <w:rFonts w:cstheme="minorHAnsi"/>
                <w:b/>
                <w:bCs/>
                <w:color w:val="FFFFFF" w:themeColor="background1"/>
                <w:sz w:val="18"/>
                <w:szCs w:val="18"/>
              </w:rPr>
            </w:pPr>
          </w:p>
          <w:p w14:paraId="1D62C757" w14:textId="77777777" w:rsidR="003B3F51" w:rsidRPr="00776ABA" w:rsidRDefault="003B3F51">
            <w:pPr>
              <w:jc w:val="center"/>
              <w:rPr>
                <w:rFonts w:cstheme="minorHAnsi"/>
                <w:b/>
                <w:bCs/>
                <w:color w:val="FFFFFF" w:themeColor="background1"/>
                <w:sz w:val="18"/>
                <w:szCs w:val="18"/>
              </w:rPr>
            </w:pPr>
          </w:p>
          <w:p w14:paraId="7186223A" w14:textId="77777777" w:rsidR="003B3F51" w:rsidRPr="00776ABA" w:rsidRDefault="003B3F51">
            <w:pPr>
              <w:jc w:val="center"/>
              <w:rPr>
                <w:rFonts w:cstheme="minorHAnsi"/>
                <w:b/>
                <w:bCs/>
                <w:color w:val="FFFFFF" w:themeColor="background1"/>
                <w:sz w:val="18"/>
                <w:szCs w:val="18"/>
              </w:rPr>
            </w:pPr>
          </w:p>
          <w:p w14:paraId="41DC122B" w14:textId="77777777" w:rsidR="003B3F51" w:rsidRPr="00776ABA" w:rsidRDefault="003B3F51">
            <w:pPr>
              <w:jc w:val="center"/>
              <w:rPr>
                <w:rFonts w:cstheme="minorHAnsi"/>
                <w:color w:val="000000" w:themeColor="text1"/>
                <w:sz w:val="18"/>
                <w:szCs w:val="18"/>
              </w:rPr>
            </w:pPr>
          </w:p>
          <w:p w14:paraId="32B1C248" w14:textId="77777777" w:rsidR="003B3F51" w:rsidRPr="00776ABA" w:rsidRDefault="003B3F51">
            <w:pPr>
              <w:jc w:val="center"/>
              <w:rPr>
                <w:rFonts w:cstheme="minorHAnsi"/>
                <w:color w:val="000000" w:themeColor="text1"/>
                <w:sz w:val="18"/>
                <w:szCs w:val="18"/>
              </w:rPr>
            </w:pPr>
          </w:p>
          <w:p w14:paraId="687702A5" w14:textId="77777777" w:rsidR="003B3F51" w:rsidRPr="00776ABA" w:rsidRDefault="003B3F51">
            <w:pPr>
              <w:jc w:val="center"/>
              <w:rPr>
                <w:rFonts w:cstheme="minorHAnsi"/>
                <w:b/>
                <w:bCs/>
                <w:color w:val="FFFFFF" w:themeColor="background1"/>
                <w:sz w:val="18"/>
                <w:szCs w:val="18"/>
              </w:rPr>
            </w:pPr>
            <w:r w:rsidRPr="00776ABA">
              <w:rPr>
                <w:rFonts w:cstheme="minorHAnsi"/>
                <w:color w:val="000000" w:themeColor="text1"/>
                <w:sz w:val="18"/>
                <w:szCs w:val="18"/>
              </w:rPr>
              <w:t>MDB project results/ operations data</w:t>
            </w:r>
          </w:p>
        </w:tc>
        <w:tc>
          <w:tcPr>
            <w:tcW w:w="951" w:type="dxa"/>
            <w:shd w:val="clear" w:color="auto" w:fill="FBE4D5" w:themeFill="accent2" w:themeFillTint="33"/>
            <w:vAlign w:val="center"/>
          </w:tcPr>
          <w:p w14:paraId="38AD6083" w14:textId="77777777" w:rsidR="003B3F51" w:rsidRPr="00776ABA" w:rsidRDefault="003B3F51">
            <w:pPr>
              <w:jc w:val="center"/>
              <w:rPr>
                <w:rFonts w:cstheme="minorHAnsi"/>
                <w:sz w:val="18"/>
                <w:szCs w:val="18"/>
              </w:rPr>
            </w:pPr>
          </w:p>
        </w:tc>
        <w:tc>
          <w:tcPr>
            <w:tcW w:w="2610" w:type="dxa"/>
            <w:shd w:val="clear" w:color="auto" w:fill="FBE4D5" w:themeFill="accent2" w:themeFillTint="33"/>
            <w:vAlign w:val="center"/>
          </w:tcPr>
          <w:p w14:paraId="6E5C62FE" w14:textId="77777777" w:rsidR="003B3F51" w:rsidRPr="00776ABA" w:rsidRDefault="003B3F51">
            <w:pPr>
              <w:rPr>
                <w:rFonts w:cstheme="minorHAnsi"/>
                <w:sz w:val="18"/>
                <w:szCs w:val="18"/>
              </w:rPr>
            </w:pPr>
            <w:r w:rsidRPr="00776ABA">
              <w:rPr>
                <w:rFonts w:cstheme="minorHAnsi"/>
                <w:sz w:val="18"/>
                <w:szCs w:val="18"/>
              </w:rPr>
              <w:t>This includes sectoral or market modelling, analyses, pricing methodologies, country diagnostics, studies, net billing schemes, poverty and social impact assessments (looking at accessibility, affordability and targeting of subsidies) and related technical assistance deliverables used to inform policy, regulatory change, and/or investment designs.</w:t>
            </w:r>
          </w:p>
        </w:tc>
        <w:tc>
          <w:tcPr>
            <w:tcW w:w="5604" w:type="dxa"/>
            <w:gridSpan w:val="2"/>
            <w:vMerge/>
            <w:shd w:val="clear" w:color="auto" w:fill="E7E6E6" w:themeFill="background2"/>
            <w:vAlign w:val="center"/>
          </w:tcPr>
          <w:p w14:paraId="694EAF92" w14:textId="77777777" w:rsidR="003B3F51" w:rsidRPr="00776ABA" w:rsidRDefault="003B3F51">
            <w:pPr>
              <w:rPr>
                <w:rFonts w:cstheme="minorHAnsi"/>
                <w:b/>
                <w:bCs/>
                <w:color w:val="FFFFFF" w:themeColor="background1"/>
                <w:sz w:val="18"/>
                <w:szCs w:val="18"/>
              </w:rPr>
            </w:pPr>
          </w:p>
        </w:tc>
      </w:tr>
      <w:tr w:rsidR="0043498D" w:rsidRPr="00776ABA" w14:paraId="291CF354" w14:textId="77777777" w:rsidTr="004A512C">
        <w:trPr>
          <w:trHeight w:val="1133"/>
        </w:trPr>
        <w:tc>
          <w:tcPr>
            <w:tcW w:w="1799" w:type="dxa"/>
            <w:vMerge/>
            <w:shd w:val="clear" w:color="auto" w:fill="D9E2F3" w:themeFill="accent1" w:themeFillTint="33"/>
            <w:vAlign w:val="center"/>
          </w:tcPr>
          <w:p w14:paraId="76317918" w14:textId="77777777" w:rsidR="003B3F51" w:rsidRPr="00776ABA" w:rsidRDefault="003B3F51">
            <w:pPr>
              <w:rPr>
                <w:rFonts w:cstheme="minorHAnsi"/>
                <w:sz w:val="18"/>
                <w:szCs w:val="18"/>
              </w:rPr>
            </w:pPr>
          </w:p>
        </w:tc>
        <w:tc>
          <w:tcPr>
            <w:tcW w:w="1801" w:type="dxa"/>
            <w:shd w:val="clear" w:color="auto" w:fill="FBE4D5" w:themeFill="accent2" w:themeFillTint="33"/>
            <w:vAlign w:val="center"/>
          </w:tcPr>
          <w:p w14:paraId="62FF97A9" w14:textId="77777777" w:rsidR="003B3F51" w:rsidRPr="00776ABA" w:rsidRDefault="003B3F51">
            <w:pPr>
              <w:rPr>
                <w:rFonts w:cstheme="minorHAnsi"/>
                <w:sz w:val="18"/>
                <w:szCs w:val="18"/>
              </w:rPr>
            </w:pPr>
            <w:r w:rsidRPr="00776ABA">
              <w:rPr>
                <w:rFonts w:cstheme="minorHAnsi"/>
                <w:sz w:val="18"/>
                <w:szCs w:val="18"/>
              </w:rPr>
              <w:t>OPTIONAL- (REI Optional Output 10) Number of persons trained on issues related to renewable energy markets and systems (#)</w:t>
            </w:r>
          </w:p>
          <w:p w14:paraId="026A17AC" w14:textId="77777777" w:rsidR="003B3F51" w:rsidRPr="00776ABA" w:rsidRDefault="003B3F51">
            <w:pPr>
              <w:rPr>
                <w:rFonts w:cstheme="minorHAnsi"/>
                <w:sz w:val="18"/>
                <w:szCs w:val="18"/>
              </w:rPr>
            </w:pPr>
          </w:p>
        </w:tc>
        <w:tc>
          <w:tcPr>
            <w:tcW w:w="1198" w:type="dxa"/>
            <w:shd w:val="clear" w:color="auto" w:fill="FBE4D5" w:themeFill="accent2" w:themeFillTint="33"/>
            <w:vAlign w:val="center"/>
          </w:tcPr>
          <w:p w14:paraId="3B1ADCD4" w14:textId="77777777" w:rsidR="003B3F51" w:rsidRPr="00776ABA" w:rsidRDefault="003B3F51">
            <w:pPr>
              <w:jc w:val="center"/>
              <w:rPr>
                <w:rFonts w:cstheme="minorHAnsi"/>
                <w:sz w:val="18"/>
                <w:szCs w:val="18"/>
              </w:rPr>
            </w:pPr>
            <w:r w:rsidRPr="00776ABA">
              <w:rPr>
                <w:rFonts w:cstheme="minorHAnsi"/>
                <w:sz w:val="18"/>
                <w:szCs w:val="18"/>
              </w:rPr>
              <w:lastRenderedPageBreak/>
              <w:t>0</w:t>
            </w:r>
          </w:p>
        </w:tc>
        <w:tc>
          <w:tcPr>
            <w:tcW w:w="1067" w:type="dxa"/>
            <w:shd w:val="clear" w:color="auto" w:fill="FBE4D5" w:themeFill="accent2" w:themeFillTint="33"/>
            <w:vAlign w:val="center"/>
          </w:tcPr>
          <w:p w14:paraId="10968577" w14:textId="77777777" w:rsidR="003B3F51" w:rsidRPr="00776ABA" w:rsidRDefault="003B3F51">
            <w:pPr>
              <w:rPr>
                <w:rFonts w:cstheme="minorHAnsi"/>
                <w:sz w:val="18"/>
                <w:szCs w:val="18"/>
              </w:rPr>
            </w:pPr>
          </w:p>
          <w:p w14:paraId="798AE58B" w14:textId="77777777" w:rsidR="003B3F51" w:rsidRPr="00776ABA" w:rsidRDefault="003B3F51">
            <w:pPr>
              <w:rPr>
                <w:rFonts w:cstheme="minorHAnsi"/>
                <w:sz w:val="18"/>
                <w:szCs w:val="18"/>
              </w:rPr>
            </w:pPr>
          </w:p>
          <w:p w14:paraId="6094F1FE" w14:textId="77777777" w:rsidR="003B3F51" w:rsidRPr="00776ABA" w:rsidRDefault="003B3F51">
            <w:pPr>
              <w:jc w:val="center"/>
              <w:rPr>
                <w:rFonts w:cstheme="minorHAnsi"/>
                <w:sz w:val="18"/>
                <w:szCs w:val="18"/>
              </w:rPr>
            </w:pPr>
            <w:r w:rsidRPr="00776ABA">
              <w:rPr>
                <w:rFonts w:cstheme="minorHAnsi"/>
                <w:sz w:val="18"/>
                <w:szCs w:val="18"/>
              </w:rPr>
              <w:t>MDB project results data</w:t>
            </w:r>
          </w:p>
        </w:tc>
        <w:tc>
          <w:tcPr>
            <w:tcW w:w="951" w:type="dxa"/>
            <w:shd w:val="clear" w:color="auto" w:fill="FBE4D5" w:themeFill="accent2" w:themeFillTint="33"/>
            <w:vAlign w:val="center"/>
          </w:tcPr>
          <w:p w14:paraId="4D1477B6" w14:textId="77777777" w:rsidR="003B3F51" w:rsidRPr="00776ABA" w:rsidRDefault="003B3F51">
            <w:pPr>
              <w:rPr>
                <w:rFonts w:cstheme="minorHAnsi"/>
                <w:sz w:val="18"/>
                <w:szCs w:val="18"/>
              </w:rPr>
            </w:pPr>
          </w:p>
        </w:tc>
        <w:tc>
          <w:tcPr>
            <w:tcW w:w="2610" w:type="dxa"/>
            <w:shd w:val="clear" w:color="auto" w:fill="FBE4D5" w:themeFill="accent2" w:themeFillTint="33"/>
            <w:vAlign w:val="center"/>
          </w:tcPr>
          <w:p w14:paraId="2541642D" w14:textId="77777777" w:rsidR="003B3F51" w:rsidRPr="00776ABA" w:rsidRDefault="003B3F51">
            <w:pPr>
              <w:rPr>
                <w:rFonts w:cstheme="minorHAnsi"/>
                <w:sz w:val="18"/>
                <w:szCs w:val="18"/>
              </w:rPr>
            </w:pPr>
            <w:r w:rsidRPr="00776ABA">
              <w:rPr>
                <w:rFonts w:cstheme="minorHAnsi"/>
                <w:sz w:val="18"/>
                <w:szCs w:val="18"/>
              </w:rPr>
              <w:t>This indicator will feed into CIF 3 (total number of beneficiaries) where relevant.</w:t>
            </w:r>
          </w:p>
          <w:p w14:paraId="58ACCAC4" w14:textId="77777777" w:rsidR="003B3F51" w:rsidRPr="00776ABA" w:rsidRDefault="003B3F51">
            <w:pPr>
              <w:rPr>
                <w:rFonts w:cstheme="minorHAnsi"/>
                <w:sz w:val="18"/>
                <w:szCs w:val="18"/>
              </w:rPr>
            </w:pPr>
            <w:r w:rsidRPr="00776ABA">
              <w:rPr>
                <w:rFonts w:cstheme="minorHAnsi"/>
                <w:sz w:val="18"/>
                <w:szCs w:val="18"/>
                <w:u w:val="single"/>
              </w:rPr>
              <w:t>Disaggregation:</w:t>
            </w:r>
            <w:r w:rsidRPr="00776ABA">
              <w:rPr>
                <w:rFonts w:cstheme="minorHAnsi"/>
                <w:sz w:val="18"/>
                <w:szCs w:val="18"/>
              </w:rPr>
              <w:t xml:space="preserve"> By gender</w:t>
            </w:r>
          </w:p>
        </w:tc>
        <w:tc>
          <w:tcPr>
            <w:tcW w:w="5604" w:type="dxa"/>
            <w:gridSpan w:val="2"/>
            <w:vMerge/>
            <w:shd w:val="clear" w:color="auto" w:fill="E7E6E6" w:themeFill="background2"/>
            <w:vAlign w:val="center"/>
          </w:tcPr>
          <w:p w14:paraId="77EBB8C9" w14:textId="77777777" w:rsidR="003B3F51" w:rsidRPr="00776ABA" w:rsidRDefault="003B3F51">
            <w:pPr>
              <w:rPr>
                <w:rFonts w:cstheme="minorHAnsi"/>
                <w:sz w:val="18"/>
                <w:szCs w:val="18"/>
              </w:rPr>
            </w:pPr>
          </w:p>
        </w:tc>
      </w:tr>
      <w:tr w:rsidR="0043498D" w:rsidRPr="00776ABA" w14:paraId="19AEE202" w14:textId="77777777" w:rsidTr="004A512C">
        <w:trPr>
          <w:trHeight w:val="1133"/>
        </w:trPr>
        <w:tc>
          <w:tcPr>
            <w:tcW w:w="1799" w:type="dxa"/>
            <w:vMerge w:val="restart"/>
            <w:shd w:val="clear" w:color="auto" w:fill="D9E2F3" w:themeFill="accent1" w:themeFillTint="33"/>
            <w:vAlign w:val="center"/>
          </w:tcPr>
          <w:p w14:paraId="56AF9E2D" w14:textId="77777777" w:rsidR="003B3F51" w:rsidRPr="00776ABA" w:rsidRDefault="003B3F51">
            <w:pPr>
              <w:rPr>
                <w:rFonts w:cstheme="minorHAnsi"/>
                <w:b/>
                <w:bCs/>
                <w:sz w:val="18"/>
                <w:szCs w:val="18"/>
              </w:rPr>
            </w:pPr>
            <w:r w:rsidRPr="00776ABA">
              <w:rPr>
                <w:rFonts w:cstheme="minorHAnsi"/>
                <w:sz w:val="18"/>
                <w:szCs w:val="18"/>
              </w:rPr>
              <w:t>B. Deployment of energy storage systems</w:t>
            </w:r>
          </w:p>
        </w:tc>
        <w:tc>
          <w:tcPr>
            <w:tcW w:w="1801" w:type="dxa"/>
            <w:shd w:val="clear" w:color="auto" w:fill="FBE4D5" w:themeFill="accent2" w:themeFillTint="33"/>
            <w:vAlign w:val="center"/>
          </w:tcPr>
          <w:p w14:paraId="2A541B30" w14:textId="77777777" w:rsidR="003B3F51" w:rsidRPr="00776ABA" w:rsidRDefault="003B3F51">
            <w:pPr>
              <w:rPr>
                <w:rFonts w:cstheme="minorHAnsi"/>
                <w:sz w:val="18"/>
                <w:szCs w:val="18"/>
              </w:rPr>
            </w:pPr>
            <w:r w:rsidRPr="00776ABA">
              <w:rPr>
                <w:rFonts w:cstheme="minorHAnsi"/>
                <w:b/>
                <w:bCs/>
                <w:sz w:val="18"/>
                <w:szCs w:val="18"/>
              </w:rPr>
              <w:t xml:space="preserve">GESP 1. Energy Rating: </w:t>
            </w:r>
            <w:r w:rsidRPr="00776ABA">
              <w:rPr>
                <w:rFonts w:cstheme="minorHAnsi"/>
                <w:sz w:val="18"/>
                <w:szCs w:val="18"/>
              </w:rPr>
              <w:t>Energy rating (MWh) of storage systems installed</w:t>
            </w:r>
          </w:p>
        </w:tc>
        <w:tc>
          <w:tcPr>
            <w:tcW w:w="1198" w:type="dxa"/>
            <w:shd w:val="clear" w:color="auto" w:fill="FBE4D5" w:themeFill="accent2" w:themeFillTint="33"/>
            <w:vAlign w:val="center"/>
          </w:tcPr>
          <w:p w14:paraId="77A3B70F" w14:textId="77777777" w:rsidR="003B3F51" w:rsidRPr="00776ABA" w:rsidRDefault="003B3F51">
            <w:pPr>
              <w:jc w:val="center"/>
              <w:rPr>
                <w:rFonts w:cstheme="minorHAnsi"/>
                <w:sz w:val="18"/>
                <w:szCs w:val="18"/>
              </w:rPr>
            </w:pPr>
            <w:r w:rsidRPr="00776ABA">
              <w:rPr>
                <w:rFonts w:cstheme="minorHAnsi"/>
                <w:sz w:val="18"/>
                <w:szCs w:val="18"/>
              </w:rPr>
              <w:t>0</w:t>
            </w:r>
          </w:p>
        </w:tc>
        <w:tc>
          <w:tcPr>
            <w:tcW w:w="1067" w:type="dxa"/>
            <w:shd w:val="clear" w:color="auto" w:fill="FBE4D5" w:themeFill="accent2" w:themeFillTint="33"/>
            <w:vAlign w:val="center"/>
          </w:tcPr>
          <w:p w14:paraId="5EB2A43F" w14:textId="77777777" w:rsidR="003B3F51" w:rsidRPr="00776ABA" w:rsidRDefault="003B3F51">
            <w:pPr>
              <w:rPr>
                <w:rFonts w:cstheme="minorHAnsi"/>
                <w:sz w:val="18"/>
                <w:szCs w:val="18"/>
              </w:rPr>
            </w:pPr>
          </w:p>
          <w:p w14:paraId="0653F103" w14:textId="77777777" w:rsidR="003B3F51" w:rsidRPr="00776ABA" w:rsidRDefault="003B3F51">
            <w:pPr>
              <w:rPr>
                <w:rFonts w:cstheme="minorHAnsi"/>
                <w:sz w:val="18"/>
                <w:szCs w:val="18"/>
              </w:rPr>
            </w:pPr>
          </w:p>
          <w:p w14:paraId="5D51B7AF" w14:textId="77777777" w:rsidR="003B3F51" w:rsidRPr="00776ABA" w:rsidRDefault="003B3F51">
            <w:pPr>
              <w:rPr>
                <w:rFonts w:cstheme="minorHAnsi"/>
                <w:sz w:val="18"/>
                <w:szCs w:val="18"/>
              </w:rPr>
            </w:pPr>
          </w:p>
          <w:p w14:paraId="2300AC3D" w14:textId="77777777" w:rsidR="003B3F51" w:rsidRPr="00776ABA" w:rsidRDefault="003B3F51">
            <w:pPr>
              <w:rPr>
                <w:rFonts w:cstheme="minorHAnsi"/>
                <w:sz w:val="18"/>
                <w:szCs w:val="18"/>
              </w:rPr>
            </w:pPr>
          </w:p>
          <w:p w14:paraId="6BDC56B5" w14:textId="77777777" w:rsidR="003B3F51" w:rsidRPr="00776ABA" w:rsidRDefault="003B3F51">
            <w:pPr>
              <w:rPr>
                <w:rFonts w:cstheme="minorHAnsi"/>
                <w:sz w:val="18"/>
                <w:szCs w:val="18"/>
              </w:rPr>
            </w:pPr>
          </w:p>
          <w:p w14:paraId="7EF74095" w14:textId="77777777" w:rsidR="003B3F51" w:rsidRPr="00776ABA" w:rsidRDefault="003B3F51">
            <w:pPr>
              <w:rPr>
                <w:rFonts w:cstheme="minorHAnsi"/>
                <w:sz w:val="18"/>
                <w:szCs w:val="18"/>
              </w:rPr>
            </w:pPr>
            <w:r w:rsidRPr="00776ABA">
              <w:rPr>
                <w:rFonts w:cstheme="minorHAnsi"/>
                <w:sz w:val="18"/>
                <w:szCs w:val="18"/>
              </w:rPr>
              <w:t>MDB project results data/ technical specifications</w:t>
            </w:r>
          </w:p>
        </w:tc>
        <w:tc>
          <w:tcPr>
            <w:tcW w:w="951" w:type="dxa"/>
            <w:shd w:val="clear" w:color="auto" w:fill="FBE4D5" w:themeFill="accent2" w:themeFillTint="33"/>
            <w:vAlign w:val="center"/>
          </w:tcPr>
          <w:p w14:paraId="6E758472" w14:textId="77777777" w:rsidR="003B3F51" w:rsidRPr="00776ABA" w:rsidRDefault="003B3F51">
            <w:pPr>
              <w:rPr>
                <w:rFonts w:cstheme="minorHAnsi"/>
                <w:sz w:val="18"/>
                <w:szCs w:val="18"/>
              </w:rPr>
            </w:pPr>
          </w:p>
        </w:tc>
        <w:tc>
          <w:tcPr>
            <w:tcW w:w="2610" w:type="dxa"/>
            <w:shd w:val="clear" w:color="auto" w:fill="FBE4D5" w:themeFill="accent2" w:themeFillTint="33"/>
            <w:vAlign w:val="center"/>
          </w:tcPr>
          <w:p w14:paraId="2D66EE0B" w14:textId="77777777" w:rsidR="003B3F51" w:rsidRPr="00776ABA" w:rsidRDefault="003B3F51">
            <w:pPr>
              <w:rPr>
                <w:rFonts w:cstheme="minorHAnsi"/>
                <w:b/>
                <w:bCs/>
                <w:sz w:val="18"/>
                <w:szCs w:val="18"/>
              </w:rPr>
            </w:pPr>
            <w:r w:rsidRPr="00776ABA">
              <w:rPr>
                <w:rFonts w:cstheme="minorHAnsi"/>
                <w:b/>
                <w:bCs/>
                <w:sz w:val="18"/>
                <w:szCs w:val="18"/>
              </w:rPr>
              <w:t>This indicator corresponds to GESP-Specific Indicator 1 in the GESP M&amp;R System and should only be reported by REI projects with energy storage components.</w:t>
            </w:r>
          </w:p>
          <w:p w14:paraId="60C6F3BC" w14:textId="77777777" w:rsidR="003B3F51" w:rsidRPr="00776ABA" w:rsidRDefault="003B3F51">
            <w:pPr>
              <w:rPr>
                <w:rFonts w:cstheme="minorHAnsi"/>
                <w:sz w:val="18"/>
                <w:szCs w:val="18"/>
              </w:rPr>
            </w:pPr>
          </w:p>
          <w:p w14:paraId="4B816809" w14:textId="77777777" w:rsidR="003B3F51" w:rsidRPr="00776ABA" w:rsidRDefault="003B3F51">
            <w:pPr>
              <w:rPr>
                <w:rFonts w:cstheme="minorHAnsi"/>
                <w:sz w:val="18"/>
                <w:szCs w:val="18"/>
              </w:rPr>
            </w:pPr>
            <w:r w:rsidRPr="00776ABA">
              <w:rPr>
                <w:rFonts w:cstheme="minorHAnsi"/>
                <w:sz w:val="18"/>
                <w:szCs w:val="18"/>
                <w:u w:val="single"/>
              </w:rPr>
              <w:t>Disaggregation:</w:t>
            </w:r>
            <w:r w:rsidRPr="00776ABA">
              <w:rPr>
                <w:rFonts w:cstheme="minorHAnsi"/>
                <w:sz w:val="18"/>
                <w:szCs w:val="18"/>
              </w:rPr>
              <w:t xml:space="preserve"> By type of technology (i.e., thermal, mechanical, electrochemical)</w:t>
            </w:r>
          </w:p>
          <w:p w14:paraId="3E80FAF6" w14:textId="77777777" w:rsidR="003B3F51" w:rsidRPr="00776ABA" w:rsidRDefault="003B3F51">
            <w:pPr>
              <w:rPr>
                <w:rFonts w:cstheme="minorHAnsi"/>
                <w:sz w:val="18"/>
                <w:szCs w:val="18"/>
              </w:rPr>
            </w:pPr>
          </w:p>
          <w:p w14:paraId="75287319" w14:textId="77777777" w:rsidR="003B3F51" w:rsidRPr="00776ABA" w:rsidRDefault="003B3F51">
            <w:pPr>
              <w:rPr>
                <w:rFonts w:cstheme="minorHAnsi"/>
                <w:sz w:val="18"/>
                <w:szCs w:val="18"/>
              </w:rPr>
            </w:pPr>
            <w:r w:rsidRPr="00776ABA">
              <w:rPr>
                <w:rFonts w:cstheme="minorHAnsi"/>
                <w:sz w:val="18"/>
                <w:szCs w:val="18"/>
              </w:rPr>
              <w:t>By location on the energy value chain (generation, transmission, distribution, stationary end use, mobile end use)</w:t>
            </w:r>
          </w:p>
          <w:p w14:paraId="2BD48E14" w14:textId="77777777" w:rsidR="003B3F51" w:rsidRPr="00776ABA" w:rsidRDefault="003B3F51">
            <w:pPr>
              <w:rPr>
                <w:rFonts w:cstheme="minorHAnsi"/>
                <w:sz w:val="18"/>
                <w:szCs w:val="18"/>
              </w:rPr>
            </w:pPr>
            <w:r w:rsidRPr="00776ABA">
              <w:rPr>
                <w:rFonts w:cstheme="minorHAnsi"/>
                <w:sz w:val="18"/>
                <w:szCs w:val="18"/>
              </w:rPr>
              <w:t>Distributed storage vs. utility-scale applications</w:t>
            </w:r>
          </w:p>
          <w:p w14:paraId="145B62D2" w14:textId="77777777" w:rsidR="003B3F51" w:rsidRPr="00776ABA" w:rsidRDefault="003B3F51">
            <w:pPr>
              <w:rPr>
                <w:rFonts w:cstheme="minorHAnsi"/>
                <w:sz w:val="18"/>
                <w:szCs w:val="18"/>
              </w:rPr>
            </w:pPr>
          </w:p>
        </w:tc>
        <w:tc>
          <w:tcPr>
            <w:tcW w:w="5604" w:type="dxa"/>
            <w:gridSpan w:val="2"/>
            <w:vMerge w:val="restart"/>
            <w:shd w:val="clear" w:color="auto" w:fill="E7E6E6" w:themeFill="background2"/>
            <w:vAlign w:val="center"/>
          </w:tcPr>
          <w:p w14:paraId="10EAC5B1" w14:textId="77777777" w:rsidR="003B3F51" w:rsidRPr="00776ABA" w:rsidRDefault="003B3F51">
            <w:pPr>
              <w:rPr>
                <w:rFonts w:cstheme="minorHAnsi"/>
                <w:sz w:val="18"/>
                <w:szCs w:val="18"/>
              </w:rPr>
            </w:pPr>
          </w:p>
        </w:tc>
      </w:tr>
      <w:tr w:rsidR="0043498D" w:rsidRPr="00776ABA" w14:paraId="6F25235C" w14:textId="77777777" w:rsidTr="004A512C">
        <w:trPr>
          <w:trHeight w:val="1133"/>
        </w:trPr>
        <w:tc>
          <w:tcPr>
            <w:tcW w:w="1799" w:type="dxa"/>
            <w:vMerge/>
            <w:shd w:val="clear" w:color="auto" w:fill="D9E2F3" w:themeFill="accent1" w:themeFillTint="33"/>
            <w:vAlign w:val="center"/>
          </w:tcPr>
          <w:p w14:paraId="65211DDF" w14:textId="77777777" w:rsidR="003B3F51" w:rsidRPr="00776ABA" w:rsidRDefault="003B3F51">
            <w:pPr>
              <w:rPr>
                <w:rFonts w:cstheme="minorHAnsi"/>
                <w:b/>
                <w:bCs/>
                <w:sz w:val="18"/>
                <w:szCs w:val="18"/>
              </w:rPr>
            </w:pPr>
          </w:p>
        </w:tc>
        <w:tc>
          <w:tcPr>
            <w:tcW w:w="1801" w:type="dxa"/>
            <w:shd w:val="clear" w:color="auto" w:fill="FBE4D5" w:themeFill="accent2" w:themeFillTint="33"/>
            <w:vAlign w:val="center"/>
          </w:tcPr>
          <w:p w14:paraId="4283E83A" w14:textId="77777777" w:rsidR="003B3F51" w:rsidRPr="00776ABA" w:rsidRDefault="003B3F51">
            <w:pPr>
              <w:rPr>
                <w:rFonts w:cstheme="minorHAnsi"/>
                <w:b/>
                <w:bCs/>
                <w:sz w:val="18"/>
                <w:szCs w:val="18"/>
              </w:rPr>
            </w:pPr>
            <w:r w:rsidRPr="00776ABA">
              <w:rPr>
                <w:rFonts w:cstheme="minorHAnsi"/>
                <w:b/>
                <w:bCs/>
                <w:sz w:val="18"/>
                <w:szCs w:val="18"/>
              </w:rPr>
              <w:t>GESP 2.</w:t>
            </w:r>
          </w:p>
          <w:p w14:paraId="5970C858" w14:textId="77777777" w:rsidR="003B3F51" w:rsidRPr="00776ABA" w:rsidRDefault="003B3F51">
            <w:pPr>
              <w:rPr>
                <w:rFonts w:cstheme="minorHAnsi"/>
                <w:sz w:val="18"/>
                <w:szCs w:val="18"/>
              </w:rPr>
            </w:pPr>
            <w:r w:rsidRPr="00776ABA">
              <w:rPr>
                <w:rFonts w:cstheme="minorHAnsi"/>
                <w:b/>
                <w:bCs/>
                <w:sz w:val="18"/>
                <w:szCs w:val="18"/>
              </w:rPr>
              <w:t xml:space="preserve">Power Rating: </w:t>
            </w:r>
            <w:r w:rsidRPr="00776ABA">
              <w:rPr>
                <w:rFonts w:cstheme="minorHAnsi"/>
                <w:sz w:val="18"/>
                <w:szCs w:val="18"/>
              </w:rPr>
              <w:t>Power rating (MW) of storage systems installed</w:t>
            </w:r>
          </w:p>
        </w:tc>
        <w:tc>
          <w:tcPr>
            <w:tcW w:w="1198" w:type="dxa"/>
            <w:shd w:val="clear" w:color="auto" w:fill="FBE4D5" w:themeFill="accent2" w:themeFillTint="33"/>
            <w:vAlign w:val="center"/>
          </w:tcPr>
          <w:p w14:paraId="56C2B88D" w14:textId="77777777" w:rsidR="003B3F51" w:rsidRPr="00776ABA" w:rsidRDefault="003B3F51">
            <w:pPr>
              <w:jc w:val="center"/>
              <w:rPr>
                <w:rFonts w:cstheme="minorHAnsi"/>
                <w:sz w:val="18"/>
                <w:szCs w:val="18"/>
              </w:rPr>
            </w:pPr>
            <w:r w:rsidRPr="00776ABA">
              <w:rPr>
                <w:rFonts w:cstheme="minorHAnsi"/>
                <w:sz w:val="18"/>
                <w:szCs w:val="18"/>
              </w:rPr>
              <w:t>0</w:t>
            </w:r>
          </w:p>
        </w:tc>
        <w:tc>
          <w:tcPr>
            <w:tcW w:w="1067" w:type="dxa"/>
            <w:shd w:val="clear" w:color="auto" w:fill="FBE4D5" w:themeFill="accent2" w:themeFillTint="33"/>
            <w:vAlign w:val="center"/>
          </w:tcPr>
          <w:p w14:paraId="072ED83C" w14:textId="77777777" w:rsidR="003B3F51" w:rsidRPr="00776ABA" w:rsidRDefault="003B3F51">
            <w:pPr>
              <w:rPr>
                <w:rFonts w:cstheme="minorHAnsi"/>
                <w:sz w:val="18"/>
                <w:szCs w:val="18"/>
              </w:rPr>
            </w:pPr>
            <w:r w:rsidRPr="00776ABA">
              <w:rPr>
                <w:rFonts w:cstheme="minorHAnsi"/>
                <w:sz w:val="18"/>
                <w:szCs w:val="18"/>
              </w:rPr>
              <w:t>MDB project results data/ technical specifications</w:t>
            </w:r>
          </w:p>
        </w:tc>
        <w:tc>
          <w:tcPr>
            <w:tcW w:w="951" w:type="dxa"/>
            <w:shd w:val="clear" w:color="auto" w:fill="FBE4D5" w:themeFill="accent2" w:themeFillTint="33"/>
            <w:vAlign w:val="center"/>
          </w:tcPr>
          <w:p w14:paraId="2B2A3590" w14:textId="77777777" w:rsidR="003B3F51" w:rsidRPr="00776ABA" w:rsidRDefault="003B3F51">
            <w:pPr>
              <w:rPr>
                <w:rFonts w:cstheme="minorHAnsi"/>
                <w:sz w:val="18"/>
                <w:szCs w:val="18"/>
              </w:rPr>
            </w:pPr>
          </w:p>
        </w:tc>
        <w:tc>
          <w:tcPr>
            <w:tcW w:w="2610" w:type="dxa"/>
            <w:shd w:val="clear" w:color="auto" w:fill="FBE4D5" w:themeFill="accent2" w:themeFillTint="33"/>
            <w:vAlign w:val="center"/>
          </w:tcPr>
          <w:p w14:paraId="0D559EE5" w14:textId="77777777" w:rsidR="003B3F51" w:rsidRPr="00776ABA" w:rsidRDefault="003B3F51">
            <w:pPr>
              <w:rPr>
                <w:rFonts w:cstheme="minorHAnsi"/>
                <w:b/>
                <w:bCs/>
                <w:color w:val="000000" w:themeColor="text1"/>
                <w:sz w:val="18"/>
                <w:szCs w:val="18"/>
              </w:rPr>
            </w:pPr>
            <w:r w:rsidRPr="00776ABA">
              <w:rPr>
                <w:rFonts w:cstheme="minorHAnsi"/>
                <w:b/>
                <w:bCs/>
                <w:color w:val="000000" w:themeColor="text1"/>
                <w:sz w:val="18"/>
                <w:szCs w:val="18"/>
              </w:rPr>
              <w:t>This indicator corresponds to GESP-Specific Indicator 2 in the GESP M&amp;R System and should only be reported by REI projects with energy storage components.</w:t>
            </w:r>
          </w:p>
          <w:p w14:paraId="28BD78E8" w14:textId="77777777" w:rsidR="003B3F51" w:rsidRPr="00776ABA" w:rsidRDefault="003B3F51">
            <w:pPr>
              <w:rPr>
                <w:rFonts w:cstheme="minorHAnsi"/>
                <w:sz w:val="18"/>
                <w:szCs w:val="18"/>
              </w:rPr>
            </w:pPr>
            <w:r w:rsidRPr="00776ABA">
              <w:rPr>
                <w:rFonts w:cstheme="minorHAnsi"/>
                <w:sz w:val="18"/>
                <w:szCs w:val="18"/>
                <w:u w:val="single"/>
              </w:rPr>
              <w:t>Disaggregation:</w:t>
            </w:r>
            <w:r w:rsidRPr="00776ABA">
              <w:rPr>
                <w:rFonts w:cstheme="minorHAnsi"/>
                <w:sz w:val="18"/>
                <w:szCs w:val="18"/>
              </w:rPr>
              <w:t xml:space="preserve"> should follow the format of the above indicator.</w:t>
            </w:r>
          </w:p>
        </w:tc>
        <w:tc>
          <w:tcPr>
            <w:tcW w:w="5604" w:type="dxa"/>
            <w:gridSpan w:val="2"/>
            <w:vMerge/>
            <w:shd w:val="clear" w:color="auto" w:fill="E7E6E6" w:themeFill="background2"/>
            <w:vAlign w:val="center"/>
          </w:tcPr>
          <w:p w14:paraId="07D41B3A" w14:textId="77777777" w:rsidR="003B3F51" w:rsidRPr="00776ABA" w:rsidRDefault="003B3F51">
            <w:pPr>
              <w:rPr>
                <w:rFonts w:cstheme="minorHAnsi"/>
                <w:sz w:val="18"/>
                <w:szCs w:val="18"/>
              </w:rPr>
            </w:pPr>
          </w:p>
        </w:tc>
      </w:tr>
    </w:tbl>
    <w:p w14:paraId="5B28B1C2" w14:textId="7BD31AC8" w:rsidR="003136B7" w:rsidRPr="00776ABA" w:rsidRDefault="003136B7" w:rsidP="003136B7">
      <w:pPr>
        <w:spacing w:after="0" w:line="257" w:lineRule="auto"/>
        <w:rPr>
          <w:rFonts w:cstheme="minorHAnsi"/>
          <w:sz w:val="18"/>
          <w:szCs w:val="18"/>
        </w:rPr>
      </w:pPr>
    </w:p>
    <w:p w14:paraId="4A3B83B1" w14:textId="19BEDE8D" w:rsidR="00235661" w:rsidRPr="00776ABA" w:rsidRDefault="00235661" w:rsidP="007737BF">
      <w:pPr>
        <w:spacing w:after="0" w:line="257" w:lineRule="auto"/>
        <w:rPr>
          <w:rFonts w:cstheme="minorHAnsi"/>
          <w:sz w:val="18"/>
          <w:szCs w:val="18"/>
        </w:rPr>
      </w:pPr>
    </w:p>
    <w:sectPr w:rsidR="00235661" w:rsidRPr="00776ABA" w:rsidSect="004E52F0">
      <w:pgSz w:w="15840" w:h="12240" w:orient="landscape"/>
      <w:pgMar w:top="1440" w:right="1440" w:bottom="1440" w:left="15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4565" w14:textId="77777777" w:rsidR="00CA1A1D" w:rsidRDefault="00CA1A1D" w:rsidP="000D198D">
      <w:pPr>
        <w:spacing w:after="0" w:line="240" w:lineRule="auto"/>
      </w:pPr>
      <w:r>
        <w:separator/>
      </w:r>
    </w:p>
  </w:endnote>
  <w:endnote w:type="continuationSeparator" w:id="0">
    <w:p w14:paraId="31B4835C" w14:textId="77777777" w:rsidR="00CA1A1D" w:rsidRDefault="00CA1A1D" w:rsidP="000D198D">
      <w:pPr>
        <w:spacing w:after="0" w:line="240" w:lineRule="auto"/>
      </w:pPr>
      <w:r>
        <w:continuationSeparator/>
      </w:r>
    </w:p>
  </w:endnote>
  <w:endnote w:type="continuationNotice" w:id="1">
    <w:p w14:paraId="6C8B1A7F" w14:textId="77777777" w:rsidR="00CA1A1D" w:rsidRDefault="00CA1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FB90" w14:textId="70E9C802" w:rsidR="003F1C1D" w:rsidRDefault="008D3907">
    <w:pPr>
      <w:pStyle w:val="Footer"/>
    </w:pPr>
    <w:r>
      <w:rPr>
        <w:noProof/>
      </w:rPr>
      <mc:AlternateContent>
        <mc:Choice Requires="wps">
          <w:drawing>
            <wp:anchor distT="0" distB="0" distL="0" distR="0" simplePos="0" relativeHeight="251661312" behindDoc="0" locked="0" layoutInCell="1" allowOverlap="1" wp14:anchorId="4667BC1D" wp14:editId="1A274E0B">
              <wp:simplePos x="0" y="0"/>
              <wp:positionH relativeFrom="page">
                <wp:align>center</wp:align>
              </wp:positionH>
              <wp:positionV relativeFrom="page">
                <wp:align>bottom</wp:align>
              </wp:positionV>
              <wp:extent cx="443865" cy="4438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0FB902C" w14:textId="5DD6C69E" w:rsidR="003F1C1D" w:rsidRPr="003F1C1D" w:rsidRDefault="003F1C1D" w:rsidP="003F1C1D">
                          <w:pPr>
                            <w:spacing w:after="0"/>
                            <w:rPr>
                              <w:rFonts w:ascii="Calibri" w:eastAsia="Calibri" w:hAnsi="Calibri" w:cs="Calibri"/>
                              <w:noProof/>
                              <w:color w:val="0000FF"/>
                              <w:sz w:val="20"/>
                              <w:szCs w:val="20"/>
                            </w:rPr>
                          </w:pPr>
                          <w:r w:rsidRPr="003F1C1D">
                            <w:rPr>
                              <w:rFonts w:ascii="Calibri" w:eastAsia="Calibri" w:hAnsi="Calibri" w:cs="Calibri"/>
                              <w:noProof/>
                              <w:color w:val="0000FF"/>
                              <w:sz w:val="20"/>
                              <w:szCs w:val="20"/>
                            </w:rPr>
                            <w:t>OFFICIAL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667BC1D" id="_x0000_t202" coordsize="21600,21600" o:spt="202" path="m,l,21600r21600,l21600,xe">
              <v:stroke joinstyle="miter"/>
              <v:path gradientshapeok="t" o:connecttype="rect"/>
            </v:shapetype>
            <v:shape id="Text Box 5" o:spid="_x0000_s1028" type="#_x0000_t202" style="position:absolute;left:0;text-align:left;margin-left:0;margin-top:0;width:34.95pt;height:34.95pt;z-index:251661312;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FJD&#10;IwoXAgAANQQAAA4AAAAAAAAAAAAAAAAALgIAAGRycy9lMm9Eb2MueG1sUEsBAi0AFAAGAAgAAAAh&#10;ADft0fjZAAAAAwEAAA8AAAAAAAAAAAAAAAAAcQQAAGRycy9kb3ducmV2LnhtbFBLBQYAAAAABAAE&#10;APMAAAB3BQAAAAA=&#10;" filled="f" stroked="f">
              <v:textbox style="mso-fit-shape-to-text:t" inset="0,0,0,15pt">
                <w:txbxContent>
                  <w:p w14:paraId="50FB902C" w14:textId="5DD6C69E" w:rsidR="003F1C1D" w:rsidRPr="003F1C1D" w:rsidRDefault="003F1C1D" w:rsidP="003F1C1D">
                    <w:pPr>
                      <w:spacing w:after="0"/>
                      <w:rPr>
                        <w:rFonts w:ascii="Calibri" w:eastAsia="Calibri" w:hAnsi="Calibri" w:cs="Calibri"/>
                        <w:noProof/>
                        <w:color w:val="0000FF"/>
                        <w:sz w:val="20"/>
                        <w:szCs w:val="20"/>
                      </w:rPr>
                    </w:pPr>
                    <w:r w:rsidRPr="003F1C1D">
                      <w:rPr>
                        <w:rFonts w:ascii="Calibri" w:eastAsia="Calibri" w:hAnsi="Calibri" w:cs="Calibri"/>
                        <w:noProof/>
                        <w:color w:val="0000FF"/>
                        <w:sz w:val="20"/>
                        <w:szCs w:val="20"/>
                      </w:rPr>
                      <w:t>OFFICIAL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7271" w14:textId="00C4A648" w:rsidR="00533CA6" w:rsidRDefault="008D3907">
    <w:pPr>
      <w:pStyle w:val="Footer"/>
      <w:jc w:val="right"/>
    </w:pPr>
    <w:r>
      <w:rPr>
        <w:noProof/>
      </w:rPr>
      <mc:AlternateContent>
        <mc:Choice Requires="wps">
          <w:drawing>
            <wp:anchor distT="0" distB="0" distL="0" distR="0" simplePos="0" relativeHeight="251663360" behindDoc="0" locked="0" layoutInCell="1" allowOverlap="1" wp14:anchorId="04FFF90D" wp14:editId="05A0B176">
              <wp:simplePos x="0" y="0"/>
              <wp:positionH relativeFrom="page">
                <wp:align>center</wp:align>
              </wp:positionH>
              <wp:positionV relativeFrom="page">
                <wp:align>bottom</wp:align>
              </wp:positionV>
              <wp:extent cx="690245" cy="3575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357505"/>
                      </a:xfrm>
                      <a:prstGeom prst="rect">
                        <a:avLst/>
                      </a:prstGeom>
                      <a:noFill/>
                      <a:ln>
                        <a:noFill/>
                      </a:ln>
                    </wps:spPr>
                    <wps:txbx>
                      <w:txbxContent>
                        <w:p w14:paraId="2D2AC667" w14:textId="5D0A3BD3" w:rsidR="003F1C1D" w:rsidRPr="003F1C1D" w:rsidRDefault="003F1C1D" w:rsidP="003F1C1D">
                          <w:pPr>
                            <w:spacing w:after="0"/>
                            <w:rPr>
                              <w:rFonts w:ascii="Calibri" w:eastAsia="Calibri" w:hAnsi="Calibri" w:cs="Calibri"/>
                              <w:noProof/>
                              <w:color w:val="0000FF"/>
                              <w:sz w:val="20"/>
                              <w:szCs w:val="20"/>
                            </w:rPr>
                          </w:pPr>
                          <w:r w:rsidRPr="003F1C1D">
                            <w:rPr>
                              <w:rFonts w:ascii="Calibri" w:eastAsia="Calibri" w:hAnsi="Calibri" w:cs="Calibri"/>
                              <w:noProof/>
                              <w:color w:val="0000FF"/>
                              <w:sz w:val="20"/>
                              <w:szCs w:val="20"/>
                            </w:rPr>
                            <w:t>OFFICIAL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4FFF90D" id="_x0000_t202" coordsize="21600,21600" o:spt="202" path="m,l,21600r21600,l21600,xe">
              <v:stroke joinstyle="miter"/>
              <v:path gradientshapeok="t" o:connecttype="rect"/>
            </v:shapetype>
            <v:shape id="Text Box 4" o:spid="_x0000_s1029" type="#_x0000_t202" style="position:absolute;left:0;text-align:left;margin-left:0;margin-top:0;width:54.35pt;height:28.15pt;z-index:251663360;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" filled="f" stroked="f">
              <v:textbox style="mso-fit-shape-to-text:t" inset="0,0,0,15pt">
                <w:txbxContent>
                  <w:p w14:paraId="2D2AC667" w14:textId="5D0A3BD3" w:rsidR="003F1C1D" w:rsidRPr="003F1C1D" w:rsidRDefault="003F1C1D" w:rsidP="003F1C1D">
                    <w:pPr>
                      <w:spacing w:after="0"/>
                      <w:rPr>
                        <w:rFonts w:ascii="Calibri" w:eastAsia="Calibri" w:hAnsi="Calibri" w:cs="Calibri"/>
                        <w:noProof/>
                        <w:color w:val="0000FF"/>
                        <w:sz w:val="20"/>
                        <w:szCs w:val="20"/>
                      </w:rPr>
                    </w:pPr>
                    <w:r w:rsidRPr="003F1C1D">
                      <w:rPr>
                        <w:rFonts w:ascii="Calibri" w:eastAsia="Calibri" w:hAnsi="Calibri" w:cs="Calibri"/>
                        <w:noProof/>
                        <w:color w:val="0000FF"/>
                        <w:sz w:val="20"/>
                        <w:szCs w:val="20"/>
                      </w:rPr>
                      <w:t>OFFICIAL USE</w:t>
                    </w:r>
                  </w:p>
                </w:txbxContent>
              </v:textbox>
              <w10:wrap anchorx="page" anchory="page"/>
            </v:shape>
          </w:pict>
        </mc:Fallback>
      </mc:AlternateContent>
    </w:r>
    <w:sdt>
      <w:sdtPr>
        <w:id w:val="-733165689"/>
        <w:docPartObj>
          <w:docPartGallery w:val="Page Numbers (Bottom of Page)"/>
          <w:docPartUnique/>
        </w:docPartObj>
      </w:sdtPr>
      <w:sdtEndPr>
        <w:rPr>
          <w:noProof/>
        </w:rPr>
      </w:sdtEndPr>
      <w:sdtContent>
        <w:r w:rsidR="00533CA6">
          <w:fldChar w:fldCharType="begin"/>
        </w:r>
        <w:r w:rsidR="00533CA6">
          <w:instrText xml:space="preserve"> PAGE   \* MERGEFORMAT </w:instrText>
        </w:r>
        <w:r w:rsidR="00533CA6">
          <w:fldChar w:fldCharType="separate"/>
        </w:r>
        <w:r w:rsidR="00533CA6">
          <w:rPr>
            <w:noProof/>
          </w:rPr>
          <w:t>2</w:t>
        </w:r>
        <w:r w:rsidR="00533CA6">
          <w:rPr>
            <w:noProof/>
          </w:rPr>
          <w:fldChar w:fldCharType="end"/>
        </w:r>
      </w:sdtContent>
    </w:sdt>
  </w:p>
  <w:p w14:paraId="610B3AAE" w14:textId="77777777" w:rsidR="00F41B64" w:rsidRDefault="00F41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F019" w14:textId="0584843F" w:rsidR="003F1C1D" w:rsidRDefault="008D3907">
    <w:pPr>
      <w:pStyle w:val="Footer"/>
    </w:pPr>
    <w:r>
      <w:rPr>
        <w:noProof/>
      </w:rPr>
      <mc:AlternateContent>
        <mc:Choice Requires="wps">
          <w:drawing>
            <wp:anchor distT="0" distB="0" distL="0" distR="0" simplePos="0" relativeHeight="251659264" behindDoc="0" locked="0" layoutInCell="1" allowOverlap="1" wp14:anchorId="5AF67B5B" wp14:editId="7C272A09">
              <wp:simplePos x="0" y="0"/>
              <wp:positionH relativeFrom="page">
                <wp:align>center</wp:align>
              </wp:positionH>
              <wp:positionV relativeFrom="page">
                <wp:align>bottom</wp:align>
              </wp:positionV>
              <wp:extent cx="443865" cy="4438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BB48270" w14:textId="56FCF121" w:rsidR="003F1C1D" w:rsidRPr="003F1C1D" w:rsidRDefault="003F1C1D" w:rsidP="003F1C1D">
                          <w:pPr>
                            <w:spacing w:after="0"/>
                            <w:rPr>
                              <w:rFonts w:ascii="Calibri" w:eastAsia="Calibri" w:hAnsi="Calibri" w:cs="Calibri"/>
                              <w:noProof/>
                              <w:color w:val="0000FF"/>
                              <w:sz w:val="20"/>
                              <w:szCs w:val="20"/>
                            </w:rPr>
                          </w:pPr>
                          <w:r w:rsidRPr="003F1C1D">
                            <w:rPr>
                              <w:rFonts w:ascii="Calibri" w:eastAsia="Calibri" w:hAnsi="Calibri" w:cs="Calibri"/>
                              <w:noProof/>
                              <w:color w:val="0000FF"/>
                              <w:sz w:val="20"/>
                              <w:szCs w:val="20"/>
                            </w:rPr>
                            <w:t>OFFICIAL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AF67B5B" id="_x0000_t202" coordsize="21600,21600" o:spt="202" path="m,l,21600r21600,l21600,xe">
              <v:stroke joinstyle="miter"/>
              <v:path gradientshapeok="t" o:connecttype="rect"/>
            </v:shapetype>
            <v:shape id="Text Box 2" o:spid="_x0000_s1031" type="#_x0000_t202" style="position:absolute;left:0;text-align:left;margin-left:0;margin-top:0;width:34.95pt;height:34.95pt;z-index:25165926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FF/&#10;ProXAgAANQQAAA4AAAAAAAAAAAAAAAAALgIAAGRycy9lMm9Eb2MueG1sUEsBAi0AFAAGAAgAAAAh&#10;ADft0fjZAAAAAwEAAA8AAAAAAAAAAAAAAAAAcQQAAGRycy9kb3ducmV2LnhtbFBLBQYAAAAABAAE&#10;APMAAAB3BQAAAAA=&#10;" filled="f" stroked="f">
              <v:textbox style="mso-fit-shape-to-text:t" inset="0,0,0,15pt">
                <w:txbxContent>
                  <w:p w14:paraId="7BB48270" w14:textId="56FCF121" w:rsidR="003F1C1D" w:rsidRPr="003F1C1D" w:rsidRDefault="003F1C1D" w:rsidP="003F1C1D">
                    <w:pPr>
                      <w:spacing w:after="0"/>
                      <w:rPr>
                        <w:rFonts w:ascii="Calibri" w:eastAsia="Calibri" w:hAnsi="Calibri" w:cs="Calibri"/>
                        <w:noProof/>
                        <w:color w:val="0000FF"/>
                        <w:sz w:val="20"/>
                        <w:szCs w:val="20"/>
                      </w:rPr>
                    </w:pPr>
                    <w:r w:rsidRPr="003F1C1D">
                      <w:rPr>
                        <w:rFonts w:ascii="Calibri" w:eastAsia="Calibri" w:hAnsi="Calibri" w:cs="Calibri"/>
                        <w:noProof/>
                        <w:color w:val="0000FF"/>
                        <w:sz w:val="20"/>
                        <w:szCs w:val="20"/>
                      </w:rPr>
                      <w:t>OFFICIAL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F8F9" w14:textId="77777777" w:rsidR="00CA1A1D" w:rsidRDefault="00CA1A1D" w:rsidP="000D198D">
      <w:pPr>
        <w:spacing w:after="0" w:line="240" w:lineRule="auto"/>
      </w:pPr>
      <w:r>
        <w:separator/>
      </w:r>
    </w:p>
  </w:footnote>
  <w:footnote w:type="continuationSeparator" w:id="0">
    <w:p w14:paraId="69C790B4" w14:textId="77777777" w:rsidR="00CA1A1D" w:rsidRDefault="00CA1A1D" w:rsidP="000D198D">
      <w:pPr>
        <w:spacing w:after="0" w:line="240" w:lineRule="auto"/>
      </w:pPr>
      <w:r>
        <w:continuationSeparator/>
      </w:r>
    </w:p>
  </w:footnote>
  <w:footnote w:type="continuationNotice" w:id="1">
    <w:p w14:paraId="35D974DB" w14:textId="77777777" w:rsidR="00CA1A1D" w:rsidRDefault="00CA1A1D">
      <w:pPr>
        <w:spacing w:after="0" w:line="240" w:lineRule="auto"/>
      </w:pPr>
    </w:p>
  </w:footnote>
  <w:footnote w:id="2">
    <w:p w14:paraId="1FD1557F" w14:textId="7A469894" w:rsidR="45B332CB" w:rsidRPr="008A191B" w:rsidRDefault="45B332CB" w:rsidP="008A191B">
      <w:pPr>
        <w:pStyle w:val="FootnoteText"/>
        <w:spacing w:before="60" w:line="240" w:lineRule="auto"/>
        <w:rPr>
          <w:sz w:val="16"/>
          <w:szCs w:val="16"/>
        </w:rPr>
      </w:pPr>
      <w:r w:rsidRPr="008A191B">
        <w:rPr>
          <w:rStyle w:val="FootnoteReference"/>
          <w:sz w:val="16"/>
          <w:szCs w:val="16"/>
        </w:rPr>
        <w:footnoteRef/>
      </w:r>
      <w:r w:rsidR="00127FCA" w:rsidRPr="008A191B">
        <w:rPr>
          <w:sz w:val="16"/>
          <w:szCs w:val="16"/>
        </w:rPr>
        <w:t xml:space="preserve"> </w:t>
      </w:r>
      <w:r w:rsidR="0094408D" w:rsidRPr="008A191B">
        <w:rPr>
          <w:sz w:val="16"/>
          <w:szCs w:val="16"/>
        </w:rPr>
        <w:t>World Bank Group</w:t>
      </w:r>
      <w:r w:rsidR="00127FCA" w:rsidRPr="008A191B">
        <w:rPr>
          <w:sz w:val="16"/>
          <w:szCs w:val="16"/>
        </w:rPr>
        <w:t xml:space="preserve"> Country Partnership Framework for The Republic of Türkiye for the Period FY24-FY28 </w:t>
      </w:r>
      <w:r w:rsidR="0094408D" w:rsidRPr="008A191B">
        <w:rPr>
          <w:sz w:val="16"/>
          <w:szCs w:val="16"/>
        </w:rPr>
        <w:t xml:space="preserve">discussed </w:t>
      </w:r>
      <w:r w:rsidR="00127FCA" w:rsidRPr="008A191B">
        <w:rPr>
          <w:sz w:val="16"/>
          <w:szCs w:val="16"/>
        </w:rPr>
        <w:t>by the Board</w:t>
      </w:r>
      <w:r w:rsidR="000F1877" w:rsidRPr="008A191B">
        <w:rPr>
          <w:sz w:val="16"/>
          <w:szCs w:val="16"/>
        </w:rPr>
        <w:t xml:space="preserve"> of Execut</w:t>
      </w:r>
      <w:r w:rsidR="00FD0271" w:rsidRPr="008A191B">
        <w:rPr>
          <w:sz w:val="16"/>
          <w:szCs w:val="16"/>
        </w:rPr>
        <w:t>ive</w:t>
      </w:r>
      <w:r w:rsidR="000F1877" w:rsidRPr="008A191B">
        <w:rPr>
          <w:sz w:val="16"/>
          <w:szCs w:val="16"/>
        </w:rPr>
        <w:t xml:space="preserve"> </w:t>
      </w:r>
      <w:r w:rsidR="00A05DA7" w:rsidRPr="008A191B">
        <w:rPr>
          <w:sz w:val="16"/>
          <w:szCs w:val="16"/>
        </w:rPr>
        <w:t>Directors</w:t>
      </w:r>
      <w:r w:rsidR="00127FCA" w:rsidRPr="008A191B">
        <w:rPr>
          <w:sz w:val="16"/>
          <w:szCs w:val="16"/>
        </w:rPr>
        <w:t xml:space="preserve"> </w:t>
      </w:r>
      <w:r w:rsidR="00FD0271" w:rsidRPr="008A191B">
        <w:rPr>
          <w:sz w:val="16"/>
          <w:szCs w:val="16"/>
        </w:rPr>
        <w:t xml:space="preserve">on </w:t>
      </w:r>
      <w:r w:rsidR="00127FCA" w:rsidRPr="008A191B">
        <w:rPr>
          <w:sz w:val="16"/>
          <w:szCs w:val="16"/>
        </w:rPr>
        <w:t>April 9, 2024</w:t>
      </w:r>
      <w:r w:rsidR="0094408D" w:rsidRPr="008A191B">
        <w:rPr>
          <w:sz w:val="16"/>
          <w:szCs w:val="16"/>
        </w:rPr>
        <w:t>.</w:t>
      </w:r>
    </w:p>
  </w:footnote>
  <w:footnote w:id="3">
    <w:p w14:paraId="4B635368" w14:textId="583406EF" w:rsidR="003B26B2" w:rsidRPr="00E618E6" w:rsidRDefault="003B26B2" w:rsidP="00224653">
      <w:pPr>
        <w:pStyle w:val="pf0"/>
        <w:rPr>
          <w:rFonts w:ascii="Arial" w:hAnsi="Arial" w:cs="Arial"/>
          <w:sz w:val="16"/>
          <w:szCs w:val="16"/>
        </w:rPr>
      </w:pPr>
      <w:r w:rsidRPr="008A191B">
        <w:rPr>
          <w:rStyle w:val="FootnoteReference"/>
          <w:sz w:val="16"/>
          <w:szCs w:val="16"/>
        </w:rPr>
        <w:footnoteRef/>
      </w:r>
      <w:r w:rsidRPr="00E618E6">
        <w:rPr>
          <w:sz w:val="16"/>
          <w:szCs w:val="16"/>
        </w:rPr>
        <w:t xml:space="preserve"> </w:t>
      </w:r>
      <w:r w:rsidRPr="00E618E6">
        <w:rPr>
          <w:rStyle w:val="cf01"/>
          <w:sz w:val="16"/>
          <w:szCs w:val="16"/>
        </w:rPr>
        <w:t>Türkiye’s investment structure has transformed in favor of productive areas over the years. The share of machinery and equipment investments increased from 39.7% in 2010 to 46.8% in 2023.</w:t>
      </w:r>
    </w:p>
    <w:p w14:paraId="4FF13E7C" w14:textId="3C83883C" w:rsidR="003B26B2" w:rsidRDefault="003B26B2">
      <w:pPr>
        <w:pStyle w:val="FootnoteText"/>
      </w:pPr>
    </w:p>
  </w:footnote>
  <w:footnote w:id="4">
    <w:p w14:paraId="7892D75B" w14:textId="77777777" w:rsidR="000D198D" w:rsidRPr="00326C25" w:rsidRDefault="000D198D" w:rsidP="00534B14">
      <w:pPr>
        <w:pStyle w:val="FootnoteText"/>
        <w:spacing w:before="60"/>
        <w:rPr>
          <w:rFonts w:cstheme="minorHAnsi"/>
          <w:sz w:val="18"/>
          <w:szCs w:val="18"/>
        </w:rPr>
      </w:pPr>
      <w:r w:rsidRPr="00326C25">
        <w:rPr>
          <w:rStyle w:val="FootnoteReference"/>
          <w:rFonts w:eastAsia="Arial Unicode MS" w:cstheme="minorHAnsi"/>
          <w:sz w:val="18"/>
          <w:szCs w:val="18"/>
        </w:rPr>
        <w:footnoteRef/>
      </w:r>
      <w:r w:rsidRPr="00326C25">
        <w:rPr>
          <w:rFonts w:cstheme="minorHAnsi"/>
          <w:sz w:val="18"/>
          <w:szCs w:val="18"/>
        </w:rPr>
        <w:t xml:space="preserve"> https://www.sbb.gov.tr/wp-content/uploads/2023/03/Turkiye-Recovery-and-Reconstruction-Assessment.pdf</w:t>
      </w:r>
      <w:r w:rsidRPr="008A191B" w:rsidDel="00C04CEC">
        <w:rPr>
          <w:rFonts w:cstheme="minorHAnsi"/>
          <w:sz w:val="18"/>
          <w:szCs w:val="18"/>
        </w:rPr>
        <w:t xml:space="preserve"> </w:t>
      </w:r>
    </w:p>
  </w:footnote>
  <w:footnote w:id="5">
    <w:p w14:paraId="345CC4EE" w14:textId="19D80A9E" w:rsidR="000D198D" w:rsidRPr="00326C25" w:rsidRDefault="000D198D" w:rsidP="00C63F5C">
      <w:pPr>
        <w:spacing w:before="60" w:after="0" w:line="240" w:lineRule="auto"/>
        <w:rPr>
          <w:rFonts w:eastAsia="Calibri" w:cstheme="minorHAnsi"/>
          <w:color w:val="000000" w:themeColor="text1"/>
          <w:sz w:val="18"/>
          <w:szCs w:val="18"/>
        </w:rPr>
      </w:pPr>
      <w:r w:rsidRPr="00326C25">
        <w:rPr>
          <w:rStyle w:val="FootnoteReference"/>
          <w:rFonts w:eastAsia="Arial Unicode MS" w:cstheme="minorHAnsi"/>
          <w:color w:val="000000" w:themeColor="text1"/>
          <w:sz w:val="18"/>
          <w:szCs w:val="18"/>
        </w:rPr>
        <w:footnoteRef/>
      </w:r>
      <w:r w:rsidRPr="00326C25">
        <w:rPr>
          <w:rFonts w:cstheme="minorHAnsi"/>
          <w:color w:val="000000" w:themeColor="text1"/>
          <w:sz w:val="18"/>
          <w:szCs w:val="18"/>
        </w:rPr>
        <w:t xml:space="preserve"> </w:t>
      </w:r>
      <w:r w:rsidR="00103016" w:rsidRPr="00326C25">
        <w:rPr>
          <w:rFonts w:cstheme="minorHAnsi"/>
          <w:color w:val="000000" w:themeColor="text1"/>
          <w:sz w:val="18"/>
          <w:szCs w:val="18"/>
        </w:rPr>
        <w:t>European Bank for Reconstruction and Development (</w:t>
      </w:r>
      <w:r w:rsidRPr="00326C25">
        <w:rPr>
          <w:rFonts w:eastAsia="Calibri" w:cstheme="minorHAnsi"/>
          <w:color w:val="000000" w:themeColor="text1"/>
          <w:sz w:val="18"/>
          <w:szCs w:val="18"/>
        </w:rPr>
        <w:t>EBRD</w:t>
      </w:r>
      <w:r w:rsidR="00103016" w:rsidRPr="00326C25">
        <w:rPr>
          <w:rFonts w:eastAsia="Calibri" w:cstheme="minorHAnsi"/>
          <w:color w:val="000000" w:themeColor="text1"/>
          <w:sz w:val="18"/>
          <w:szCs w:val="18"/>
        </w:rPr>
        <w:t>)</w:t>
      </w:r>
      <w:r w:rsidRPr="00326C25">
        <w:rPr>
          <w:rFonts w:eastAsia="Calibri" w:cstheme="minorHAnsi"/>
          <w:color w:val="000000" w:themeColor="text1"/>
          <w:sz w:val="18"/>
          <w:szCs w:val="18"/>
        </w:rPr>
        <w:t>, Country Diagnostic, April 2019, https://www.ebrd.com/documents/policy/country-diagnostic-paper-</w:t>
      </w:r>
      <w:r w:rsidR="00B56874">
        <w:rPr>
          <w:rFonts w:eastAsia="Calibri" w:cstheme="minorHAnsi"/>
          <w:color w:val="000000" w:themeColor="text1"/>
          <w:sz w:val="18"/>
          <w:szCs w:val="18"/>
        </w:rPr>
        <w:t>Türkiye</w:t>
      </w:r>
      <w:r w:rsidRPr="00326C25">
        <w:rPr>
          <w:rFonts w:eastAsia="Calibri" w:cstheme="minorHAnsi"/>
          <w:color w:val="000000" w:themeColor="text1"/>
          <w:sz w:val="18"/>
          <w:szCs w:val="18"/>
        </w:rPr>
        <w:t>.pdf.</w:t>
      </w:r>
    </w:p>
  </w:footnote>
  <w:footnote w:id="6">
    <w:p w14:paraId="65FBB680" w14:textId="341522CE" w:rsidR="000D198D" w:rsidRPr="00DD30EE" w:rsidRDefault="000D198D" w:rsidP="00C63F5C">
      <w:pPr>
        <w:spacing w:before="60" w:after="0" w:line="240" w:lineRule="auto"/>
        <w:rPr>
          <w:rFonts w:cstheme="minorHAnsi"/>
          <w:color w:val="000000" w:themeColor="text1"/>
          <w:sz w:val="18"/>
          <w:szCs w:val="18"/>
        </w:rPr>
      </w:pPr>
      <w:r w:rsidRPr="00DD30EE">
        <w:rPr>
          <w:rStyle w:val="FootnoteReference"/>
          <w:rFonts w:eastAsia="Arial Unicode MS" w:cstheme="minorHAnsi"/>
          <w:color w:val="000000" w:themeColor="text1"/>
          <w:sz w:val="18"/>
          <w:szCs w:val="18"/>
        </w:rPr>
        <w:footnoteRef/>
      </w:r>
      <w:r w:rsidRPr="00DD30EE">
        <w:rPr>
          <w:rFonts w:cstheme="minorHAnsi"/>
          <w:color w:val="000000" w:themeColor="text1"/>
          <w:sz w:val="18"/>
          <w:szCs w:val="18"/>
        </w:rPr>
        <w:t xml:space="preserve"> </w:t>
      </w:r>
      <w:r w:rsidRPr="00DD30EE">
        <w:rPr>
          <w:rStyle w:val="Hyperlink"/>
          <w:rFonts w:eastAsia="Calibri" w:cstheme="minorHAnsi"/>
          <w:color w:val="000000" w:themeColor="text1"/>
          <w:sz w:val="18"/>
          <w:szCs w:val="18"/>
        </w:rPr>
        <w:t xml:space="preserve">European </w:t>
      </w:r>
      <w:r w:rsidRPr="00DD30EE">
        <w:rPr>
          <w:rStyle w:val="Hyperlink"/>
          <w:rFonts w:eastAsia="Calibri" w:cstheme="minorHAnsi"/>
          <w:color w:val="auto"/>
          <w:sz w:val="18"/>
          <w:szCs w:val="18"/>
        </w:rPr>
        <w:t>Commission, T</w:t>
      </w:r>
      <w:r w:rsidRPr="00DD30EE">
        <w:rPr>
          <w:rFonts w:cstheme="minorHAnsi"/>
          <w:sz w:val="18"/>
          <w:szCs w:val="18"/>
        </w:rPr>
        <w:t>ü</w:t>
      </w:r>
      <w:r w:rsidRPr="00DD30EE">
        <w:rPr>
          <w:rStyle w:val="Hyperlink"/>
          <w:rFonts w:eastAsia="Calibri" w:cstheme="minorHAnsi"/>
          <w:color w:val="auto"/>
          <w:sz w:val="18"/>
          <w:szCs w:val="18"/>
        </w:rPr>
        <w:t>rkiye 2020 Report, https://neighbourhood-enlargement.ec.europa.eu/system/files/2020-</w:t>
      </w:r>
      <w:r w:rsidRPr="006B1F5B">
        <w:rPr>
          <w:rStyle w:val="Hyperlink"/>
          <w:rFonts w:eastAsia="Calibri" w:cstheme="minorHAnsi"/>
          <w:color w:val="auto"/>
          <w:sz w:val="18"/>
          <w:szCs w:val="18"/>
        </w:rPr>
        <w:t>10/</w:t>
      </w:r>
      <w:r w:rsidR="006B1F5B">
        <w:rPr>
          <w:rStyle w:val="Hyperlink"/>
          <w:rFonts w:eastAsia="Calibri" w:cstheme="minorHAnsi"/>
          <w:color w:val="auto"/>
          <w:sz w:val="18"/>
          <w:szCs w:val="18"/>
        </w:rPr>
        <w:t>Turkiye</w:t>
      </w:r>
      <w:r w:rsidRPr="006B1F5B">
        <w:rPr>
          <w:rStyle w:val="Hyperlink"/>
          <w:rFonts w:eastAsia="Calibri" w:cstheme="minorHAnsi"/>
          <w:color w:val="auto"/>
          <w:sz w:val="18"/>
          <w:szCs w:val="18"/>
        </w:rPr>
        <w:t>_</w:t>
      </w:r>
      <w:r w:rsidRPr="00DD30EE">
        <w:rPr>
          <w:rStyle w:val="Hyperlink"/>
          <w:rFonts w:eastAsia="Calibri" w:cstheme="minorHAnsi"/>
          <w:color w:val="auto"/>
          <w:sz w:val="18"/>
          <w:szCs w:val="18"/>
        </w:rPr>
        <w:t>report</w:t>
      </w:r>
      <w:r w:rsidRPr="00DD30EE">
        <w:rPr>
          <w:rStyle w:val="Hyperlink"/>
          <w:rFonts w:eastAsia="Calibri" w:cstheme="minorHAnsi"/>
          <w:color w:val="000000" w:themeColor="text1"/>
          <w:sz w:val="18"/>
          <w:szCs w:val="18"/>
        </w:rPr>
        <w:t>_2020.pdf.</w:t>
      </w:r>
    </w:p>
  </w:footnote>
  <w:footnote w:id="7">
    <w:p w14:paraId="049536C1" w14:textId="77777777" w:rsidR="000D198D" w:rsidRPr="001E14C7" w:rsidRDefault="000D198D" w:rsidP="00C63F5C">
      <w:pPr>
        <w:spacing w:before="60" w:after="0" w:line="240" w:lineRule="auto"/>
        <w:rPr>
          <w:rFonts w:cs="Calibri"/>
          <w:color w:val="000000" w:themeColor="text1"/>
          <w:sz w:val="18"/>
          <w:szCs w:val="18"/>
        </w:rPr>
      </w:pPr>
      <w:r w:rsidRPr="00DD30EE">
        <w:rPr>
          <w:rStyle w:val="FootnoteReference"/>
          <w:rFonts w:cstheme="minorHAnsi"/>
          <w:color w:val="000000" w:themeColor="text1"/>
          <w:sz w:val="18"/>
          <w:szCs w:val="18"/>
        </w:rPr>
        <w:footnoteRef/>
      </w:r>
      <w:r w:rsidRPr="00DD30EE">
        <w:rPr>
          <w:rFonts w:cstheme="minorHAnsi"/>
          <w:color w:val="000000" w:themeColor="text1"/>
          <w:sz w:val="18"/>
          <w:szCs w:val="18"/>
        </w:rPr>
        <w:t xml:space="preserve"> </w:t>
      </w:r>
      <w:r w:rsidRPr="00DD30EE">
        <w:rPr>
          <w:rStyle w:val="Hyperlink"/>
          <w:rFonts w:eastAsia="Calibri" w:cstheme="minorHAnsi"/>
          <w:color w:val="000000" w:themeColor="text1"/>
          <w:sz w:val="18"/>
          <w:szCs w:val="18"/>
        </w:rPr>
        <w:t>OECD, SME Policy Index: Western Balkans and T</w:t>
      </w:r>
      <w:r w:rsidRPr="00DD30EE">
        <w:rPr>
          <w:rFonts w:cstheme="minorHAnsi"/>
          <w:color w:val="000000" w:themeColor="text1"/>
          <w:sz w:val="18"/>
          <w:szCs w:val="18"/>
        </w:rPr>
        <w:t>ü</w:t>
      </w:r>
      <w:r w:rsidRPr="00DD30EE">
        <w:rPr>
          <w:rStyle w:val="Hyperlink"/>
          <w:rFonts w:eastAsia="Calibri" w:cstheme="minorHAnsi"/>
          <w:color w:val="000000" w:themeColor="text1"/>
          <w:sz w:val="18"/>
          <w:szCs w:val="18"/>
        </w:rPr>
        <w:t>rkiye, 2022.</w:t>
      </w:r>
    </w:p>
  </w:footnote>
  <w:footnote w:id="8">
    <w:p w14:paraId="14A9142F" w14:textId="4F7C29B6" w:rsidR="2AA6A957" w:rsidRDefault="2AA6A957" w:rsidP="00C63F5C">
      <w:pPr>
        <w:pStyle w:val="FootnoteText"/>
        <w:spacing w:before="60"/>
      </w:pPr>
      <w:r w:rsidRPr="001E14C7">
        <w:rPr>
          <w:rStyle w:val="FootnoteReference"/>
          <w:sz w:val="18"/>
          <w:szCs w:val="18"/>
        </w:rPr>
        <w:footnoteRef/>
      </w:r>
      <w:r w:rsidR="00413432" w:rsidRPr="001E14C7">
        <w:rPr>
          <w:sz w:val="18"/>
          <w:szCs w:val="18"/>
        </w:rPr>
        <w:t xml:space="preserve"> Country Partnership Framework (CPF) o</w:t>
      </w:r>
      <w:r w:rsidR="003542A3" w:rsidRPr="001E14C7">
        <w:rPr>
          <w:sz w:val="18"/>
          <w:szCs w:val="18"/>
        </w:rPr>
        <w:t>f</w:t>
      </w:r>
      <w:r w:rsidR="00413432" w:rsidRPr="001E14C7">
        <w:rPr>
          <w:sz w:val="18"/>
          <w:szCs w:val="18"/>
        </w:rPr>
        <w:t xml:space="preserve"> the Republic of Türkiye for the period FY24-FY28 approved by the World Bank’s Executive Directors’ Board as of April 9, 2024</w:t>
      </w:r>
    </w:p>
  </w:footnote>
  <w:footnote w:id="9">
    <w:p w14:paraId="2682ABB8" w14:textId="77777777" w:rsidR="00C51C39" w:rsidRPr="00773017" w:rsidRDefault="00C51C39" w:rsidP="00370836">
      <w:pPr>
        <w:pStyle w:val="FootnoteText"/>
        <w:spacing w:before="60"/>
        <w:ind w:left="130" w:hanging="130"/>
        <w:rPr>
          <w:rFonts w:cstheme="minorHAnsi"/>
          <w:sz w:val="18"/>
          <w:szCs w:val="18"/>
        </w:rPr>
      </w:pPr>
      <w:r w:rsidRPr="42EAD0BF">
        <w:rPr>
          <w:rStyle w:val="FootnoteReference"/>
          <w:sz w:val="18"/>
          <w:szCs w:val="18"/>
        </w:rPr>
        <w:footnoteRef/>
      </w:r>
      <w:r w:rsidRPr="42EAD0BF">
        <w:rPr>
          <w:sz w:val="18"/>
          <w:szCs w:val="18"/>
        </w:rPr>
        <w:t xml:space="preserve"> </w:t>
      </w:r>
      <w:r w:rsidRPr="42EAD0BF">
        <w:rPr>
          <w:rFonts w:eastAsia="Times New Roman"/>
          <w:sz w:val="18"/>
          <w:szCs w:val="18"/>
        </w:rPr>
        <w:t>Energy combines electricity and heat production, petroleum refining, and fugitive emissions from fuels.</w:t>
      </w:r>
    </w:p>
  </w:footnote>
  <w:footnote w:id="10">
    <w:p w14:paraId="7E0282D6" w14:textId="77777777" w:rsidR="00C51C39" w:rsidRPr="00773017" w:rsidRDefault="00C51C39" w:rsidP="00370836">
      <w:pPr>
        <w:pStyle w:val="FootnoteText"/>
        <w:spacing w:before="60"/>
        <w:rPr>
          <w:rFonts w:cstheme="minorHAnsi"/>
          <w:sz w:val="18"/>
          <w:szCs w:val="18"/>
        </w:rPr>
      </w:pPr>
      <w:r w:rsidRPr="42EAD0BF">
        <w:rPr>
          <w:rStyle w:val="FootnoteReference"/>
          <w:sz w:val="18"/>
          <w:szCs w:val="18"/>
        </w:rPr>
        <w:footnoteRef/>
      </w:r>
      <w:r w:rsidRPr="42EAD0BF">
        <w:rPr>
          <w:sz w:val="18"/>
          <w:szCs w:val="18"/>
        </w:rPr>
        <w:t xml:space="preserve"> In 2021, fossil fuels accounted for 84% of Türkiye’s total energy supply, with natural gas comprising 31% of total supply, followed by oil (27%), and coal (25%). Despite considerable growth over the past decade, energy supply from wind, solar and other renewable energy sources only accounted for 16% of total energy supply in 2021.</w:t>
      </w:r>
    </w:p>
  </w:footnote>
  <w:footnote w:id="11">
    <w:p w14:paraId="41625982" w14:textId="77777777" w:rsidR="00C51C39" w:rsidRPr="00BC6635" w:rsidRDefault="00C51C39" w:rsidP="00370836">
      <w:pPr>
        <w:pStyle w:val="NormalWeb"/>
        <w:spacing w:before="60" w:beforeAutospacing="0" w:after="0" w:afterAutospacing="0"/>
        <w:rPr>
          <w:color w:val="000000" w:themeColor="text1"/>
          <w:sz w:val="16"/>
        </w:rPr>
      </w:pPr>
      <w:r w:rsidRPr="42EAD0BF">
        <w:rPr>
          <w:rStyle w:val="FootnoteReference"/>
          <w:rFonts w:asciiTheme="minorHAnsi" w:hAnsiTheme="minorHAnsi" w:cstheme="minorBidi"/>
          <w:color w:val="000000" w:themeColor="text1"/>
          <w:sz w:val="18"/>
          <w:szCs w:val="18"/>
        </w:rPr>
        <w:footnoteRef/>
      </w:r>
      <w:r w:rsidRPr="42EAD0BF">
        <w:rPr>
          <w:rFonts w:asciiTheme="minorHAnsi" w:hAnsiTheme="minorHAnsi" w:cstheme="minorBidi"/>
          <w:color w:val="000000" w:themeColor="text1"/>
          <w:sz w:val="18"/>
          <w:szCs w:val="18"/>
        </w:rPr>
        <w:t xml:space="preserve"> https://ticaret.gov.tr/data/60f1200013b876eb28421b23/MUTABAKAT%20YE%C5%9E%C4%B0L.pdf.</w:t>
      </w:r>
    </w:p>
  </w:footnote>
  <w:footnote w:id="12">
    <w:p w14:paraId="1827FCBD" w14:textId="31331095" w:rsidR="000D198D" w:rsidRPr="001E14C7" w:rsidRDefault="000D198D" w:rsidP="000D198D">
      <w:pPr>
        <w:pStyle w:val="FootnoteText"/>
        <w:rPr>
          <w:sz w:val="16"/>
          <w:szCs w:val="16"/>
        </w:rPr>
      </w:pPr>
      <w:r w:rsidRPr="001E14C7">
        <w:rPr>
          <w:rStyle w:val="FootnoteReference"/>
          <w:sz w:val="16"/>
          <w:szCs w:val="16"/>
        </w:rPr>
        <w:footnoteRef/>
      </w:r>
      <w:r w:rsidRPr="001E14C7">
        <w:rPr>
          <w:sz w:val="16"/>
          <w:szCs w:val="16"/>
        </w:rPr>
        <w:t xml:space="preserve"> TEIAS 2023 Monthly Electricity Generation and Consumption Reports</w:t>
      </w:r>
    </w:p>
  </w:footnote>
  <w:footnote w:id="13">
    <w:p w14:paraId="4FFB699B" w14:textId="77777777" w:rsidR="006E763C" w:rsidRPr="001E14C7" w:rsidRDefault="006E763C" w:rsidP="006E763C">
      <w:pPr>
        <w:pStyle w:val="FootnoteText"/>
        <w:rPr>
          <w:sz w:val="18"/>
          <w:szCs w:val="18"/>
          <w:lang w:val="tr-TR"/>
        </w:rPr>
      </w:pPr>
      <w:r>
        <w:rPr>
          <w:rStyle w:val="FootnoteReference"/>
        </w:rPr>
        <w:footnoteRef/>
      </w:r>
      <w:r>
        <w:t xml:space="preserve"> </w:t>
      </w:r>
      <w:hyperlink r:id="rId1" w:history="1">
        <w:r w:rsidRPr="006D117C">
          <w:rPr>
            <w:rStyle w:val="Hyperlink"/>
            <w:sz w:val="18"/>
            <w:szCs w:val="18"/>
            <w:lang w:val="tr-TR"/>
          </w:rPr>
          <w:t>https://www.sbb.gov.tr/wp-content/uploads/2023/09/Orta-Vadeli-Program_2024-2026.pdf</w:t>
        </w:r>
      </w:hyperlink>
      <w:r w:rsidRPr="001E14C7">
        <w:rPr>
          <w:sz w:val="18"/>
          <w:szCs w:val="18"/>
          <w:lang w:val="tr-TR"/>
        </w:rPr>
        <w:t xml:space="preserve"> </w:t>
      </w:r>
    </w:p>
    <w:p w14:paraId="0E3312D4" w14:textId="7B0F41FC" w:rsidR="006E763C" w:rsidRDefault="006E763C">
      <w:pPr>
        <w:pStyle w:val="FootnoteText"/>
      </w:pPr>
    </w:p>
  </w:footnote>
  <w:footnote w:id="14">
    <w:p w14:paraId="0E787E38" w14:textId="02F9F7D1" w:rsidR="000D198D" w:rsidRDefault="000D198D">
      <w:pPr>
        <w:pStyle w:val="FootnoteText"/>
      </w:pPr>
      <w:r w:rsidRPr="001E14C7">
        <w:rPr>
          <w:rStyle w:val="FootnoteReference"/>
          <w:sz w:val="18"/>
          <w:szCs w:val="18"/>
        </w:rPr>
        <w:footnoteRef/>
      </w:r>
      <w:r w:rsidR="000F5DDC">
        <w:rPr>
          <w:sz w:val="18"/>
          <w:szCs w:val="18"/>
        </w:rPr>
        <w:t xml:space="preserve"> </w:t>
      </w:r>
      <w:r w:rsidRPr="001E14C7">
        <w:rPr>
          <w:sz w:val="18"/>
          <w:szCs w:val="18"/>
        </w:rPr>
        <w:t>Energy Efficiency 2030 Strategy and II. National Energy Efficiency Action Plan (2024 - 2030)</w:t>
      </w:r>
    </w:p>
  </w:footnote>
  <w:footnote w:id="15">
    <w:p w14:paraId="2F9B3160" w14:textId="3950A533" w:rsidR="000D198D" w:rsidRPr="001E14C7" w:rsidRDefault="000D198D" w:rsidP="00BA5A4F">
      <w:pPr>
        <w:pStyle w:val="FootnoteText"/>
        <w:spacing w:before="60"/>
        <w:rPr>
          <w:sz w:val="18"/>
          <w:szCs w:val="18"/>
        </w:rPr>
      </w:pPr>
      <w:r w:rsidRPr="001E14C7">
        <w:rPr>
          <w:rStyle w:val="FootnoteReference"/>
          <w:sz w:val="18"/>
          <w:szCs w:val="18"/>
        </w:rPr>
        <w:footnoteRef/>
      </w:r>
      <w:r w:rsidRPr="001E14C7">
        <w:rPr>
          <w:sz w:val="18"/>
          <w:szCs w:val="18"/>
        </w:rPr>
        <w:t xml:space="preserve"> TUIK Greenhouse Gas Statistics 1990 </w:t>
      </w:r>
      <w:r w:rsidR="007F5100" w:rsidRPr="001E14C7">
        <w:rPr>
          <w:sz w:val="18"/>
          <w:szCs w:val="18"/>
        </w:rPr>
        <w:t>–</w:t>
      </w:r>
      <w:r w:rsidRPr="001E14C7">
        <w:rPr>
          <w:sz w:val="18"/>
          <w:szCs w:val="18"/>
        </w:rPr>
        <w:t xml:space="preserve"> 2021</w:t>
      </w:r>
    </w:p>
  </w:footnote>
  <w:footnote w:id="16">
    <w:p w14:paraId="1012BDFC" w14:textId="1454A97F" w:rsidR="000D198D" w:rsidRPr="001E14C7" w:rsidRDefault="000D198D" w:rsidP="00BA5A4F">
      <w:pPr>
        <w:pStyle w:val="FootnoteText"/>
        <w:spacing w:before="60"/>
        <w:rPr>
          <w:sz w:val="18"/>
          <w:szCs w:val="18"/>
        </w:rPr>
      </w:pPr>
      <w:r w:rsidRPr="001E14C7">
        <w:rPr>
          <w:rStyle w:val="FootnoteReference"/>
          <w:sz w:val="18"/>
          <w:szCs w:val="18"/>
        </w:rPr>
        <w:footnoteRef/>
      </w:r>
      <w:r w:rsidRPr="001E14C7">
        <w:rPr>
          <w:sz w:val="18"/>
          <w:szCs w:val="18"/>
        </w:rPr>
        <w:t xml:space="preserve"> Circular numbered 2021/15, issued in the Official Gazette dated July 16, 2021</w:t>
      </w:r>
    </w:p>
  </w:footnote>
  <w:footnote w:id="17">
    <w:p w14:paraId="79FC5002" w14:textId="408A53AF" w:rsidR="000D198D" w:rsidRPr="000F4866" w:rsidRDefault="000D198D" w:rsidP="00BA5A4F">
      <w:pPr>
        <w:pStyle w:val="FootnoteText"/>
        <w:spacing w:before="60"/>
      </w:pPr>
      <w:r w:rsidRPr="001E14C7">
        <w:rPr>
          <w:rStyle w:val="FootnoteReference"/>
          <w:sz w:val="18"/>
          <w:szCs w:val="18"/>
        </w:rPr>
        <w:footnoteRef/>
      </w:r>
      <w:r w:rsidRPr="001E14C7">
        <w:rPr>
          <w:sz w:val="18"/>
          <w:szCs w:val="18"/>
        </w:rPr>
        <w:t xml:space="preserve"> The National Energy Efficiency Action Plan prepared by the </w:t>
      </w:r>
      <w:r w:rsidR="003B6C13" w:rsidRPr="001E14C7">
        <w:rPr>
          <w:sz w:val="18"/>
          <w:szCs w:val="18"/>
        </w:rPr>
        <w:t>MENR.</w:t>
      </w:r>
    </w:p>
  </w:footnote>
  <w:footnote w:id="18">
    <w:p w14:paraId="74EB7560" w14:textId="77777777" w:rsidR="00A80F6C" w:rsidRDefault="00A80F6C" w:rsidP="00A80F6C">
      <w:pPr>
        <w:pStyle w:val="FootnoteText"/>
        <w:rPr>
          <w:sz w:val="18"/>
          <w:szCs w:val="18"/>
        </w:rPr>
      </w:pPr>
      <w:r w:rsidRPr="648D32DF">
        <w:rPr>
          <w:rStyle w:val="FootnoteReference"/>
          <w:sz w:val="18"/>
          <w:szCs w:val="18"/>
        </w:rPr>
        <w:footnoteRef/>
      </w:r>
      <w:r w:rsidRPr="648D32DF">
        <w:rPr>
          <w:sz w:val="18"/>
          <w:szCs w:val="18"/>
        </w:rPr>
        <w:t xml:space="preserve"> Issued in Official Gazette on January 8, 2011</w:t>
      </w:r>
    </w:p>
  </w:footnote>
  <w:footnote w:id="19">
    <w:p w14:paraId="24D6C10D" w14:textId="4FF9FE32" w:rsidR="00A80F6C" w:rsidRDefault="00A80F6C" w:rsidP="00A80F6C">
      <w:pPr>
        <w:pStyle w:val="FootnoteText"/>
        <w:rPr>
          <w:sz w:val="18"/>
          <w:szCs w:val="18"/>
        </w:rPr>
      </w:pPr>
      <w:r w:rsidRPr="648D32DF">
        <w:rPr>
          <w:rStyle w:val="FootnoteReference"/>
          <w:sz w:val="18"/>
          <w:szCs w:val="18"/>
        </w:rPr>
        <w:footnoteRef/>
      </w:r>
      <w:r w:rsidRPr="648D32DF">
        <w:rPr>
          <w:sz w:val="18"/>
          <w:szCs w:val="18"/>
        </w:rPr>
        <w:t xml:space="preserve"> With Law no 7257, issued in the Official Gazette dated November 25, 2020</w:t>
      </w:r>
    </w:p>
  </w:footnote>
  <w:footnote w:id="20">
    <w:p w14:paraId="225FAC32" w14:textId="33113495" w:rsidR="00A80F6C" w:rsidRPr="00774CD6" w:rsidRDefault="00A80F6C" w:rsidP="00A80F6C">
      <w:pPr>
        <w:pStyle w:val="FootnoteText"/>
        <w:rPr>
          <w:sz w:val="18"/>
          <w:szCs w:val="18"/>
        </w:rPr>
      </w:pPr>
      <w:r w:rsidRPr="001E14C7">
        <w:rPr>
          <w:rStyle w:val="FootnoteReference"/>
          <w:sz w:val="18"/>
          <w:szCs w:val="18"/>
        </w:rPr>
        <w:footnoteRef/>
      </w:r>
      <w:r w:rsidRPr="001E14C7">
        <w:rPr>
          <w:sz w:val="18"/>
          <w:szCs w:val="18"/>
        </w:rPr>
        <w:t xml:space="preserve"> Presidential Decision no. 7189, dated April 30, 2023</w:t>
      </w:r>
    </w:p>
  </w:footnote>
  <w:footnote w:id="21">
    <w:p w14:paraId="5B22C457" w14:textId="287F4E93" w:rsidR="00A80F6C" w:rsidRPr="002F7889" w:rsidRDefault="00A80F6C" w:rsidP="00A80F6C">
      <w:pPr>
        <w:pStyle w:val="FootnoteText"/>
        <w:rPr>
          <w:sz w:val="18"/>
          <w:szCs w:val="18"/>
        </w:rPr>
      </w:pPr>
      <w:r w:rsidRPr="001E14C7">
        <w:rPr>
          <w:rStyle w:val="FootnoteReference"/>
          <w:sz w:val="18"/>
          <w:szCs w:val="18"/>
        </w:rPr>
        <w:footnoteRef/>
      </w:r>
      <w:r w:rsidRPr="001E14C7">
        <w:rPr>
          <w:sz w:val="18"/>
          <w:szCs w:val="18"/>
        </w:rPr>
        <w:t xml:space="preserve"> EPIAS website February 6, 2024</w:t>
      </w:r>
    </w:p>
  </w:footnote>
  <w:footnote w:id="22">
    <w:p w14:paraId="31A81E44" w14:textId="77777777" w:rsidR="00A80F6C" w:rsidRDefault="00A80F6C" w:rsidP="00A80F6C">
      <w:pPr>
        <w:pStyle w:val="FootnoteText"/>
      </w:pPr>
      <w:r w:rsidRPr="001E14C7">
        <w:rPr>
          <w:rStyle w:val="FootnoteReference"/>
          <w:sz w:val="18"/>
          <w:szCs w:val="18"/>
        </w:rPr>
        <w:footnoteRef/>
      </w:r>
      <w:r w:rsidRPr="001E14C7">
        <w:rPr>
          <w:sz w:val="18"/>
          <w:szCs w:val="18"/>
        </w:rPr>
        <w:t xml:space="preserve"> EML no: 6446, Article 7/10</w:t>
      </w:r>
    </w:p>
  </w:footnote>
  <w:footnote w:id="23">
    <w:p w14:paraId="749E42CA" w14:textId="206F7D34" w:rsidR="00A80F6C" w:rsidRPr="001E14C7" w:rsidRDefault="00A80F6C" w:rsidP="00A80F6C">
      <w:pPr>
        <w:pStyle w:val="FootnoteText"/>
        <w:rPr>
          <w:sz w:val="18"/>
          <w:szCs w:val="18"/>
        </w:rPr>
      </w:pPr>
      <w:r w:rsidRPr="001E14C7">
        <w:rPr>
          <w:rStyle w:val="FootnoteReference"/>
          <w:sz w:val="18"/>
          <w:szCs w:val="18"/>
        </w:rPr>
        <w:footnoteRef/>
      </w:r>
      <w:r w:rsidRPr="001E14C7">
        <w:rPr>
          <w:sz w:val="18"/>
          <w:szCs w:val="18"/>
        </w:rPr>
        <w:t xml:space="preserve"> Issued on the Official Gazette dated May 9, 2021</w:t>
      </w:r>
    </w:p>
  </w:footnote>
  <w:footnote w:id="24">
    <w:p w14:paraId="2B5FB342" w14:textId="7D557D4A" w:rsidR="00A80F6C" w:rsidRPr="001E14C7" w:rsidRDefault="00A80F6C" w:rsidP="000C296A">
      <w:pPr>
        <w:pStyle w:val="FootnoteText"/>
        <w:spacing w:before="60"/>
        <w:rPr>
          <w:sz w:val="18"/>
          <w:szCs w:val="18"/>
        </w:rPr>
      </w:pPr>
      <w:r w:rsidRPr="001E14C7">
        <w:rPr>
          <w:rStyle w:val="FootnoteReference"/>
          <w:sz w:val="18"/>
          <w:szCs w:val="18"/>
        </w:rPr>
        <w:footnoteRef/>
      </w:r>
      <w:r w:rsidRPr="001E14C7">
        <w:rPr>
          <w:sz w:val="18"/>
          <w:szCs w:val="18"/>
        </w:rPr>
        <w:t xml:space="preserve"> EML Article 7/10 dated July 1, 2022</w:t>
      </w:r>
    </w:p>
  </w:footnote>
  <w:footnote w:id="25">
    <w:p w14:paraId="4BF92578" w14:textId="20367AB7" w:rsidR="00A80F6C" w:rsidRPr="000C296A" w:rsidRDefault="00A80F6C" w:rsidP="000C296A">
      <w:pPr>
        <w:pStyle w:val="FootnoteText"/>
        <w:spacing w:before="60"/>
        <w:rPr>
          <w:sz w:val="18"/>
          <w:szCs w:val="18"/>
        </w:rPr>
      </w:pPr>
      <w:r w:rsidRPr="001E14C7">
        <w:rPr>
          <w:rStyle w:val="FootnoteReference"/>
          <w:sz w:val="18"/>
          <w:szCs w:val="18"/>
        </w:rPr>
        <w:footnoteRef/>
      </w:r>
      <w:r w:rsidRPr="001E14C7">
        <w:rPr>
          <w:sz w:val="18"/>
          <w:szCs w:val="18"/>
        </w:rPr>
        <w:t xml:space="preserve"> EMRA Website, as of the end of January 2024</w:t>
      </w:r>
    </w:p>
  </w:footnote>
  <w:footnote w:id="26">
    <w:p w14:paraId="1C19B12D" w14:textId="77777777" w:rsidR="00A80F6C" w:rsidRDefault="00A80F6C" w:rsidP="000C296A">
      <w:pPr>
        <w:pStyle w:val="FootnoteText"/>
        <w:spacing w:before="60"/>
        <w:rPr>
          <w:lang w:val="tr-TR"/>
        </w:rPr>
      </w:pPr>
      <w:r w:rsidRPr="001E14C7">
        <w:rPr>
          <w:rStyle w:val="FootnoteReference"/>
          <w:sz w:val="18"/>
          <w:szCs w:val="18"/>
        </w:rPr>
        <w:footnoteRef/>
      </w:r>
      <w:r w:rsidRPr="001E14C7">
        <w:rPr>
          <w:sz w:val="18"/>
          <w:szCs w:val="18"/>
        </w:rPr>
        <w:t xml:space="preserve"> License Regulation Temporary Article 41/2</w:t>
      </w:r>
    </w:p>
  </w:footnote>
  <w:footnote w:id="27">
    <w:p w14:paraId="20AEBC5A" w14:textId="77777777" w:rsidR="00A80F6C" w:rsidRPr="001E14C7" w:rsidRDefault="00A80F6C" w:rsidP="000C296A">
      <w:pPr>
        <w:pStyle w:val="FootnoteText"/>
        <w:spacing w:before="60"/>
        <w:rPr>
          <w:sz w:val="18"/>
          <w:szCs w:val="18"/>
          <w:lang w:val="tr-TR"/>
        </w:rPr>
      </w:pPr>
      <w:r w:rsidRPr="001E14C7">
        <w:rPr>
          <w:rStyle w:val="FootnoteReference"/>
          <w:sz w:val="18"/>
          <w:szCs w:val="18"/>
        </w:rPr>
        <w:footnoteRef/>
      </w:r>
      <w:r w:rsidRPr="001E14C7">
        <w:rPr>
          <w:sz w:val="18"/>
          <w:szCs w:val="18"/>
        </w:rPr>
        <w:t xml:space="preserve"> Connection and Use of System Regulation, Article 20</w:t>
      </w:r>
    </w:p>
  </w:footnote>
  <w:footnote w:id="28">
    <w:p w14:paraId="3AF5928B" w14:textId="77777777" w:rsidR="00F6456B" w:rsidRDefault="0078076A" w:rsidP="00D16224">
      <w:pPr>
        <w:pStyle w:val="FootnoteText"/>
        <w:rPr>
          <w:sz w:val="18"/>
          <w:szCs w:val="18"/>
        </w:rPr>
      </w:pPr>
      <w:r w:rsidRPr="0063640B">
        <w:rPr>
          <w:rStyle w:val="FootnoteReference"/>
          <w:sz w:val="18"/>
          <w:szCs w:val="18"/>
        </w:rPr>
        <w:footnoteRef/>
      </w:r>
      <w:r w:rsidRPr="0063640B">
        <w:rPr>
          <w:sz w:val="18"/>
          <w:szCs w:val="18"/>
        </w:rPr>
        <w:t xml:space="preserve"> </w:t>
      </w:r>
      <w:r w:rsidR="0062799C">
        <w:rPr>
          <w:sz w:val="18"/>
          <w:szCs w:val="18"/>
        </w:rPr>
        <w:t>Please see Annex 11 for the Government’s final decision on Components 1 and 3</w:t>
      </w:r>
      <w:r w:rsidR="00D16224">
        <w:rPr>
          <w:sz w:val="18"/>
          <w:szCs w:val="18"/>
        </w:rPr>
        <w:t xml:space="preserve">, reflected to this IP. </w:t>
      </w:r>
    </w:p>
    <w:p w14:paraId="7B9E2E98" w14:textId="77777777" w:rsidR="00F6456B" w:rsidRDefault="00F6456B" w:rsidP="00D16224">
      <w:pPr>
        <w:pStyle w:val="FootnoteText"/>
        <w:rPr>
          <w:sz w:val="18"/>
          <w:szCs w:val="18"/>
        </w:rPr>
      </w:pPr>
    </w:p>
    <w:p w14:paraId="2FCFB687" w14:textId="7A03B75C" w:rsidR="00D16224" w:rsidRPr="0063640B" w:rsidRDefault="00D16224" w:rsidP="00D16224">
      <w:pPr>
        <w:pStyle w:val="FootnoteText"/>
        <w:rPr>
          <w:sz w:val="18"/>
          <w:szCs w:val="18"/>
        </w:rPr>
      </w:pPr>
      <w:r w:rsidRPr="00A743BA">
        <w:rPr>
          <w:sz w:val="18"/>
          <w:szCs w:val="18"/>
        </w:rPr>
        <w:t xml:space="preserve">The Government of Türkiye would like to explore any opportunities </w:t>
      </w:r>
      <w:proofErr w:type="gramStart"/>
      <w:r w:rsidRPr="00A743BA">
        <w:rPr>
          <w:sz w:val="18"/>
          <w:szCs w:val="18"/>
        </w:rPr>
        <w:t>with regard to</w:t>
      </w:r>
      <w:proofErr w:type="gramEnd"/>
      <w:r w:rsidRPr="00A743BA">
        <w:rPr>
          <w:sz w:val="18"/>
          <w:szCs w:val="18"/>
        </w:rPr>
        <w:t xml:space="preserve"> adding a Component 3, in case of availability of additional CTF grant financing of </w:t>
      </w:r>
      <w:r>
        <w:rPr>
          <w:sz w:val="18"/>
          <w:szCs w:val="18"/>
        </w:rPr>
        <w:t>US</w:t>
      </w:r>
      <w:r w:rsidRPr="00A743BA">
        <w:rPr>
          <w:sz w:val="18"/>
          <w:szCs w:val="18"/>
        </w:rPr>
        <w:t>$3 million,</w:t>
      </w:r>
      <w:r w:rsidRPr="0063640B">
        <w:rPr>
          <w:sz w:val="18"/>
          <w:szCs w:val="18"/>
        </w:rPr>
        <w:t xml:space="preserve"> as follows: </w:t>
      </w:r>
    </w:p>
    <w:p w14:paraId="4E9A264C" w14:textId="77777777" w:rsidR="00D16224" w:rsidRDefault="00D16224" w:rsidP="00D16224">
      <w:pPr>
        <w:tabs>
          <w:tab w:val="left" w:pos="3357"/>
        </w:tabs>
        <w:spacing w:after="0" w:line="240" w:lineRule="auto"/>
        <w:rPr>
          <w:rFonts w:ascii="Calibri" w:eastAsia="Times New Roman" w:hAnsi="Calibri" w:cs="Calibri"/>
          <w:b/>
          <w:bCs/>
          <w:sz w:val="18"/>
          <w:szCs w:val="18"/>
        </w:rPr>
      </w:pPr>
      <w:r>
        <w:rPr>
          <w:rFonts w:ascii="Calibri" w:eastAsia="Times New Roman" w:hAnsi="Calibri" w:cs="Calibri"/>
          <w:b/>
          <w:bCs/>
          <w:sz w:val="18"/>
          <w:szCs w:val="18"/>
        </w:rPr>
        <w:tab/>
      </w:r>
    </w:p>
    <w:p w14:paraId="0ABC0682" w14:textId="77777777" w:rsidR="00D16224" w:rsidRPr="0063640B" w:rsidRDefault="00D16224" w:rsidP="00D16224">
      <w:pPr>
        <w:spacing w:after="0" w:line="240" w:lineRule="auto"/>
        <w:rPr>
          <w:rFonts w:ascii="Calibri" w:eastAsia="Times New Roman" w:hAnsi="Calibri" w:cs="Calibri"/>
          <w:color w:val="000000" w:themeColor="text1"/>
          <w:sz w:val="18"/>
          <w:szCs w:val="18"/>
        </w:rPr>
      </w:pPr>
      <w:r w:rsidRPr="0063640B">
        <w:rPr>
          <w:rFonts w:ascii="Calibri" w:eastAsia="Times New Roman" w:hAnsi="Calibri" w:cs="Calibri"/>
          <w:b/>
          <w:bCs/>
          <w:sz w:val="18"/>
          <w:szCs w:val="18"/>
        </w:rPr>
        <w:t xml:space="preserve">Component 3: </w:t>
      </w:r>
      <w:r w:rsidRPr="0063640B">
        <w:rPr>
          <w:rFonts w:ascii="Calibri" w:eastAsia="Times New Roman" w:hAnsi="Calibri" w:cs="Calibri"/>
          <w:b/>
          <w:bCs/>
          <w:color w:val="000000" w:themeColor="text1"/>
          <w:sz w:val="18"/>
          <w:szCs w:val="18"/>
        </w:rPr>
        <w:t>Technical Assistance</w:t>
      </w:r>
      <w:r w:rsidRPr="0063640B">
        <w:rPr>
          <w:rFonts w:ascii="Calibri" w:eastAsia="Times New Roman" w:hAnsi="Calibri" w:cs="Calibri"/>
          <w:b/>
          <w:bCs/>
          <w:sz w:val="18"/>
          <w:szCs w:val="18"/>
        </w:rPr>
        <w:t xml:space="preserve"> (WB: </w:t>
      </w:r>
      <w:r>
        <w:rPr>
          <w:rFonts w:ascii="Calibri" w:eastAsia="Times New Roman" w:hAnsi="Calibri" w:cs="Calibri"/>
          <w:b/>
          <w:bCs/>
          <w:sz w:val="18"/>
          <w:szCs w:val="18"/>
        </w:rPr>
        <w:t>US</w:t>
      </w:r>
      <w:r>
        <w:rPr>
          <w:rFonts w:ascii="Calibri" w:hAnsi="Calibri" w:cs="Calibri"/>
          <w:b/>
          <w:bCs/>
          <w:sz w:val="18"/>
          <w:szCs w:val="18"/>
        </w:rPr>
        <w:t>$</w:t>
      </w:r>
      <w:r w:rsidRPr="0063640B">
        <w:rPr>
          <w:rFonts w:ascii="Calibri" w:hAnsi="Calibri" w:cs="Calibri"/>
          <w:b/>
          <w:bCs/>
          <w:sz w:val="18"/>
          <w:szCs w:val="18"/>
        </w:rPr>
        <w:t xml:space="preserve">900 m. financing, and </w:t>
      </w:r>
      <w:r>
        <w:rPr>
          <w:rFonts w:ascii="Calibri" w:hAnsi="Calibri" w:cs="Calibri"/>
          <w:b/>
          <w:bCs/>
          <w:sz w:val="18"/>
          <w:szCs w:val="18"/>
        </w:rPr>
        <w:t>US$</w:t>
      </w:r>
      <w:r w:rsidRPr="0063640B">
        <w:rPr>
          <w:rFonts w:ascii="Calibri" w:hAnsi="Calibri" w:cs="Calibri"/>
          <w:b/>
          <w:sz w:val="18"/>
          <w:szCs w:val="18"/>
        </w:rPr>
        <w:t>3</w:t>
      </w:r>
      <w:r w:rsidRPr="0063640B">
        <w:rPr>
          <w:rFonts w:ascii="Calibri" w:hAnsi="Calibri" w:cs="Calibri"/>
          <w:b/>
          <w:bCs/>
          <w:sz w:val="18"/>
          <w:szCs w:val="18"/>
        </w:rPr>
        <w:t xml:space="preserve"> m. CTF REI TA grant financing) </w:t>
      </w:r>
    </w:p>
    <w:p w14:paraId="6A5254FC" w14:textId="77777777" w:rsidR="00D16224" w:rsidRPr="0063640B" w:rsidRDefault="00D16224" w:rsidP="00D16224">
      <w:pPr>
        <w:spacing w:after="0" w:line="240" w:lineRule="auto"/>
        <w:rPr>
          <w:rFonts w:ascii="Calibri" w:eastAsia="Times New Roman" w:hAnsi="Calibri" w:cs="Calibri"/>
          <w:color w:val="000000" w:themeColor="text1"/>
          <w:sz w:val="18"/>
          <w:szCs w:val="18"/>
        </w:rPr>
      </w:pPr>
    </w:p>
    <w:p w14:paraId="73932461" w14:textId="77777777" w:rsidR="00D16224" w:rsidRPr="0063640B" w:rsidRDefault="00D16224" w:rsidP="00D16224">
      <w:pPr>
        <w:pStyle w:val="BodyText"/>
        <w:rPr>
          <w:b/>
          <w:sz w:val="18"/>
          <w:szCs w:val="18"/>
          <w:lang w:val="tr"/>
        </w:rPr>
      </w:pPr>
      <w:r w:rsidRPr="0063640B">
        <w:rPr>
          <w:b/>
          <w:sz w:val="18"/>
          <w:szCs w:val="18"/>
        </w:rPr>
        <w:t xml:space="preserve">A) First pumped hydro storage (2028) (WB: </w:t>
      </w:r>
      <w:r>
        <w:rPr>
          <w:b/>
          <w:sz w:val="18"/>
          <w:szCs w:val="18"/>
        </w:rPr>
        <w:t>US$</w:t>
      </w:r>
      <w:r w:rsidRPr="0063640B">
        <w:rPr>
          <w:b/>
          <w:sz w:val="18"/>
          <w:szCs w:val="18"/>
        </w:rPr>
        <w:t xml:space="preserve">600 m. investment, </w:t>
      </w:r>
      <w:r>
        <w:rPr>
          <w:b/>
          <w:sz w:val="18"/>
          <w:szCs w:val="18"/>
        </w:rPr>
        <w:t>US$</w:t>
      </w:r>
      <w:r w:rsidRPr="0063640B">
        <w:rPr>
          <w:b/>
          <w:sz w:val="18"/>
          <w:szCs w:val="18"/>
        </w:rPr>
        <w:t xml:space="preserve">1.5 m. CTF-REI TA grant financing): </w:t>
      </w:r>
    </w:p>
    <w:p w14:paraId="6EE79F76" w14:textId="77777777" w:rsidR="00D16224" w:rsidRPr="0063640B" w:rsidRDefault="00D16224" w:rsidP="00D16224">
      <w:pPr>
        <w:pStyle w:val="BodyText"/>
        <w:jc w:val="both"/>
        <w:rPr>
          <w:sz w:val="18"/>
          <w:szCs w:val="18"/>
          <w:lang w:val="tr"/>
        </w:rPr>
      </w:pPr>
      <w:r w:rsidRPr="0063640B">
        <w:rPr>
          <w:sz w:val="18"/>
          <w:szCs w:val="18"/>
        </w:rPr>
        <w:t>The CTF-REI funded TA project will assess the potential sites for pumped hydro storage facilities with regard to associated costs and risks (</w:t>
      </w:r>
      <w:proofErr w:type="gramStart"/>
      <w:r w:rsidRPr="0063640B">
        <w:rPr>
          <w:sz w:val="18"/>
          <w:szCs w:val="18"/>
        </w:rPr>
        <w:t>e.g.</w:t>
      </w:r>
      <w:proofErr w:type="gramEnd"/>
      <w:r w:rsidRPr="0063640B">
        <w:rPr>
          <w:sz w:val="18"/>
          <w:szCs w:val="18"/>
        </w:rPr>
        <w:t xml:space="preserve"> environmental, social, financial, hydraulic) risks; and inform the government on the best 3-4 sites. The feasibility study of the best option will be conducted under the </w:t>
      </w:r>
      <w:r>
        <w:rPr>
          <w:sz w:val="18"/>
          <w:szCs w:val="18"/>
        </w:rPr>
        <w:t>$</w:t>
      </w:r>
      <w:r w:rsidRPr="0063640B">
        <w:rPr>
          <w:sz w:val="18"/>
          <w:szCs w:val="18"/>
        </w:rPr>
        <w:t xml:space="preserve">600 m. WB financed investment project.  </w:t>
      </w:r>
    </w:p>
    <w:p w14:paraId="46DD6661" w14:textId="77777777" w:rsidR="00D16224" w:rsidRPr="0063640B" w:rsidRDefault="00D16224" w:rsidP="00D16224">
      <w:pPr>
        <w:pStyle w:val="BodyText"/>
        <w:rPr>
          <w:sz w:val="18"/>
          <w:szCs w:val="18"/>
          <w:lang w:val="tr"/>
        </w:rPr>
      </w:pPr>
    </w:p>
    <w:p w14:paraId="36AD8276" w14:textId="77777777" w:rsidR="00D16224" w:rsidRPr="0063640B" w:rsidRDefault="00D16224" w:rsidP="00D16224">
      <w:pPr>
        <w:pStyle w:val="BodyText"/>
        <w:rPr>
          <w:b/>
          <w:bCs/>
          <w:sz w:val="18"/>
          <w:szCs w:val="18"/>
          <w:lang w:val="tr"/>
        </w:rPr>
      </w:pPr>
      <w:r w:rsidRPr="0063640B">
        <w:rPr>
          <w:b/>
          <w:bCs/>
          <w:sz w:val="18"/>
          <w:szCs w:val="18"/>
        </w:rPr>
        <w:t xml:space="preserve">B) Hydropower energy efficiency (2026) (WB:  </w:t>
      </w:r>
      <w:r>
        <w:rPr>
          <w:b/>
          <w:bCs/>
          <w:sz w:val="18"/>
          <w:szCs w:val="18"/>
        </w:rPr>
        <w:t>US$</w:t>
      </w:r>
      <w:r w:rsidRPr="0063640B">
        <w:rPr>
          <w:b/>
          <w:bCs/>
          <w:sz w:val="18"/>
          <w:szCs w:val="18"/>
        </w:rPr>
        <w:t xml:space="preserve">300 m., </w:t>
      </w:r>
      <w:r>
        <w:rPr>
          <w:b/>
          <w:bCs/>
          <w:sz w:val="18"/>
          <w:szCs w:val="18"/>
        </w:rPr>
        <w:t>US$</w:t>
      </w:r>
      <w:r w:rsidRPr="0063640B">
        <w:rPr>
          <w:b/>
          <w:bCs/>
          <w:sz w:val="18"/>
          <w:szCs w:val="18"/>
        </w:rPr>
        <w:t>1.5 m. CTF-REI TA grant financing)</w:t>
      </w:r>
    </w:p>
    <w:p w14:paraId="3972BFEF" w14:textId="77777777" w:rsidR="00D16224" w:rsidRPr="0063640B" w:rsidRDefault="00D16224" w:rsidP="00D16224">
      <w:pPr>
        <w:pStyle w:val="BodyText"/>
        <w:jc w:val="both"/>
        <w:rPr>
          <w:sz w:val="18"/>
          <w:szCs w:val="18"/>
          <w:lang w:val="tr"/>
        </w:rPr>
      </w:pPr>
      <w:r w:rsidRPr="0063640B">
        <w:rPr>
          <w:sz w:val="18"/>
          <w:szCs w:val="18"/>
        </w:rPr>
        <w:t xml:space="preserve">The World Bank has conducted analyses </w:t>
      </w:r>
      <w:proofErr w:type="gramStart"/>
      <w:r w:rsidRPr="0063640B">
        <w:rPr>
          <w:sz w:val="18"/>
          <w:szCs w:val="18"/>
        </w:rPr>
        <w:t>with regard to</w:t>
      </w:r>
      <w:proofErr w:type="gramEnd"/>
      <w:r w:rsidRPr="0063640B">
        <w:rPr>
          <w:sz w:val="18"/>
          <w:szCs w:val="18"/>
        </w:rPr>
        <w:t xml:space="preserve"> necessary energy efficiency measures for the 22 EUAS owned hydro-power plants through the EU-IPA funds. The proposed TA project will help the government sequence the rehabilitation activities without jeopardizing the security of power supply. The prioritized rehabilitation activities will be conducted under the </w:t>
      </w:r>
      <w:r>
        <w:rPr>
          <w:sz w:val="18"/>
          <w:szCs w:val="18"/>
        </w:rPr>
        <w:t>$</w:t>
      </w:r>
      <w:r w:rsidRPr="0063640B">
        <w:rPr>
          <w:sz w:val="18"/>
          <w:szCs w:val="18"/>
        </w:rPr>
        <w:t xml:space="preserve">300 m. WB financed investment project.   </w:t>
      </w:r>
    </w:p>
    <w:p w14:paraId="6A43FE52" w14:textId="023A1037" w:rsidR="0078076A" w:rsidRPr="0063640B" w:rsidRDefault="0078076A" w:rsidP="0062799C">
      <w:pPr>
        <w:pStyle w:val="FootnoteText"/>
        <w:rPr>
          <w:sz w:val="18"/>
          <w:szCs w:val="18"/>
          <w:lang w:val="tr"/>
        </w:rPr>
      </w:pPr>
    </w:p>
    <w:p w14:paraId="4D808401" w14:textId="77777777" w:rsidR="0078076A" w:rsidRDefault="0078076A" w:rsidP="0078076A">
      <w:pPr>
        <w:pStyle w:val="FootnoteText"/>
      </w:pPr>
    </w:p>
  </w:footnote>
  <w:footnote w:id="29">
    <w:p w14:paraId="4DDC0171" w14:textId="77777777" w:rsidR="005A5051" w:rsidRPr="00E1057B" w:rsidRDefault="005A5051" w:rsidP="005A5051">
      <w:pPr>
        <w:pStyle w:val="FootnoteText"/>
        <w:rPr>
          <w:sz w:val="18"/>
          <w:szCs w:val="18"/>
          <w:lang w:val="en-GB"/>
        </w:rPr>
      </w:pPr>
      <w:r>
        <w:rPr>
          <w:rStyle w:val="FootnoteReference"/>
        </w:rPr>
        <w:footnoteRef/>
      </w:r>
      <w:r>
        <w:t xml:space="preserve"> </w:t>
      </w:r>
      <w:r w:rsidRPr="00E1057B">
        <w:rPr>
          <w:sz w:val="18"/>
          <w:szCs w:val="18"/>
          <w:lang w:val="en-GB"/>
        </w:rPr>
        <w:t>As per usual EBRD practice, the Bank will seek co-financing from private sector as well as other sources.</w:t>
      </w:r>
    </w:p>
  </w:footnote>
  <w:footnote w:id="30">
    <w:p w14:paraId="0C302B23" w14:textId="77777777" w:rsidR="005A5051" w:rsidRDefault="005A5051" w:rsidP="005A5051">
      <w:pPr>
        <w:pStyle w:val="FootnoteText"/>
      </w:pPr>
      <w:r w:rsidRPr="00E1057B">
        <w:rPr>
          <w:rStyle w:val="FootnoteReference"/>
          <w:sz w:val="18"/>
          <w:szCs w:val="18"/>
        </w:rPr>
        <w:footnoteRef/>
      </w:r>
      <w:r w:rsidRPr="00E1057B">
        <w:rPr>
          <w:sz w:val="18"/>
          <w:szCs w:val="18"/>
        </w:rPr>
        <w:t xml:space="preserve"> In case of availability of additional CTF grant financing of US$3 million., the Government of Türkiye would like to use it for Component 3.</w:t>
      </w:r>
    </w:p>
  </w:footnote>
  <w:footnote w:id="31">
    <w:p w14:paraId="34763845" w14:textId="5A029379" w:rsidR="00014865" w:rsidRPr="001E14C7" w:rsidRDefault="00014865" w:rsidP="00B1038F">
      <w:pPr>
        <w:pStyle w:val="FootnoteText"/>
        <w:rPr>
          <w:sz w:val="18"/>
          <w:szCs w:val="18"/>
          <w:lang w:val="tr-TR"/>
        </w:rPr>
      </w:pPr>
      <w:r w:rsidRPr="001E14C7">
        <w:rPr>
          <w:rStyle w:val="FootnoteReference"/>
          <w:sz w:val="18"/>
          <w:szCs w:val="18"/>
        </w:rPr>
        <w:footnoteRef/>
      </w:r>
      <w:r w:rsidRPr="001E14C7">
        <w:rPr>
          <w:sz w:val="18"/>
          <w:szCs w:val="18"/>
          <w:lang w:val="tr-TR"/>
        </w:rPr>
        <w:t xml:space="preserve"> </w:t>
      </w:r>
      <w:r w:rsidR="00B1038F">
        <w:rPr>
          <w:sz w:val="18"/>
          <w:szCs w:val="18"/>
          <w:lang w:val="tr-TR"/>
        </w:rPr>
        <w:t>CIF 2023 “</w:t>
      </w:r>
      <w:r w:rsidR="00B1038F" w:rsidRPr="00B1038F">
        <w:rPr>
          <w:sz w:val="18"/>
          <w:szCs w:val="18"/>
          <w:lang w:val="tr-TR"/>
        </w:rPr>
        <w:t>R</w:t>
      </w:r>
      <w:r w:rsidR="009C23B9">
        <w:rPr>
          <w:sz w:val="18"/>
          <w:szCs w:val="18"/>
          <w:lang w:val="tr-TR"/>
        </w:rPr>
        <w:t xml:space="preserve">enewable </w:t>
      </w:r>
      <w:r w:rsidR="00B1038F" w:rsidRPr="00B1038F">
        <w:rPr>
          <w:sz w:val="18"/>
          <w:szCs w:val="18"/>
          <w:lang w:val="tr-TR"/>
        </w:rPr>
        <w:t>E</w:t>
      </w:r>
      <w:r w:rsidR="009C23B9">
        <w:rPr>
          <w:sz w:val="18"/>
          <w:szCs w:val="18"/>
          <w:lang w:val="tr-TR"/>
        </w:rPr>
        <w:t xml:space="preserve">nergy </w:t>
      </w:r>
      <w:r w:rsidR="00B1038F" w:rsidRPr="00B1038F">
        <w:rPr>
          <w:sz w:val="18"/>
          <w:szCs w:val="18"/>
          <w:lang w:val="tr-TR"/>
        </w:rPr>
        <w:t>I</w:t>
      </w:r>
      <w:r w:rsidR="009C23B9">
        <w:rPr>
          <w:sz w:val="18"/>
          <w:szCs w:val="18"/>
          <w:lang w:val="tr-TR"/>
        </w:rPr>
        <w:t>ntegration</w:t>
      </w:r>
      <w:r w:rsidR="00B1038F" w:rsidRPr="00B1038F">
        <w:rPr>
          <w:sz w:val="18"/>
          <w:szCs w:val="18"/>
          <w:lang w:val="tr-TR"/>
        </w:rPr>
        <w:t xml:space="preserve"> </w:t>
      </w:r>
      <w:r w:rsidR="009C23B9">
        <w:rPr>
          <w:sz w:val="18"/>
          <w:szCs w:val="18"/>
          <w:lang w:val="tr-TR"/>
        </w:rPr>
        <w:t xml:space="preserve">(REI) </w:t>
      </w:r>
      <w:r w:rsidR="00B1038F" w:rsidRPr="00B1038F">
        <w:rPr>
          <w:sz w:val="18"/>
          <w:szCs w:val="18"/>
          <w:lang w:val="tr-TR"/>
        </w:rPr>
        <w:t>Program</w:t>
      </w:r>
      <w:r w:rsidR="00B1038F">
        <w:rPr>
          <w:sz w:val="18"/>
          <w:szCs w:val="18"/>
          <w:lang w:val="tr-TR"/>
        </w:rPr>
        <w:t xml:space="preserve"> </w:t>
      </w:r>
      <w:r w:rsidR="009C23B9">
        <w:rPr>
          <w:sz w:val="18"/>
          <w:szCs w:val="18"/>
          <w:lang w:val="tr-TR"/>
        </w:rPr>
        <w:t xml:space="preserve">Monitoring </w:t>
      </w:r>
      <w:r w:rsidR="00B1038F">
        <w:rPr>
          <w:sz w:val="18"/>
          <w:szCs w:val="18"/>
          <w:lang w:val="tr-TR"/>
        </w:rPr>
        <w:t>a</w:t>
      </w:r>
      <w:r w:rsidR="00B1038F" w:rsidRPr="00B1038F">
        <w:rPr>
          <w:sz w:val="18"/>
          <w:szCs w:val="18"/>
          <w:lang w:val="tr-TR"/>
        </w:rPr>
        <w:t>nd</w:t>
      </w:r>
      <w:r w:rsidR="00B1038F">
        <w:rPr>
          <w:sz w:val="18"/>
          <w:szCs w:val="18"/>
          <w:lang w:val="tr-TR"/>
        </w:rPr>
        <w:t xml:space="preserve"> </w:t>
      </w:r>
      <w:r w:rsidR="009C23B9">
        <w:rPr>
          <w:sz w:val="18"/>
          <w:szCs w:val="18"/>
          <w:lang w:val="tr-TR"/>
        </w:rPr>
        <w:t xml:space="preserve">Reporting (M&amp;R) </w:t>
      </w:r>
      <w:r w:rsidR="00B1038F">
        <w:rPr>
          <w:sz w:val="18"/>
          <w:szCs w:val="18"/>
          <w:lang w:val="tr-TR"/>
        </w:rPr>
        <w:t>Toolkit</w:t>
      </w:r>
      <w:r w:rsidR="009C23B9">
        <w:rPr>
          <w:sz w:val="18"/>
          <w:szCs w:val="18"/>
          <w:lang w:val="tr-TR"/>
        </w:rPr>
        <w:t>:</w:t>
      </w:r>
      <w:r w:rsidR="00B1038F">
        <w:rPr>
          <w:sz w:val="18"/>
          <w:szCs w:val="18"/>
          <w:lang w:val="tr-TR"/>
        </w:rPr>
        <w:t xml:space="preserve"> </w:t>
      </w:r>
      <w:r w:rsidR="00B1038F" w:rsidRPr="00B1038F">
        <w:rPr>
          <w:sz w:val="18"/>
          <w:szCs w:val="18"/>
          <w:lang w:val="tr-TR"/>
        </w:rPr>
        <w:t>Operational Guidance on the REI M&amp;R System</w:t>
      </w:r>
      <w:r w:rsidR="009C23B9">
        <w:rPr>
          <w:sz w:val="18"/>
          <w:szCs w:val="18"/>
          <w:lang w:val="tr-TR"/>
        </w:rPr>
        <w:t xml:space="preserve">” </w:t>
      </w:r>
      <w:hyperlink r:id="rId2" w:history="1">
        <w:r w:rsidR="006E763C" w:rsidRPr="009422D3">
          <w:rPr>
            <w:rStyle w:val="Hyperlink"/>
            <w:sz w:val="18"/>
            <w:szCs w:val="18"/>
            <w:lang w:val="tr-TR"/>
          </w:rPr>
          <w:t>https://www.cif.org/knowledge-documents/rei-program-monitoring-and-reporting-toolkit</w:t>
        </w:r>
      </w:hyperlink>
      <w:r w:rsidR="00012D6A">
        <w:rPr>
          <w:sz w:val="18"/>
          <w:szCs w:val="18"/>
          <w:lang w:val="tr-TR"/>
        </w:rPr>
        <w:t xml:space="preserve"> </w:t>
      </w:r>
    </w:p>
  </w:footnote>
  <w:footnote w:id="32">
    <w:p w14:paraId="08A24DA4" w14:textId="77777777" w:rsidR="00F71C51" w:rsidRDefault="00DA4FAF">
      <w:pPr>
        <w:pStyle w:val="FootnoteText"/>
        <w:rPr>
          <w:sz w:val="18"/>
          <w:szCs w:val="18"/>
        </w:rPr>
      </w:pPr>
      <w:r>
        <w:rPr>
          <w:rStyle w:val="FootnoteReference"/>
        </w:rPr>
        <w:footnoteRef/>
      </w:r>
      <w:r>
        <w:t xml:space="preserve"> </w:t>
      </w:r>
      <w:r w:rsidR="006B60E9" w:rsidRPr="00F71C51">
        <w:rPr>
          <w:sz w:val="18"/>
          <w:szCs w:val="18"/>
        </w:rPr>
        <w:t xml:space="preserve">The </w:t>
      </w:r>
      <w:r w:rsidR="00EB7086" w:rsidRPr="00F71C51">
        <w:rPr>
          <w:sz w:val="18"/>
          <w:szCs w:val="18"/>
        </w:rPr>
        <w:t xml:space="preserve">toolkit </w:t>
      </w:r>
      <w:r w:rsidR="00AE23CF" w:rsidRPr="00F71C51">
        <w:rPr>
          <w:sz w:val="18"/>
          <w:szCs w:val="18"/>
        </w:rPr>
        <w:t xml:space="preserve">categorizes </w:t>
      </w:r>
      <w:r w:rsidR="0054288E" w:rsidRPr="00F71C51">
        <w:rPr>
          <w:sz w:val="18"/>
          <w:szCs w:val="18"/>
        </w:rPr>
        <w:t xml:space="preserve">indicators in </w:t>
      </w:r>
      <w:r w:rsidR="00EB7086" w:rsidRPr="00F71C51">
        <w:rPr>
          <w:sz w:val="18"/>
          <w:szCs w:val="18"/>
        </w:rPr>
        <w:t xml:space="preserve">the following </w:t>
      </w:r>
      <w:r w:rsidR="006B60E9" w:rsidRPr="00F71C51">
        <w:rPr>
          <w:sz w:val="18"/>
          <w:szCs w:val="18"/>
        </w:rPr>
        <w:t>seven</w:t>
      </w:r>
      <w:r w:rsidRPr="00F71C51">
        <w:rPr>
          <w:sz w:val="18"/>
          <w:szCs w:val="18"/>
        </w:rPr>
        <w:t xml:space="preserve"> categories:</w:t>
      </w:r>
    </w:p>
    <w:p w14:paraId="0B7CC101" w14:textId="06867358" w:rsidR="00F71C51" w:rsidRDefault="00DA4FAF" w:rsidP="00F71C51">
      <w:pPr>
        <w:pStyle w:val="FootnoteText"/>
        <w:jc w:val="left"/>
        <w:rPr>
          <w:sz w:val="18"/>
          <w:szCs w:val="18"/>
        </w:rPr>
      </w:pPr>
      <w:r w:rsidRPr="00F71C51">
        <w:rPr>
          <w:sz w:val="18"/>
          <w:szCs w:val="18"/>
        </w:rPr>
        <w:t>1</w:t>
      </w:r>
      <w:r w:rsidR="00D33BFF" w:rsidRPr="00F71C51">
        <w:rPr>
          <w:sz w:val="18"/>
          <w:szCs w:val="18"/>
        </w:rPr>
        <w:t>)</w:t>
      </w:r>
      <w:r w:rsidRPr="00F71C51">
        <w:rPr>
          <w:sz w:val="18"/>
          <w:szCs w:val="18"/>
        </w:rPr>
        <w:t xml:space="preserve"> CIF </w:t>
      </w:r>
      <w:r w:rsidR="008068AE" w:rsidRPr="00F71C51">
        <w:rPr>
          <w:sz w:val="18"/>
          <w:szCs w:val="18"/>
        </w:rPr>
        <w:t>Impact.</w:t>
      </w:r>
      <w:r w:rsidRPr="00F71C51">
        <w:rPr>
          <w:sz w:val="18"/>
          <w:szCs w:val="18"/>
        </w:rPr>
        <w:t xml:space="preserve"> </w:t>
      </w:r>
    </w:p>
    <w:p w14:paraId="782A88FF" w14:textId="32BD4E55" w:rsidR="00F71C51" w:rsidRDefault="00DA4FAF" w:rsidP="00F71C51">
      <w:pPr>
        <w:pStyle w:val="FootnoteText"/>
        <w:jc w:val="left"/>
        <w:rPr>
          <w:sz w:val="18"/>
          <w:szCs w:val="18"/>
        </w:rPr>
      </w:pPr>
      <w:r w:rsidRPr="00F71C51">
        <w:rPr>
          <w:sz w:val="18"/>
          <w:szCs w:val="18"/>
        </w:rPr>
        <w:t>2</w:t>
      </w:r>
      <w:r w:rsidR="00D33BFF" w:rsidRPr="00F71C51">
        <w:rPr>
          <w:sz w:val="18"/>
          <w:szCs w:val="18"/>
        </w:rPr>
        <w:t>)</w:t>
      </w:r>
      <w:r w:rsidRPr="00F71C51">
        <w:rPr>
          <w:sz w:val="18"/>
          <w:szCs w:val="18"/>
        </w:rPr>
        <w:t xml:space="preserve"> REI </w:t>
      </w:r>
      <w:r w:rsidR="00291AE0" w:rsidRPr="00F71C51">
        <w:rPr>
          <w:sz w:val="18"/>
          <w:szCs w:val="18"/>
        </w:rPr>
        <w:t xml:space="preserve">Country Impact </w:t>
      </w:r>
      <w:r w:rsidR="008068AE" w:rsidRPr="00F71C51">
        <w:rPr>
          <w:sz w:val="18"/>
          <w:szCs w:val="18"/>
        </w:rPr>
        <w:t>Indicators.</w:t>
      </w:r>
      <w:r w:rsidR="00291AE0" w:rsidRPr="00F71C51">
        <w:rPr>
          <w:sz w:val="18"/>
          <w:szCs w:val="18"/>
        </w:rPr>
        <w:t xml:space="preserve"> </w:t>
      </w:r>
    </w:p>
    <w:p w14:paraId="1EDDA086" w14:textId="547AF8FA" w:rsidR="00F71C51" w:rsidRDefault="00291AE0" w:rsidP="00F71C51">
      <w:pPr>
        <w:pStyle w:val="FootnoteText"/>
        <w:jc w:val="left"/>
        <w:rPr>
          <w:sz w:val="18"/>
          <w:szCs w:val="18"/>
        </w:rPr>
      </w:pPr>
      <w:r w:rsidRPr="00F71C51">
        <w:rPr>
          <w:sz w:val="18"/>
          <w:szCs w:val="18"/>
        </w:rPr>
        <w:t>3</w:t>
      </w:r>
      <w:r w:rsidR="00D33BFF" w:rsidRPr="00F71C51">
        <w:rPr>
          <w:sz w:val="18"/>
          <w:szCs w:val="18"/>
        </w:rPr>
        <w:t>)</w:t>
      </w:r>
      <w:r w:rsidRPr="00F71C51">
        <w:rPr>
          <w:sz w:val="18"/>
          <w:szCs w:val="18"/>
        </w:rPr>
        <w:t xml:space="preserve"> REI Core Indicators</w:t>
      </w:r>
      <w:r w:rsidR="00DA050F" w:rsidRPr="00F71C51">
        <w:rPr>
          <w:sz w:val="18"/>
          <w:szCs w:val="18"/>
        </w:rPr>
        <w:t xml:space="preserve"> (outcome</w:t>
      </w:r>
      <w:r w:rsidR="00EB7086" w:rsidRPr="00F71C51">
        <w:rPr>
          <w:sz w:val="18"/>
          <w:szCs w:val="18"/>
        </w:rPr>
        <w:t>s</w:t>
      </w:r>
      <w:r w:rsidR="008068AE" w:rsidRPr="00F71C51">
        <w:rPr>
          <w:sz w:val="18"/>
          <w:szCs w:val="18"/>
        </w:rPr>
        <w:t>).</w:t>
      </w:r>
    </w:p>
    <w:p w14:paraId="0EE7F70B" w14:textId="2A4B5DF6" w:rsidR="00F71C51" w:rsidRDefault="00291AE0" w:rsidP="00F71C51">
      <w:pPr>
        <w:pStyle w:val="FootnoteText"/>
        <w:jc w:val="left"/>
        <w:rPr>
          <w:sz w:val="18"/>
          <w:szCs w:val="18"/>
        </w:rPr>
      </w:pPr>
      <w:r w:rsidRPr="00F71C51">
        <w:rPr>
          <w:sz w:val="18"/>
          <w:szCs w:val="18"/>
        </w:rPr>
        <w:t>4</w:t>
      </w:r>
      <w:r w:rsidR="00D33BFF" w:rsidRPr="00F71C51">
        <w:rPr>
          <w:sz w:val="18"/>
          <w:szCs w:val="18"/>
        </w:rPr>
        <w:t>)</w:t>
      </w:r>
      <w:r w:rsidRPr="00F71C51">
        <w:rPr>
          <w:sz w:val="18"/>
          <w:szCs w:val="18"/>
        </w:rPr>
        <w:t xml:space="preserve"> REI Co-Benefits</w:t>
      </w:r>
      <w:r w:rsidR="00EA777C" w:rsidRPr="00F71C51">
        <w:rPr>
          <w:sz w:val="18"/>
          <w:szCs w:val="18"/>
        </w:rPr>
        <w:t xml:space="preserve"> (outcome</w:t>
      </w:r>
      <w:r w:rsidR="00EB7086" w:rsidRPr="00F71C51">
        <w:rPr>
          <w:sz w:val="18"/>
          <w:szCs w:val="18"/>
        </w:rPr>
        <w:t>s</w:t>
      </w:r>
      <w:r w:rsidR="008068AE" w:rsidRPr="00F71C51">
        <w:rPr>
          <w:sz w:val="18"/>
          <w:szCs w:val="18"/>
        </w:rPr>
        <w:t>).</w:t>
      </w:r>
      <w:r w:rsidRPr="00F71C51">
        <w:rPr>
          <w:sz w:val="18"/>
          <w:szCs w:val="18"/>
        </w:rPr>
        <w:t xml:space="preserve"> </w:t>
      </w:r>
    </w:p>
    <w:p w14:paraId="4F26D635" w14:textId="1967F347" w:rsidR="00F71C51" w:rsidRDefault="00291AE0" w:rsidP="00F71C51">
      <w:pPr>
        <w:pStyle w:val="FootnoteText"/>
        <w:jc w:val="left"/>
        <w:rPr>
          <w:sz w:val="18"/>
          <w:szCs w:val="18"/>
        </w:rPr>
      </w:pPr>
      <w:r w:rsidRPr="00F71C51">
        <w:rPr>
          <w:sz w:val="18"/>
          <w:szCs w:val="18"/>
        </w:rPr>
        <w:t>5</w:t>
      </w:r>
      <w:r w:rsidR="00D33BFF" w:rsidRPr="00F71C51">
        <w:rPr>
          <w:sz w:val="18"/>
          <w:szCs w:val="18"/>
        </w:rPr>
        <w:t>)</w:t>
      </w:r>
      <w:r w:rsidRPr="00F71C51">
        <w:rPr>
          <w:sz w:val="18"/>
          <w:szCs w:val="18"/>
        </w:rPr>
        <w:t xml:space="preserve"> Optional Indicators (outcome</w:t>
      </w:r>
      <w:r w:rsidR="00EB7086" w:rsidRPr="00F71C51">
        <w:rPr>
          <w:sz w:val="18"/>
          <w:szCs w:val="18"/>
        </w:rPr>
        <w:t>s</w:t>
      </w:r>
      <w:r w:rsidRPr="00F71C51">
        <w:rPr>
          <w:sz w:val="18"/>
          <w:szCs w:val="18"/>
        </w:rPr>
        <w:t xml:space="preserve"> and</w:t>
      </w:r>
      <w:r w:rsidR="00FF49F6" w:rsidRPr="00F71C51">
        <w:rPr>
          <w:sz w:val="18"/>
          <w:szCs w:val="18"/>
        </w:rPr>
        <w:t>/or</w:t>
      </w:r>
      <w:r w:rsidRPr="00F71C51">
        <w:rPr>
          <w:sz w:val="18"/>
          <w:szCs w:val="18"/>
        </w:rPr>
        <w:t xml:space="preserve"> output</w:t>
      </w:r>
      <w:r w:rsidR="00EB7086" w:rsidRPr="00F71C51">
        <w:rPr>
          <w:sz w:val="18"/>
          <w:szCs w:val="18"/>
        </w:rPr>
        <w:t>s</w:t>
      </w:r>
      <w:r w:rsidR="008068AE" w:rsidRPr="00F71C51">
        <w:rPr>
          <w:sz w:val="18"/>
          <w:szCs w:val="18"/>
        </w:rPr>
        <w:t>).</w:t>
      </w:r>
      <w:r w:rsidRPr="00F71C51">
        <w:rPr>
          <w:sz w:val="18"/>
          <w:szCs w:val="18"/>
        </w:rPr>
        <w:t xml:space="preserve"> </w:t>
      </w:r>
    </w:p>
    <w:p w14:paraId="02227C12" w14:textId="77777777" w:rsidR="00F71C51" w:rsidRDefault="009B22CB" w:rsidP="00F71C51">
      <w:pPr>
        <w:pStyle w:val="FootnoteText"/>
        <w:jc w:val="left"/>
        <w:rPr>
          <w:sz w:val="18"/>
          <w:szCs w:val="18"/>
        </w:rPr>
      </w:pPr>
      <w:r w:rsidRPr="00F71C51">
        <w:rPr>
          <w:sz w:val="18"/>
          <w:szCs w:val="18"/>
        </w:rPr>
        <w:t>6</w:t>
      </w:r>
      <w:r w:rsidR="00D33BFF" w:rsidRPr="00F71C51">
        <w:rPr>
          <w:sz w:val="18"/>
          <w:szCs w:val="18"/>
        </w:rPr>
        <w:t>)</w:t>
      </w:r>
      <w:r w:rsidRPr="00F71C51">
        <w:rPr>
          <w:sz w:val="18"/>
          <w:szCs w:val="18"/>
        </w:rPr>
        <w:t xml:space="preserve"> Project-specific indicators (</w:t>
      </w:r>
      <w:r w:rsidR="00FF49F6" w:rsidRPr="00F71C51">
        <w:rPr>
          <w:sz w:val="18"/>
          <w:szCs w:val="18"/>
        </w:rPr>
        <w:t>outcome</w:t>
      </w:r>
      <w:r w:rsidR="00EB7086" w:rsidRPr="00F71C51">
        <w:rPr>
          <w:sz w:val="18"/>
          <w:szCs w:val="18"/>
        </w:rPr>
        <w:t>s</w:t>
      </w:r>
      <w:r w:rsidR="00FF49F6" w:rsidRPr="00F71C51">
        <w:rPr>
          <w:sz w:val="18"/>
          <w:szCs w:val="18"/>
        </w:rPr>
        <w:t xml:space="preserve"> and/or output</w:t>
      </w:r>
      <w:r w:rsidR="00EB7086" w:rsidRPr="00F71C51">
        <w:rPr>
          <w:sz w:val="18"/>
          <w:szCs w:val="18"/>
        </w:rPr>
        <w:t>s</w:t>
      </w:r>
      <w:r w:rsidR="00FF49F6" w:rsidRPr="00F71C51">
        <w:rPr>
          <w:sz w:val="18"/>
          <w:szCs w:val="18"/>
        </w:rPr>
        <w:t xml:space="preserve">); </w:t>
      </w:r>
      <w:r w:rsidR="00EA777C" w:rsidRPr="00F71C51">
        <w:rPr>
          <w:sz w:val="18"/>
          <w:szCs w:val="18"/>
        </w:rPr>
        <w:t>and</w:t>
      </w:r>
    </w:p>
    <w:p w14:paraId="79CBD2E6" w14:textId="7F8E8834" w:rsidR="00DA4FAF" w:rsidRPr="00F71C51" w:rsidRDefault="00FF49F6" w:rsidP="00F71C51">
      <w:pPr>
        <w:pStyle w:val="FootnoteText"/>
        <w:jc w:val="left"/>
        <w:rPr>
          <w:sz w:val="18"/>
          <w:szCs w:val="18"/>
        </w:rPr>
      </w:pPr>
      <w:r w:rsidRPr="00F71C51">
        <w:rPr>
          <w:sz w:val="18"/>
          <w:szCs w:val="18"/>
        </w:rPr>
        <w:t>7</w:t>
      </w:r>
      <w:r w:rsidR="00D33BFF" w:rsidRPr="00F71C51">
        <w:rPr>
          <w:sz w:val="18"/>
          <w:szCs w:val="18"/>
        </w:rPr>
        <w:t>)</w:t>
      </w:r>
      <w:r w:rsidRPr="00F71C51">
        <w:rPr>
          <w:sz w:val="18"/>
          <w:szCs w:val="18"/>
        </w:rPr>
        <w:t xml:space="preserve"> Energy storage indicators (</w:t>
      </w:r>
      <w:r w:rsidR="00316C11" w:rsidRPr="00F71C51">
        <w:rPr>
          <w:sz w:val="18"/>
          <w:szCs w:val="18"/>
        </w:rPr>
        <w:t>outcome</w:t>
      </w:r>
      <w:r w:rsidR="00EB7086" w:rsidRPr="00F71C51">
        <w:rPr>
          <w:sz w:val="18"/>
          <w:szCs w:val="18"/>
        </w:rPr>
        <w:t>s</w:t>
      </w:r>
      <w:r w:rsidR="00316C11" w:rsidRPr="00F71C51">
        <w:rPr>
          <w:sz w:val="18"/>
          <w:szCs w:val="18"/>
        </w:rPr>
        <w:t>).</w:t>
      </w:r>
    </w:p>
  </w:footnote>
  <w:footnote w:id="33">
    <w:p w14:paraId="38F0BE56" w14:textId="77777777" w:rsidR="00945D18" w:rsidRPr="007D4A30" w:rsidRDefault="00945D18" w:rsidP="00945D18">
      <w:pPr>
        <w:rPr>
          <w:sz w:val="20"/>
          <w:szCs w:val="20"/>
        </w:rPr>
      </w:pPr>
      <w:r>
        <w:rPr>
          <w:rStyle w:val="FootnoteReference"/>
        </w:rPr>
        <w:footnoteRef/>
      </w:r>
      <w:r>
        <w:t xml:space="preserve"> </w:t>
      </w:r>
      <w:r>
        <w:rPr>
          <w:sz w:val="20"/>
          <w:szCs w:val="20"/>
        </w:rPr>
        <w:t xml:space="preserve">The </w:t>
      </w:r>
      <w:r w:rsidRPr="00BE7DD1">
        <w:rPr>
          <w:sz w:val="20"/>
          <w:szCs w:val="20"/>
        </w:rPr>
        <w:t xml:space="preserve">Ministry of Environment, Urbanization and Climate Change Climate </w:t>
      </w:r>
      <w:r>
        <w:rPr>
          <w:sz w:val="20"/>
          <w:szCs w:val="20"/>
        </w:rPr>
        <w:t xml:space="preserve">(2024) </w:t>
      </w:r>
      <w:r w:rsidRPr="00BE7DD1">
        <w:rPr>
          <w:sz w:val="20"/>
          <w:szCs w:val="20"/>
        </w:rPr>
        <w:t>Climate Change Mitigation Strategy and Action Plan (2024-2030)</w:t>
      </w:r>
      <w:r w:rsidRPr="007D4A30">
        <w:rPr>
          <w:sz w:val="20"/>
          <w:szCs w:val="20"/>
        </w:rPr>
        <w:t xml:space="preserve"> </w:t>
      </w:r>
      <w:hyperlink r:id="rId3" w:history="1">
        <w:r w:rsidRPr="007D4A30">
          <w:rPr>
            <w:rStyle w:val="Hyperlink"/>
            <w:sz w:val="20"/>
            <w:szCs w:val="20"/>
          </w:rPr>
          <w:t>https://iklim.gov.tr/db/turkce/icerikler/files/undp_azaltim_spread.pdf</w:t>
        </w:r>
      </w:hyperlink>
      <w:r w:rsidRPr="007D4A30">
        <w:rPr>
          <w:sz w:val="20"/>
          <w:szCs w:val="20"/>
        </w:rPr>
        <w:t xml:space="preserve"> is consistent with and reflects </w:t>
      </w:r>
      <w:r>
        <w:rPr>
          <w:sz w:val="20"/>
          <w:szCs w:val="20"/>
        </w:rPr>
        <w:t xml:space="preserve">Türkiye’s </w:t>
      </w:r>
      <w:r w:rsidRPr="007D4A30">
        <w:rPr>
          <w:sz w:val="20"/>
          <w:szCs w:val="20"/>
        </w:rPr>
        <w:t>2023 National Energy Plan</w:t>
      </w:r>
      <w:r>
        <w:rPr>
          <w:sz w:val="20"/>
          <w:szCs w:val="20"/>
        </w:rPr>
        <w:t>.</w:t>
      </w:r>
    </w:p>
  </w:footnote>
  <w:footnote w:id="34">
    <w:p w14:paraId="06C2B779" w14:textId="77777777" w:rsidR="00945D18" w:rsidRDefault="00945D18" w:rsidP="00945D18">
      <w:pPr>
        <w:pStyle w:val="FootnoteText"/>
      </w:pPr>
      <w:r>
        <w:rPr>
          <w:rStyle w:val="FootnoteReference"/>
        </w:rPr>
        <w:footnoteRef/>
      </w:r>
      <w:r>
        <w:t xml:space="preserve"> Türkiye does not currently have a target for aggregate energy rating of battery storage. The 2023 National Energy Plan assumes an average energy capacity of two hours for battery systems associated with the power rating target.</w:t>
      </w:r>
    </w:p>
  </w:footnote>
  <w:footnote w:id="35">
    <w:p w14:paraId="77054258" w14:textId="4146789D" w:rsidR="00945D18" w:rsidRDefault="00945D18" w:rsidP="00945D18">
      <w:pPr>
        <w:pStyle w:val="FootnoteText"/>
      </w:pPr>
      <w:r>
        <w:rPr>
          <w:rStyle w:val="FootnoteReference"/>
        </w:rPr>
        <w:footnoteRef/>
      </w:r>
      <w:r>
        <w:t xml:space="preserve"> The emissions intensity target is defined as 20 percent reduction from 2024 level, the absolute equivalent of which will be determined </w:t>
      </w:r>
      <w:r w:rsidRPr="003E69A9">
        <w:rPr>
          <w:i/>
        </w:rPr>
        <w:t>ex post</w:t>
      </w:r>
      <w:r>
        <w:t>. The 2020 and 2030 values shown in the ta</w:t>
      </w:r>
      <w:r w:rsidR="00416E91">
        <w:t>b</w:t>
      </w:r>
      <w:r>
        <w:t>le are “</w:t>
      </w:r>
      <w:r w:rsidRPr="00A26D00">
        <w:t>Electricity Generation Emission Factors</w:t>
      </w:r>
      <w:r>
        <w:t>”</w:t>
      </w:r>
      <w:r w:rsidRPr="00A26D00">
        <w:t xml:space="preserve"> represent</w:t>
      </w:r>
      <w:r>
        <w:t>ing</w:t>
      </w:r>
      <w:r w:rsidRPr="00A26D00">
        <w:t xml:space="preserve"> the total amount of </w:t>
      </w:r>
      <w:r>
        <w:t>carbon dioxide</w:t>
      </w:r>
      <w:r w:rsidRPr="00A26D00">
        <w:t xml:space="preserve"> emitted per unit of gross electricity generation from power plants in Türkiye</w:t>
      </w:r>
      <w:r>
        <w:t xml:space="preserve"> using IEA methodology </w:t>
      </w:r>
      <w:hyperlink r:id="rId4" w:history="1">
        <w:r w:rsidRPr="00314A9E">
          <w:rPr>
            <w:rStyle w:val="Hyperlink"/>
          </w:rPr>
          <w:t>https://iea.blob.core.windows.net/assets/bf862218-7fd8-4637-aca6-5a347b6ca4f1/IEA_Methodology_Emission_Factors_2023.pdf</w:t>
        </w:r>
      </w:hyperlink>
      <w:r>
        <w:t>.</w:t>
      </w:r>
    </w:p>
  </w:footnote>
  <w:footnote w:id="36">
    <w:p w14:paraId="1FCF1C50" w14:textId="77777777" w:rsidR="00945D18" w:rsidRDefault="00945D18" w:rsidP="00945D18">
      <w:pPr>
        <w:pStyle w:val="FootnoteText"/>
      </w:pPr>
      <w:r>
        <w:rPr>
          <w:rStyle w:val="FootnoteReference"/>
        </w:rPr>
        <w:footnoteRef/>
      </w:r>
      <w:r>
        <w:t xml:space="preserve"> Core indicators may be excluded </w:t>
      </w:r>
      <w:r w:rsidRPr="00E22A3A">
        <w:t>where justifiably irrelevant to a given project’s context</w:t>
      </w:r>
      <w:r>
        <w:t xml:space="preserve"> (REI 2023 page 23).</w:t>
      </w:r>
    </w:p>
  </w:footnote>
  <w:footnote w:id="37">
    <w:p w14:paraId="2845D3F3" w14:textId="74F6A872" w:rsidR="009325EF" w:rsidRDefault="009325EF">
      <w:pPr>
        <w:pStyle w:val="FootnoteText"/>
      </w:pPr>
      <w:r>
        <w:rPr>
          <w:rStyle w:val="FootnoteReference"/>
        </w:rPr>
        <w:footnoteRef/>
      </w:r>
      <w:r>
        <w:t xml:space="preserve"> </w:t>
      </w:r>
      <w:r>
        <w:rPr>
          <w:rStyle w:val="cf01"/>
        </w:rPr>
        <w:t>In the 2010-2023 period, investments grew by 6.8 percent on average, while machinery and equipment investments and construction investments grew by 9.4 percent and 3.9 percent, respectively. Meanwhile, machinery and equipment investments have been growing uninterruptedly for the last 17 quarters.</w:t>
      </w:r>
    </w:p>
  </w:footnote>
  <w:footnote w:id="38">
    <w:p w14:paraId="4E5334E7" w14:textId="7C8BF6DD" w:rsidR="00A75B88" w:rsidRPr="008A191B" w:rsidRDefault="00A75B88">
      <w:pPr>
        <w:pStyle w:val="FootnoteText"/>
        <w:rPr>
          <w:rFonts w:cstheme="minorHAnsi"/>
          <w:sz w:val="18"/>
          <w:szCs w:val="18"/>
        </w:rPr>
      </w:pPr>
      <w:r w:rsidRPr="008A191B">
        <w:rPr>
          <w:rStyle w:val="FootnoteReference"/>
          <w:rFonts w:cstheme="minorHAnsi"/>
          <w:sz w:val="18"/>
          <w:szCs w:val="18"/>
        </w:rPr>
        <w:footnoteRef/>
      </w:r>
      <w:r w:rsidRPr="008A191B">
        <w:rPr>
          <w:rFonts w:cstheme="minorHAnsi"/>
          <w:sz w:val="18"/>
          <w:szCs w:val="18"/>
        </w:rPr>
        <w:t xml:space="preserve"> </w:t>
      </w:r>
      <w:r w:rsidRPr="008A191B">
        <w:rPr>
          <w:rStyle w:val="cf01"/>
          <w:rFonts w:asciiTheme="minorHAnsi" w:hAnsiTheme="minorHAnsi" w:cstheme="minorHAnsi"/>
        </w:rPr>
        <w:t>According to TURKSTAT data, the amount of $7.7 billion can be achieved with the sum of chapter 72 (iron and steel=$2.84 billion) and chapter 73 (articles of iron and steel=$4.82 billion). Accordingly, in 2023 40.5 percent of Türkiye’s exports in these chapters were absorbed by the EU. So, emphasizing “articles” is needed in the sentence. Please note that following this sentence 59% refers only to “aluminum sector” not including “</w:t>
      </w:r>
      <w:proofErr w:type="gramStart"/>
      <w:r w:rsidRPr="008A191B">
        <w:rPr>
          <w:rStyle w:val="cf01"/>
          <w:rFonts w:asciiTheme="minorHAnsi" w:hAnsiTheme="minorHAnsi" w:cstheme="minorHAnsi"/>
        </w:rPr>
        <w:t>articles</w:t>
      </w:r>
      <w:proofErr w:type="gramEnd"/>
      <w:r w:rsidRPr="008A191B">
        <w:rPr>
          <w:rStyle w:val="cf01"/>
          <w:rFonts w:asciiTheme="minorHAnsi" w:hAnsiTheme="minorHAnsi" w:cstheme="minorHAnsi"/>
        </w:rPr>
        <w:t>”</w:t>
      </w:r>
    </w:p>
  </w:footnote>
  <w:footnote w:id="39">
    <w:p w14:paraId="6DB73109" w14:textId="0634CC06" w:rsidR="00532918" w:rsidRPr="00112575" w:rsidRDefault="00532918" w:rsidP="00112575">
      <w:pPr>
        <w:pStyle w:val="pf0"/>
        <w:rPr>
          <w:rFonts w:asciiTheme="minorHAnsi" w:hAnsiTheme="minorHAnsi" w:cstheme="minorHAnsi"/>
          <w:sz w:val="18"/>
          <w:szCs w:val="18"/>
        </w:rPr>
      </w:pPr>
      <w:r w:rsidRPr="008A191B">
        <w:rPr>
          <w:rStyle w:val="FootnoteReference"/>
          <w:rFonts w:asciiTheme="minorHAnsi" w:hAnsiTheme="minorHAnsi" w:cstheme="minorHAnsi"/>
          <w:sz w:val="18"/>
          <w:szCs w:val="18"/>
        </w:rPr>
        <w:footnoteRef/>
      </w:r>
      <w:r w:rsidRPr="008A191B">
        <w:rPr>
          <w:rFonts w:asciiTheme="minorHAnsi" w:hAnsiTheme="minorHAnsi" w:cstheme="minorHAnsi"/>
          <w:sz w:val="18"/>
          <w:szCs w:val="18"/>
        </w:rPr>
        <w:t xml:space="preserve"> Although the tourism is one of the most being impacted sectors by climate change, there are some remarkable efforts to mitigate these effects. Additionally, tailored promotional and marketing activities continue to improve tourism diversification alongside the implementation of sustainable tourism program, having been practiced since 2022. In addition to these efforts, within the scope of the “Climate Change Adaptation Strategy and Action Plan (2024-2030)”, published in March 2024, there are some specific actions to overcome the effects of climate change on the </w:t>
      </w:r>
      <w:proofErr w:type="gramStart"/>
      <w:r w:rsidRPr="008A191B">
        <w:rPr>
          <w:rFonts w:asciiTheme="minorHAnsi" w:hAnsiTheme="minorHAnsi" w:cstheme="minorHAnsi"/>
          <w:sz w:val="18"/>
          <w:szCs w:val="18"/>
        </w:rPr>
        <w:t>tourism..</w:t>
      </w:r>
      <w:proofErr w:type="gramEnd"/>
    </w:p>
  </w:footnote>
  <w:footnote w:id="40">
    <w:p w14:paraId="057D9233" w14:textId="0BFC907C" w:rsidR="00112575" w:rsidRPr="0043215C" w:rsidRDefault="00112575" w:rsidP="00112575">
      <w:pPr>
        <w:spacing w:before="100" w:beforeAutospacing="1" w:after="100" w:afterAutospacing="1" w:line="240" w:lineRule="auto"/>
        <w:jc w:val="left"/>
        <w:rPr>
          <w:rFonts w:eastAsia="Times New Roman" w:cstheme="minorHAnsi"/>
          <w:sz w:val="18"/>
          <w:szCs w:val="18"/>
        </w:rPr>
      </w:pPr>
      <w:r w:rsidRPr="0043215C">
        <w:rPr>
          <w:rStyle w:val="FootnoteReference"/>
          <w:sz w:val="18"/>
          <w:szCs w:val="18"/>
        </w:rPr>
        <w:footnoteRef/>
      </w:r>
      <w:hyperlink r:id="rId5" w:history="1">
        <w:r w:rsidRPr="0043215C">
          <w:rPr>
            <w:rStyle w:val="Hyperlink"/>
            <w:rFonts w:cstheme="minorHAnsi"/>
            <w:sz w:val="18"/>
            <w:szCs w:val="18"/>
          </w:rPr>
          <w:t>https://iklim.gov.tr/db/turkce/icerikler/files/%C4%B0klim%20De%C4%9Fi%C5%9Fikli%C4%9Fine%20Uyum%20Stratejisi%20ve%20Eylem%20Plan_%202024-2030.pdf</w:t>
        </w:r>
      </w:hyperlink>
    </w:p>
    <w:p w14:paraId="1300F77B" w14:textId="3D5E5F88" w:rsidR="00112575" w:rsidRDefault="00112575">
      <w:pPr>
        <w:pStyle w:val="FootnoteText"/>
      </w:pPr>
    </w:p>
  </w:footnote>
  <w:footnote w:id="41">
    <w:p w14:paraId="00CBAEB8" w14:textId="77777777" w:rsidR="00ED2B31" w:rsidRPr="001E14C7" w:rsidRDefault="00ED2B31" w:rsidP="00ED2B31">
      <w:pPr>
        <w:pStyle w:val="FootnoteText"/>
        <w:rPr>
          <w:sz w:val="18"/>
          <w:szCs w:val="18"/>
          <w:lang w:val="tr-TR"/>
        </w:rPr>
      </w:pPr>
      <w:r w:rsidRPr="001E14C7">
        <w:rPr>
          <w:rStyle w:val="FootnoteReference"/>
          <w:sz w:val="18"/>
          <w:szCs w:val="18"/>
        </w:rPr>
        <w:footnoteRef/>
      </w:r>
      <w:r w:rsidRPr="001E14C7">
        <w:rPr>
          <w:sz w:val="18"/>
          <w:szCs w:val="18"/>
        </w:rPr>
        <w:t xml:space="preserve"> The Regulation on Unlicensed Electricity Generation in Electricity Market Issued in 2011</w:t>
      </w:r>
    </w:p>
  </w:footnote>
  <w:footnote w:id="42">
    <w:p w14:paraId="5FCEB369" w14:textId="77777777" w:rsidR="0042582E" w:rsidRPr="000F4866" w:rsidRDefault="0042582E" w:rsidP="0042582E">
      <w:pPr>
        <w:pStyle w:val="FootnoteText"/>
      </w:pPr>
      <w:r w:rsidRPr="001E14C7">
        <w:rPr>
          <w:rStyle w:val="FootnoteReference"/>
          <w:sz w:val="18"/>
          <w:szCs w:val="18"/>
        </w:rPr>
        <w:footnoteRef/>
      </w:r>
      <w:r w:rsidRPr="001E14C7">
        <w:rPr>
          <w:sz w:val="18"/>
          <w:szCs w:val="18"/>
        </w:rPr>
        <w:t xml:space="preserve"> In the unit dedication method, the generation facility is isolated from the national grid and operated as a generation facility of the neighboring country.</w:t>
      </w:r>
    </w:p>
  </w:footnote>
  <w:footnote w:id="43">
    <w:p w14:paraId="1E5B3D27" w14:textId="77777777" w:rsidR="00FE641D" w:rsidRPr="001E14C7" w:rsidRDefault="00FE641D" w:rsidP="00FE641D">
      <w:pPr>
        <w:pStyle w:val="FootnoteText"/>
        <w:rPr>
          <w:sz w:val="18"/>
          <w:szCs w:val="18"/>
        </w:rPr>
      </w:pPr>
      <w:r w:rsidRPr="001E14C7">
        <w:rPr>
          <w:rStyle w:val="FootnoteReference"/>
          <w:sz w:val="18"/>
          <w:szCs w:val="18"/>
        </w:rPr>
        <w:footnoteRef/>
      </w:r>
      <w:r w:rsidRPr="001E14C7">
        <w:rPr>
          <w:sz w:val="18"/>
          <w:szCs w:val="18"/>
        </w:rPr>
        <w:t xml:space="preserve"> EMRA Board Decision no: 12295, dated December 28, 2023</w:t>
      </w:r>
    </w:p>
  </w:footnote>
  <w:footnote w:id="44">
    <w:p w14:paraId="2D45D65D" w14:textId="77777777" w:rsidR="00FE641D" w:rsidRPr="001E14C7" w:rsidRDefault="00FE641D" w:rsidP="00FE641D">
      <w:pPr>
        <w:pStyle w:val="FootnoteText"/>
        <w:rPr>
          <w:sz w:val="18"/>
          <w:szCs w:val="18"/>
        </w:rPr>
      </w:pPr>
      <w:r w:rsidRPr="001E14C7">
        <w:rPr>
          <w:rStyle w:val="FootnoteReference"/>
          <w:sz w:val="18"/>
          <w:szCs w:val="18"/>
        </w:rPr>
        <w:footnoteRef/>
      </w:r>
      <w:r w:rsidRPr="001E14C7">
        <w:rPr>
          <w:sz w:val="18"/>
          <w:szCs w:val="18"/>
        </w:rPr>
        <w:t xml:space="preserve"> Last resort tariff is determined as the average market price plus a profit component for the last resort </w:t>
      </w:r>
      <w:proofErr w:type="gramStart"/>
      <w:r w:rsidRPr="001E14C7">
        <w:rPr>
          <w:sz w:val="18"/>
          <w:szCs w:val="18"/>
        </w:rPr>
        <w:t>supplier</w:t>
      </w:r>
      <w:proofErr w:type="gramEnd"/>
    </w:p>
  </w:footnote>
  <w:footnote w:id="45">
    <w:p w14:paraId="6B3D756A" w14:textId="77777777" w:rsidR="00FE641D" w:rsidRPr="001E14C7" w:rsidRDefault="00FE641D" w:rsidP="00FE641D">
      <w:pPr>
        <w:pStyle w:val="FootnoteText"/>
        <w:rPr>
          <w:sz w:val="18"/>
          <w:szCs w:val="18"/>
        </w:rPr>
      </w:pPr>
      <w:r w:rsidRPr="001E14C7">
        <w:rPr>
          <w:rStyle w:val="FootnoteReference"/>
          <w:sz w:val="18"/>
          <w:szCs w:val="18"/>
        </w:rPr>
        <w:footnoteRef/>
      </w:r>
      <w:r w:rsidRPr="001E14C7">
        <w:rPr>
          <w:sz w:val="18"/>
          <w:szCs w:val="18"/>
        </w:rPr>
        <w:t xml:space="preserve"> EMRA Board Decision no: 12158, dated October 26, 2023</w:t>
      </w:r>
    </w:p>
  </w:footnote>
  <w:footnote w:id="46">
    <w:p w14:paraId="2FCE5639" w14:textId="77777777" w:rsidR="00FE641D" w:rsidRPr="001E14C7" w:rsidRDefault="00FE641D" w:rsidP="00FE641D">
      <w:pPr>
        <w:pStyle w:val="FootnoteText"/>
        <w:rPr>
          <w:sz w:val="18"/>
          <w:szCs w:val="18"/>
        </w:rPr>
      </w:pPr>
      <w:r w:rsidRPr="001E14C7">
        <w:rPr>
          <w:rStyle w:val="FootnoteReference"/>
          <w:sz w:val="18"/>
          <w:szCs w:val="18"/>
        </w:rPr>
        <w:footnoteRef/>
      </w:r>
      <w:r w:rsidRPr="001E14C7">
        <w:rPr>
          <w:sz w:val="18"/>
          <w:szCs w:val="18"/>
        </w:rPr>
        <w:t xml:space="preserve"> New EML, Article 14</w:t>
      </w:r>
    </w:p>
  </w:footnote>
  <w:footnote w:id="47">
    <w:p w14:paraId="19CEA625" w14:textId="77777777" w:rsidR="00FE641D" w:rsidRDefault="00FE641D" w:rsidP="00FE641D">
      <w:pPr>
        <w:pStyle w:val="FootnoteText"/>
      </w:pPr>
      <w:r w:rsidRPr="001E14C7">
        <w:rPr>
          <w:rStyle w:val="FootnoteReference"/>
          <w:sz w:val="18"/>
          <w:szCs w:val="18"/>
        </w:rPr>
        <w:footnoteRef/>
      </w:r>
      <w:r w:rsidRPr="001E14C7">
        <w:rPr>
          <w:sz w:val="18"/>
          <w:szCs w:val="18"/>
        </w:rPr>
        <w:t xml:space="preserve"> The capacity was increased to 5 MW by Presidential Decree dated May 9, </w:t>
      </w:r>
      <w:proofErr w:type="gramStart"/>
      <w:r w:rsidRPr="001E14C7">
        <w:rPr>
          <w:sz w:val="18"/>
          <w:szCs w:val="18"/>
        </w:rPr>
        <w:t>2019</w:t>
      </w:r>
      <w:proofErr w:type="gramEnd"/>
      <w:r w:rsidRPr="001E14C7">
        <w:rPr>
          <w:sz w:val="18"/>
          <w:szCs w:val="18"/>
        </w:rPr>
        <w:t xml:space="preserve"> number 1044, while in the new EML, it was determined as 1 MW, and the president was given the authority to increase it up to 5 times.</w:t>
      </w:r>
    </w:p>
  </w:footnote>
  <w:footnote w:id="48">
    <w:p w14:paraId="55323DAC" w14:textId="4F076503" w:rsidR="00E8075C" w:rsidRDefault="00E8075C" w:rsidP="00591AF5">
      <w:pPr>
        <w:pStyle w:val="FootnoteText"/>
        <w:jc w:val="left"/>
      </w:pPr>
      <w:r w:rsidRPr="00591AF5">
        <w:rPr>
          <w:vertAlign w:val="superscript"/>
        </w:rPr>
        <w:footnoteRef/>
      </w:r>
      <w:r w:rsidR="00A63CBF" w:rsidRPr="00591AF5">
        <w:rPr>
          <w:vertAlign w:val="superscript"/>
        </w:rPr>
        <w:t xml:space="preserve"> </w:t>
      </w:r>
      <w:r>
        <w:t>https://www.ilo.org/ankara/news/WCMS_849762/lang--en/index.htm#:~:text=the%20Turkish%20...</w:t>
      </w:r>
      <w:proofErr w:type="gramStart"/>
      <w:r>
        <w:t>-,Going</w:t>
      </w:r>
      <w:proofErr w:type="gramEnd"/>
      <w:r>
        <w:t>%20green%20could%20create%20300%2C000%20new%20jobs%20for%20the%20Turkish,fuels%20to%20renewable%20energy%20sources.</w:t>
      </w:r>
    </w:p>
  </w:footnote>
  <w:footnote w:id="49">
    <w:p w14:paraId="4207803E" w14:textId="77777777" w:rsidR="00347F37" w:rsidRPr="00A9207B" w:rsidRDefault="00347F37" w:rsidP="00347F37">
      <w:pPr>
        <w:rPr>
          <w:sz w:val="18"/>
          <w:szCs w:val="18"/>
        </w:rPr>
      </w:pPr>
      <w:r w:rsidRPr="00A9207B">
        <w:rPr>
          <w:sz w:val="16"/>
          <w:szCs w:val="16"/>
        </w:rPr>
        <w:footnoteRef/>
      </w:r>
      <w:r w:rsidRPr="00A9207B">
        <w:rPr>
          <w:sz w:val="16"/>
          <w:szCs w:val="16"/>
        </w:rPr>
        <w:t xml:space="preserve"> </w:t>
      </w:r>
      <w:r w:rsidRPr="00A9207B">
        <w:rPr>
          <w:sz w:val="18"/>
          <w:szCs w:val="18"/>
        </w:rPr>
        <w:t xml:space="preserve">In line with the REI Core Indicator 1, </w:t>
      </w:r>
      <w:proofErr w:type="gramStart"/>
      <w:r w:rsidRPr="00A9207B">
        <w:rPr>
          <w:sz w:val="18"/>
          <w:szCs w:val="18"/>
        </w:rPr>
        <w:t>i.e.</w:t>
      </w:r>
      <w:proofErr w:type="gramEnd"/>
      <w:r w:rsidRPr="00A9207B">
        <w:rPr>
          <w:sz w:val="18"/>
          <w:szCs w:val="18"/>
        </w:rPr>
        <w:t xml:space="preserve"> reduction in CO2 emissions. The project will provide grid connection to new WPPs and solar power plants (SPPS), and these wind and solar power plants will not be developed without the necessary investment in transmission infrastructure under the project, in which case gas-fired generating plants would likely be built to meet the increasing local demand for electricity. The project will therefore contribute to the reduction in carbon emissions from gas-based electricity generation.</w:t>
      </w:r>
    </w:p>
  </w:footnote>
  <w:footnote w:id="50">
    <w:p w14:paraId="34CFB333" w14:textId="29552A8A" w:rsidR="00347F37" w:rsidRDefault="00347F37" w:rsidP="00347F37"/>
  </w:footnote>
  <w:footnote w:id="51">
    <w:p w14:paraId="7ECA6F76" w14:textId="77777777" w:rsidR="003B3F51" w:rsidRPr="00776ABA" w:rsidRDefault="003B3F51" w:rsidP="003B3F51">
      <w:pPr>
        <w:rPr>
          <w:sz w:val="16"/>
          <w:szCs w:val="16"/>
        </w:rPr>
      </w:pPr>
      <w:r w:rsidRPr="00776ABA">
        <w:rPr>
          <w:rStyle w:val="FootnoteReference"/>
          <w:sz w:val="16"/>
          <w:szCs w:val="16"/>
        </w:rPr>
        <w:footnoteRef/>
      </w:r>
      <w:r w:rsidRPr="00776ABA">
        <w:rPr>
          <w:sz w:val="16"/>
          <w:szCs w:val="16"/>
        </w:rPr>
        <w:t xml:space="preserve"> Transformational change is defined as “</w:t>
      </w:r>
      <w:r w:rsidRPr="00776ABA">
        <w:rPr>
          <w:rFonts w:asciiTheme="majorHAnsi" w:hAnsiTheme="majorHAnsi" w:cstheme="majorHAnsi"/>
          <w:sz w:val="16"/>
          <w:szCs w:val="16"/>
        </w:rPr>
        <w:t>fundamental change in systems relevant to climate action with large-scale positive impacts that shift and accelerate the trajectory of progress towards climate neutral, inclusive, resilient, and sustainable development pathways (Transformational Change Concepts, May 2021,</w:t>
      </w:r>
      <w:r w:rsidRPr="00776ABA">
        <w:rPr>
          <w:sz w:val="16"/>
          <w:szCs w:val="16"/>
        </w:rPr>
        <w:t xml:space="preserve"> </w:t>
      </w:r>
      <w:hyperlink r:id="rId6" w:history="1">
        <w:r w:rsidRPr="00776ABA">
          <w:rPr>
            <w:rStyle w:val="Hyperlink"/>
            <w:sz w:val="16"/>
            <w:szCs w:val="16"/>
          </w:rPr>
          <w:t>https://www.climateinvestmentfunds.org/sites/cif_enc/files/knowledge-documents/tclp_workshop_updated_tc_concepts_may2021.pdf</w:t>
        </w:r>
      </w:hyperlink>
      <w:r w:rsidRPr="00776ABA">
        <w:rPr>
          <w:sz w:val="16"/>
          <w:szCs w:val="16"/>
        </w:rPr>
        <w:t>).</w:t>
      </w:r>
    </w:p>
  </w:footnote>
  <w:footnote w:id="52">
    <w:p w14:paraId="37230990" w14:textId="77777777" w:rsidR="003B3F51" w:rsidRPr="00531855" w:rsidRDefault="003B3F51" w:rsidP="003B3F51">
      <w:pPr>
        <w:rPr>
          <w:rStyle w:val="Hyperlink"/>
        </w:rPr>
      </w:pPr>
      <w:r w:rsidRPr="00531855">
        <w:rPr>
          <w:rStyle w:val="FootnoteReference"/>
          <w:sz w:val="20"/>
          <w:szCs w:val="20"/>
        </w:rPr>
        <w:footnoteRef/>
      </w:r>
      <w:r w:rsidRPr="00531855">
        <w:rPr>
          <w:sz w:val="20"/>
          <w:szCs w:val="20"/>
        </w:rPr>
        <w:t xml:space="preserve"> </w:t>
      </w:r>
      <w:r w:rsidRPr="00776ABA">
        <w:rPr>
          <w:sz w:val="16"/>
          <w:szCs w:val="16"/>
        </w:rPr>
        <w:t>The five dimensions of transformational change include relevance, systemic change, scale, speed, and adaptive sustainability. Signals – which can be advanced or emerging – offer an alternative conceptual framework for recognizing and capturing transformational change through the programmatic lifecycle (</w:t>
      </w:r>
      <w:hyperlink r:id="rId7" w:history="1">
        <w:r w:rsidRPr="00776ABA">
          <w:rPr>
            <w:rStyle w:val="Hyperlink"/>
            <w:sz w:val="16"/>
            <w:szCs w:val="16"/>
          </w:rPr>
          <w:t>https://www.climateinvestmentfunds.org/sites/cif_enc/files/knowledge-documents/tclp_workshop_signalsenergy_framework_may2021.pdf</w:t>
        </w:r>
      </w:hyperlink>
      <w:r w:rsidRPr="00776ABA">
        <w:rPr>
          <w:rStyle w:val="Hyperlink"/>
          <w:sz w:val="16"/>
          <w:szCs w:val="16"/>
        </w:rPr>
        <w:t>)</w:t>
      </w:r>
    </w:p>
    <w:p w14:paraId="5632B15A" w14:textId="77777777" w:rsidR="003B3F51" w:rsidRDefault="003B3F51" w:rsidP="003B3F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3BF8" w14:textId="5F42EEE0" w:rsidR="003F1C1D" w:rsidRDefault="008D3907">
    <w:pPr>
      <w:pStyle w:val="Header"/>
    </w:pPr>
    <w:r>
      <w:rPr>
        <w:noProof/>
      </w:rPr>
      <mc:AlternateContent>
        <mc:Choice Requires="wps">
          <w:drawing>
            <wp:anchor distT="0" distB="0" distL="0" distR="0" simplePos="0" relativeHeight="251655168" behindDoc="0" locked="0" layoutInCell="1" allowOverlap="1" wp14:anchorId="50EADA15" wp14:editId="2B93C6EB">
              <wp:simplePos x="0" y="0"/>
              <wp:positionH relativeFrom="page">
                <wp:align>center</wp:align>
              </wp:positionH>
              <wp:positionV relativeFrom="page">
                <wp:align>top</wp:align>
              </wp:positionV>
              <wp:extent cx="443865" cy="44386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77D8319" w14:textId="551B40DB" w:rsidR="003F1C1D" w:rsidRPr="003F1C1D" w:rsidRDefault="003F1C1D" w:rsidP="003F1C1D">
                          <w:pPr>
                            <w:spacing w:after="0"/>
                            <w:rPr>
                              <w:rFonts w:ascii="Calibri" w:eastAsia="Calibri" w:hAnsi="Calibri" w:cs="Calibri"/>
                              <w:noProof/>
                              <w:color w:val="0000FF"/>
                              <w:sz w:val="20"/>
                              <w:szCs w:val="20"/>
                            </w:rPr>
                          </w:pPr>
                          <w:r w:rsidRPr="003F1C1D">
                            <w:rPr>
                              <w:rFonts w:ascii="Calibri" w:eastAsia="Calibri" w:hAnsi="Calibri" w:cs="Calibri"/>
                              <w:noProof/>
                              <w:color w:val="0000FF"/>
                              <w:sz w:val="20"/>
                              <w:szCs w:val="20"/>
                            </w:rPr>
                            <w:t>OFFICIAL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0EADA15" id="_x0000_t202" coordsize="21600,21600" o:spt="202" path="m,l,21600r21600,l21600,xe">
              <v:stroke joinstyle="miter"/>
              <v:path gradientshapeok="t" o:connecttype="rect"/>
            </v:shapetype>
            <v:shape id="Text Box 10" o:spid="_x0000_s1026" type="#_x0000_t202" style="position:absolute;left:0;text-align:left;margin-left:0;margin-top:0;width:34.95pt;height:34.95pt;z-index:251655168;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" filled="f" stroked="f">
              <v:textbox style="mso-fit-shape-to-text:t" inset="0,15pt,0,0">
                <w:txbxContent>
                  <w:p w14:paraId="677D8319" w14:textId="551B40DB" w:rsidR="003F1C1D" w:rsidRPr="003F1C1D" w:rsidRDefault="003F1C1D" w:rsidP="003F1C1D">
                    <w:pPr>
                      <w:spacing w:after="0"/>
                      <w:rPr>
                        <w:rFonts w:ascii="Calibri" w:eastAsia="Calibri" w:hAnsi="Calibri" w:cs="Calibri"/>
                        <w:noProof/>
                        <w:color w:val="0000FF"/>
                        <w:sz w:val="20"/>
                        <w:szCs w:val="20"/>
                      </w:rPr>
                    </w:pPr>
                    <w:r w:rsidRPr="003F1C1D">
                      <w:rPr>
                        <w:rFonts w:ascii="Calibri" w:eastAsia="Calibri" w:hAnsi="Calibri" w:cs="Calibri"/>
                        <w:noProof/>
                        <w:color w:val="0000FF"/>
                        <w:sz w:val="20"/>
                        <w:szCs w:val="20"/>
                      </w:rPr>
                      <w:t>OFFICIAL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489E" w14:textId="604703FC" w:rsidR="003F1C1D" w:rsidRDefault="008D3907">
    <w:pPr>
      <w:pStyle w:val="Header"/>
    </w:pPr>
    <w:r>
      <w:rPr>
        <w:noProof/>
      </w:rPr>
      <mc:AlternateContent>
        <mc:Choice Requires="wps">
          <w:drawing>
            <wp:anchor distT="0" distB="0" distL="0" distR="0" simplePos="0" relativeHeight="251657216" behindDoc="0" locked="0" layoutInCell="1" allowOverlap="1" wp14:anchorId="246186D0" wp14:editId="0A3CF9C7">
              <wp:simplePos x="0" y="0"/>
              <wp:positionH relativeFrom="page">
                <wp:align>center</wp:align>
              </wp:positionH>
              <wp:positionV relativeFrom="page">
                <wp:align>top</wp:align>
              </wp:positionV>
              <wp:extent cx="690245" cy="3575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357505"/>
                      </a:xfrm>
                      <a:prstGeom prst="rect">
                        <a:avLst/>
                      </a:prstGeom>
                      <a:noFill/>
                      <a:ln>
                        <a:noFill/>
                      </a:ln>
                    </wps:spPr>
                    <wps:txbx>
                      <w:txbxContent>
                        <w:p w14:paraId="219739AB" w14:textId="418C0992" w:rsidR="003F1C1D" w:rsidRPr="003F1C1D" w:rsidRDefault="003F1C1D" w:rsidP="003F1C1D">
                          <w:pPr>
                            <w:spacing w:after="0"/>
                            <w:rPr>
                              <w:rFonts w:ascii="Calibri" w:eastAsia="Calibri" w:hAnsi="Calibri" w:cs="Calibri"/>
                              <w:noProof/>
                              <w:color w:val="0000FF"/>
                              <w:sz w:val="20"/>
                              <w:szCs w:val="20"/>
                            </w:rPr>
                          </w:pPr>
                          <w:r w:rsidRPr="003F1C1D">
                            <w:rPr>
                              <w:rFonts w:ascii="Calibri" w:eastAsia="Calibri" w:hAnsi="Calibri" w:cs="Calibri"/>
                              <w:noProof/>
                              <w:color w:val="0000FF"/>
                              <w:sz w:val="20"/>
                              <w:szCs w:val="20"/>
                            </w:rPr>
                            <w:t>OFFICIAL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46186D0" id="_x0000_t202" coordsize="21600,21600" o:spt="202" path="m,l,21600r21600,l21600,xe">
              <v:stroke joinstyle="miter"/>
              <v:path gradientshapeok="t" o:connecttype="rect"/>
            </v:shapetype>
            <v:shape id="Text Box 9" o:spid="_x0000_s1027" type="#_x0000_t202" style="position:absolute;left:0;text-align:left;margin-left:0;margin-top:0;width:54.35pt;height:28.15pt;z-index:251657216;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" filled="f" stroked="f">
              <v:textbox style="mso-fit-shape-to-text:t" inset="0,15pt,0,0">
                <w:txbxContent>
                  <w:p w14:paraId="219739AB" w14:textId="418C0992" w:rsidR="003F1C1D" w:rsidRPr="003F1C1D" w:rsidRDefault="003F1C1D" w:rsidP="003F1C1D">
                    <w:pPr>
                      <w:spacing w:after="0"/>
                      <w:rPr>
                        <w:rFonts w:ascii="Calibri" w:eastAsia="Calibri" w:hAnsi="Calibri" w:cs="Calibri"/>
                        <w:noProof/>
                        <w:color w:val="0000FF"/>
                        <w:sz w:val="20"/>
                        <w:szCs w:val="20"/>
                      </w:rPr>
                    </w:pPr>
                    <w:r w:rsidRPr="003F1C1D">
                      <w:rPr>
                        <w:rFonts w:ascii="Calibri" w:eastAsia="Calibri" w:hAnsi="Calibri" w:cs="Calibri"/>
                        <w:noProof/>
                        <w:color w:val="0000FF"/>
                        <w:sz w:val="20"/>
                        <w:szCs w:val="20"/>
                      </w:rPr>
                      <w:t>OFFICIAL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1CC9" w14:textId="1B569266" w:rsidR="003F1C1D" w:rsidRDefault="008D3907">
    <w:pPr>
      <w:pStyle w:val="Header"/>
    </w:pPr>
    <w:r>
      <w:rPr>
        <w:noProof/>
      </w:rPr>
      <mc:AlternateContent>
        <mc:Choice Requires="wps">
          <w:drawing>
            <wp:anchor distT="0" distB="0" distL="0" distR="0" simplePos="0" relativeHeight="251653120" behindDoc="0" locked="0" layoutInCell="1" allowOverlap="1" wp14:anchorId="5FBC3276" wp14:editId="7C4C6F4B">
              <wp:simplePos x="0" y="0"/>
              <wp:positionH relativeFrom="page">
                <wp:align>center</wp:align>
              </wp:positionH>
              <wp:positionV relativeFrom="page">
                <wp:align>top</wp:align>
              </wp:positionV>
              <wp:extent cx="443865" cy="4438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6FB55D4" w14:textId="031890DE" w:rsidR="003F1C1D" w:rsidRPr="003F1C1D" w:rsidRDefault="003F1C1D" w:rsidP="003F1C1D">
                          <w:pPr>
                            <w:spacing w:after="0"/>
                            <w:rPr>
                              <w:rFonts w:ascii="Calibri" w:eastAsia="Calibri" w:hAnsi="Calibri" w:cs="Calibri"/>
                              <w:noProof/>
                              <w:color w:val="0000FF"/>
                              <w:sz w:val="20"/>
                              <w:szCs w:val="20"/>
                            </w:rPr>
                          </w:pPr>
                          <w:r w:rsidRPr="003F1C1D">
                            <w:rPr>
                              <w:rFonts w:ascii="Calibri" w:eastAsia="Calibri" w:hAnsi="Calibri" w:cs="Calibri"/>
                              <w:noProof/>
                              <w:color w:val="0000FF"/>
                              <w:sz w:val="20"/>
                              <w:szCs w:val="20"/>
                            </w:rPr>
                            <w:t>OFFICIAL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FBC3276" id="_x0000_t202" coordsize="21600,21600" o:spt="202" path="m,l,21600r21600,l21600,xe">
              <v:stroke joinstyle="miter"/>
              <v:path gradientshapeok="t" o:connecttype="rect"/>
            </v:shapetype>
            <v:shape id="Text Box 3" o:spid="_x0000_s1030" type="#_x0000_t202" style="position:absolute;left:0;text-align:left;margin-left:0;margin-top:0;width:34.95pt;height:34.95pt;z-index:251653120;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" filled="f" stroked="f">
              <v:textbox style="mso-fit-shape-to-text:t" inset="0,15pt,0,0">
                <w:txbxContent>
                  <w:p w14:paraId="56FB55D4" w14:textId="031890DE" w:rsidR="003F1C1D" w:rsidRPr="003F1C1D" w:rsidRDefault="003F1C1D" w:rsidP="003F1C1D">
                    <w:pPr>
                      <w:spacing w:after="0"/>
                      <w:rPr>
                        <w:rFonts w:ascii="Calibri" w:eastAsia="Calibri" w:hAnsi="Calibri" w:cs="Calibri"/>
                        <w:noProof/>
                        <w:color w:val="0000FF"/>
                        <w:sz w:val="20"/>
                        <w:szCs w:val="20"/>
                      </w:rPr>
                    </w:pPr>
                    <w:r w:rsidRPr="003F1C1D">
                      <w:rPr>
                        <w:rFonts w:ascii="Calibri" w:eastAsia="Calibri" w:hAnsi="Calibri" w:cs="Calibri"/>
                        <w:noProof/>
                        <w:color w:val="0000FF"/>
                        <w:sz w:val="20"/>
                        <w:szCs w:val="20"/>
                      </w:rPr>
                      <w:t>OFFICIAL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F2B"/>
    <w:multiLevelType w:val="hybridMultilevel"/>
    <w:tmpl w:val="FFFFFFFF"/>
    <w:lvl w:ilvl="0" w:tplc="3A32F540">
      <w:start w:val="1"/>
      <w:numFmt w:val="upperLetter"/>
      <w:lvlText w:val="%1."/>
      <w:lvlJc w:val="left"/>
      <w:pPr>
        <w:ind w:left="720" w:hanging="360"/>
      </w:pPr>
    </w:lvl>
    <w:lvl w:ilvl="1" w:tplc="4EF0C34C">
      <w:start w:val="1"/>
      <w:numFmt w:val="lowerLetter"/>
      <w:lvlText w:val="%2."/>
      <w:lvlJc w:val="left"/>
      <w:pPr>
        <w:ind w:left="1440" w:hanging="360"/>
      </w:pPr>
    </w:lvl>
    <w:lvl w:ilvl="2" w:tplc="B510A94A">
      <w:start w:val="1"/>
      <w:numFmt w:val="lowerRoman"/>
      <w:lvlText w:val="%3."/>
      <w:lvlJc w:val="right"/>
      <w:pPr>
        <w:ind w:left="2160" w:hanging="180"/>
      </w:pPr>
    </w:lvl>
    <w:lvl w:ilvl="3" w:tplc="EE54C31E">
      <w:start w:val="1"/>
      <w:numFmt w:val="decimal"/>
      <w:lvlText w:val="%4."/>
      <w:lvlJc w:val="left"/>
      <w:pPr>
        <w:ind w:left="2880" w:hanging="360"/>
      </w:pPr>
    </w:lvl>
    <w:lvl w:ilvl="4" w:tplc="FFC8385E">
      <w:start w:val="1"/>
      <w:numFmt w:val="lowerLetter"/>
      <w:lvlText w:val="%5."/>
      <w:lvlJc w:val="left"/>
      <w:pPr>
        <w:ind w:left="3600" w:hanging="360"/>
      </w:pPr>
    </w:lvl>
    <w:lvl w:ilvl="5" w:tplc="F51A7862">
      <w:start w:val="1"/>
      <w:numFmt w:val="lowerRoman"/>
      <w:lvlText w:val="%6."/>
      <w:lvlJc w:val="right"/>
      <w:pPr>
        <w:ind w:left="4320" w:hanging="180"/>
      </w:pPr>
    </w:lvl>
    <w:lvl w:ilvl="6" w:tplc="B50AE390">
      <w:start w:val="1"/>
      <w:numFmt w:val="decimal"/>
      <w:lvlText w:val="%7."/>
      <w:lvlJc w:val="left"/>
      <w:pPr>
        <w:ind w:left="5040" w:hanging="360"/>
      </w:pPr>
    </w:lvl>
    <w:lvl w:ilvl="7" w:tplc="8982E97E">
      <w:start w:val="1"/>
      <w:numFmt w:val="lowerLetter"/>
      <w:lvlText w:val="%8."/>
      <w:lvlJc w:val="left"/>
      <w:pPr>
        <w:ind w:left="5760" w:hanging="360"/>
      </w:pPr>
    </w:lvl>
    <w:lvl w:ilvl="8" w:tplc="1FA8DF2E">
      <w:start w:val="1"/>
      <w:numFmt w:val="lowerRoman"/>
      <w:lvlText w:val="%9."/>
      <w:lvlJc w:val="right"/>
      <w:pPr>
        <w:ind w:left="6480" w:hanging="180"/>
      </w:pPr>
    </w:lvl>
  </w:abstractNum>
  <w:abstractNum w:abstractNumId="1" w15:restartNumberingAfterBreak="0">
    <w:nsid w:val="031F5C39"/>
    <w:multiLevelType w:val="hybridMultilevel"/>
    <w:tmpl w:val="9AA41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2B6DC"/>
    <w:multiLevelType w:val="hybridMultilevel"/>
    <w:tmpl w:val="FFFFFFFF"/>
    <w:lvl w:ilvl="0" w:tplc="2ADA44B8">
      <w:start w:val="1"/>
      <w:numFmt w:val="bullet"/>
      <w:lvlText w:val="-"/>
      <w:lvlJc w:val="left"/>
      <w:pPr>
        <w:ind w:left="720" w:hanging="360"/>
      </w:pPr>
      <w:rPr>
        <w:rFonts w:ascii="&quot;Calibri&quot;,sans-serif" w:hAnsi="&quot;Calibri&quot;,sans-serif" w:hint="default"/>
      </w:rPr>
    </w:lvl>
    <w:lvl w:ilvl="1" w:tplc="A67EA8A2">
      <w:start w:val="1"/>
      <w:numFmt w:val="bullet"/>
      <w:lvlText w:val="o"/>
      <w:lvlJc w:val="left"/>
      <w:pPr>
        <w:ind w:left="1440" w:hanging="360"/>
      </w:pPr>
      <w:rPr>
        <w:rFonts w:ascii="Courier New" w:hAnsi="Courier New" w:hint="default"/>
      </w:rPr>
    </w:lvl>
    <w:lvl w:ilvl="2" w:tplc="C974F8AC">
      <w:start w:val="1"/>
      <w:numFmt w:val="bullet"/>
      <w:lvlText w:val=""/>
      <w:lvlJc w:val="left"/>
      <w:pPr>
        <w:ind w:left="2160" w:hanging="360"/>
      </w:pPr>
      <w:rPr>
        <w:rFonts w:ascii="Wingdings" w:hAnsi="Wingdings" w:hint="default"/>
      </w:rPr>
    </w:lvl>
    <w:lvl w:ilvl="3" w:tplc="804C828C">
      <w:start w:val="1"/>
      <w:numFmt w:val="bullet"/>
      <w:lvlText w:val=""/>
      <w:lvlJc w:val="left"/>
      <w:pPr>
        <w:ind w:left="2880" w:hanging="360"/>
      </w:pPr>
      <w:rPr>
        <w:rFonts w:ascii="Symbol" w:hAnsi="Symbol" w:hint="default"/>
      </w:rPr>
    </w:lvl>
    <w:lvl w:ilvl="4" w:tplc="BE02049C">
      <w:start w:val="1"/>
      <w:numFmt w:val="bullet"/>
      <w:lvlText w:val="o"/>
      <w:lvlJc w:val="left"/>
      <w:pPr>
        <w:ind w:left="3600" w:hanging="360"/>
      </w:pPr>
      <w:rPr>
        <w:rFonts w:ascii="Courier New" w:hAnsi="Courier New" w:hint="default"/>
      </w:rPr>
    </w:lvl>
    <w:lvl w:ilvl="5" w:tplc="14380350">
      <w:start w:val="1"/>
      <w:numFmt w:val="bullet"/>
      <w:lvlText w:val=""/>
      <w:lvlJc w:val="left"/>
      <w:pPr>
        <w:ind w:left="4320" w:hanging="360"/>
      </w:pPr>
      <w:rPr>
        <w:rFonts w:ascii="Wingdings" w:hAnsi="Wingdings" w:hint="default"/>
      </w:rPr>
    </w:lvl>
    <w:lvl w:ilvl="6" w:tplc="6B2A85D4">
      <w:start w:val="1"/>
      <w:numFmt w:val="bullet"/>
      <w:lvlText w:val=""/>
      <w:lvlJc w:val="left"/>
      <w:pPr>
        <w:ind w:left="5040" w:hanging="360"/>
      </w:pPr>
      <w:rPr>
        <w:rFonts w:ascii="Symbol" w:hAnsi="Symbol" w:hint="default"/>
      </w:rPr>
    </w:lvl>
    <w:lvl w:ilvl="7" w:tplc="76CCE1D2">
      <w:start w:val="1"/>
      <w:numFmt w:val="bullet"/>
      <w:lvlText w:val="o"/>
      <w:lvlJc w:val="left"/>
      <w:pPr>
        <w:ind w:left="5760" w:hanging="360"/>
      </w:pPr>
      <w:rPr>
        <w:rFonts w:ascii="Courier New" w:hAnsi="Courier New" w:hint="default"/>
      </w:rPr>
    </w:lvl>
    <w:lvl w:ilvl="8" w:tplc="EAB00D68">
      <w:start w:val="1"/>
      <w:numFmt w:val="bullet"/>
      <w:lvlText w:val=""/>
      <w:lvlJc w:val="left"/>
      <w:pPr>
        <w:ind w:left="6480" w:hanging="360"/>
      </w:pPr>
      <w:rPr>
        <w:rFonts w:ascii="Wingdings" w:hAnsi="Wingdings" w:hint="default"/>
      </w:rPr>
    </w:lvl>
  </w:abstractNum>
  <w:abstractNum w:abstractNumId="3" w15:restartNumberingAfterBreak="0">
    <w:nsid w:val="112E412A"/>
    <w:multiLevelType w:val="hybridMultilevel"/>
    <w:tmpl w:val="326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3579F"/>
    <w:multiLevelType w:val="hybridMultilevel"/>
    <w:tmpl w:val="83F0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05912"/>
    <w:multiLevelType w:val="hybridMultilevel"/>
    <w:tmpl w:val="FFFFFFFF"/>
    <w:lvl w:ilvl="0" w:tplc="BF688BF4">
      <w:start w:val="1"/>
      <w:numFmt w:val="decimal"/>
      <w:lvlText w:val="•"/>
      <w:lvlJc w:val="left"/>
      <w:pPr>
        <w:ind w:left="720" w:hanging="360"/>
      </w:pPr>
    </w:lvl>
    <w:lvl w:ilvl="1" w:tplc="8598AFB0">
      <w:start w:val="1"/>
      <w:numFmt w:val="lowerLetter"/>
      <w:lvlText w:val="%2."/>
      <w:lvlJc w:val="left"/>
      <w:pPr>
        <w:ind w:left="1440" w:hanging="360"/>
      </w:pPr>
    </w:lvl>
    <w:lvl w:ilvl="2" w:tplc="6B3AF982">
      <w:start w:val="1"/>
      <w:numFmt w:val="lowerRoman"/>
      <w:lvlText w:val="%3."/>
      <w:lvlJc w:val="right"/>
      <w:pPr>
        <w:ind w:left="2160" w:hanging="180"/>
      </w:pPr>
    </w:lvl>
    <w:lvl w:ilvl="3" w:tplc="9F34FDCA">
      <w:start w:val="1"/>
      <w:numFmt w:val="decimal"/>
      <w:lvlText w:val="%4."/>
      <w:lvlJc w:val="left"/>
      <w:pPr>
        <w:ind w:left="2880" w:hanging="360"/>
      </w:pPr>
    </w:lvl>
    <w:lvl w:ilvl="4" w:tplc="C1906296">
      <w:start w:val="1"/>
      <w:numFmt w:val="lowerLetter"/>
      <w:lvlText w:val="%5."/>
      <w:lvlJc w:val="left"/>
      <w:pPr>
        <w:ind w:left="3600" w:hanging="360"/>
      </w:pPr>
    </w:lvl>
    <w:lvl w:ilvl="5" w:tplc="94309818">
      <w:start w:val="1"/>
      <w:numFmt w:val="lowerRoman"/>
      <w:lvlText w:val="%6."/>
      <w:lvlJc w:val="right"/>
      <w:pPr>
        <w:ind w:left="4320" w:hanging="180"/>
      </w:pPr>
    </w:lvl>
    <w:lvl w:ilvl="6" w:tplc="73C0F91E">
      <w:start w:val="1"/>
      <w:numFmt w:val="decimal"/>
      <w:lvlText w:val="%7."/>
      <w:lvlJc w:val="left"/>
      <w:pPr>
        <w:ind w:left="5040" w:hanging="360"/>
      </w:pPr>
    </w:lvl>
    <w:lvl w:ilvl="7" w:tplc="AD841B66">
      <w:start w:val="1"/>
      <w:numFmt w:val="lowerLetter"/>
      <w:lvlText w:val="%8."/>
      <w:lvlJc w:val="left"/>
      <w:pPr>
        <w:ind w:left="5760" w:hanging="360"/>
      </w:pPr>
    </w:lvl>
    <w:lvl w:ilvl="8" w:tplc="64DA62F6">
      <w:start w:val="1"/>
      <w:numFmt w:val="lowerRoman"/>
      <w:lvlText w:val="%9."/>
      <w:lvlJc w:val="right"/>
      <w:pPr>
        <w:ind w:left="6480" w:hanging="180"/>
      </w:pPr>
    </w:lvl>
  </w:abstractNum>
  <w:abstractNum w:abstractNumId="6" w15:restartNumberingAfterBreak="0">
    <w:nsid w:val="13BC4F84"/>
    <w:multiLevelType w:val="hybridMultilevel"/>
    <w:tmpl w:val="5DD07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51FEA"/>
    <w:multiLevelType w:val="hybridMultilevel"/>
    <w:tmpl w:val="2E32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44CC5"/>
    <w:multiLevelType w:val="hybridMultilevel"/>
    <w:tmpl w:val="6504AB08"/>
    <w:lvl w:ilvl="0" w:tplc="267606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8233F"/>
    <w:multiLevelType w:val="hybridMultilevel"/>
    <w:tmpl w:val="B446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E0EFB"/>
    <w:multiLevelType w:val="hybridMultilevel"/>
    <w:tmpl w:val="07AA77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ADC4DF2"/>
    <w:multiLevelType w:val="hybridMultilevel"/>
    <w:tmpl w:val="E384E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FAF51EF"/>
    <w:multiLevelType w:val="hybridMultilevel"/>
    <w:tmpl w:val="0F0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10E9C"/>
    <w:multiLevelType w:val="hybridMultilevel"/>
    <w:tmpl w:val="E5884628"/>
    <w:lvl w:ilvl="0" w:tplc="C300934E">
      <w:start w:val="2"/>
      <w:numFmt w:val="bullet"/>
      <w:lvlText w:val="-"/>
      <w:lvlJc w:val="left"/>
      <w:pPr>
        <w:ind w:left="720" w:hanging="360"/>
      </w:pPr>
      <w:rPr>
        <w:rFonts w:ascii="Calibri" w:eastAsiaTheme="minorHAnsi" w:hAnsi="Calibri" w:cs="Calibri" w:hint="default"/>
      </w:rPr>
    </w:lvl>
    <w:lvl w:ilvl="1" w:tplc="BD38A00A">
      <w:start w:val="5"/>
      <w:numFmt w:val="bullet"/>
      <w:lvlText w:val="•"/>
      <w:lvlJc w:val="left"/>
      <w:pPr>
        <w:ind w:left="1788" w:hanging="708"/>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702060"/>
    <w:multiLevelType w:val="hybridMultilevel"/>
    <w:tmpl w:val="91AE353C"/>
    <w:lvl w:ilvl="0" w:tplc="04090017">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53034EA"/>
    <w:multiLevelType w:val="hybridMultilevel"/>
    <w:tmpl w:val="FFFFFFFF"/>
    <w:lvl w:ilvl="0" w:tplc="D974F3D4">
      <w:start w:val="1"/>
      <w:numFmt w:val="bullet"/>
      <w:lvlText w:val="·"/>
      <w:lvlJc w:val="left"/>
      <w:pPr>
        <w:ind w:left="720" w:hanging="360"/>
      </w:pPr>
      <w:rPr>
        <w:rFonts w:ascii="Symbol" w:hAnsi="Symbol" w:hint="default"/>
      </w:rPr>
    </w:lvl>
    <w:lvl w:ilvl="1" w:tplc="BF465F7E">
      <w:start w:val="1"/>
      <w:numFmt w:val="bullet"/>
      <w:lvlText w:val="o"/>
      <w:lvlJc w:val="left"/>
      <w:pPr>
        <w:ind w:left="1440" w:hanging="360"/>
      </w:pPr>
      <w:rPr>
        <w:rFonts w:ascii="Courier New" w:hAnsi="Courier New" w:hint="default"/>
      </w:rPr>
    </w:lvl>
    <w:lvl w:ilvl="2" w:tplc="C34A7AEE">
      <w:start w:val="1"/>
      <w:numFmt w:val="bullet"/>
      <w:lvlText w:val=""/>
      <w:lvlJc w:val="left"/>
      <w:pPr>
        <w:ind w:left="2160" w:hanging="360"/>
      </w:pPr>
      <w:rPr>
        <w:rFonts w:ascii="Wingdings" w:hAnsi="Wingdings" w:hint="default"/>
      </w:rPr>
    </w:lvl>
    <w:lvl w:ilvl="3" w:tplc="8F3ECDD8">
      <w:start w:val="1"/>
      <w:numFmt w:val="bullet"/>
      <w:lvlText w:val=""/>
      <w:lvlJc w:val="left"/>
      <w:pPr>
        <w:ind w:left="2880" w:hanging="360"/>
      </w:pPr>
      <w:rPr>
        <w:rFonts w:ascii="Symbol" w:hAnsi="Symbol" w:hint="default"/>
      </w:rPr>
    </w:lvl>
    <w:lvl w:ilvl="4" w:tplc="586E0120">
      <w:start w:val="1"/>
      <w:numFmt w:val="bullet"/>
      <w:lvlText w:val="o"/>
      <w:lvlJc w:val="left"/>
      <w:pPr>
        <w:ind w:left="3600" w:hanging="360"/>
      </w:pPr>
      <w:rPr>
        <w:rFonts w:ascii="Courier New" w:hAnsi="Courier New" w:hint="default"/>
      </w:rPr>
    </w:lvl>
    <w:lvl w:ilvl="5" w:tplc="9B7EDA40">
      <w:start w:val="1"/>
      <w:numFmt w:val="bullet"/>
      <w:lvlText w:val=""/>
      <w:lvlJc w:val="left"/>
      <w:pPr>
        <w:ind w:left="4320" w:hanging="360"/>
      </w:pPr>
      <w:rPr>
        <w:rFonts w:ascii="Wingdings" w:hAnsi="Wingdings" w:hint="default"/>
      </w:rPr>
    </w:lvl>
    <w:lvl w:ilvl="6" w:tplc="7A28CB62">
      <w:start w:val="1"/>
      <w:numFmt w:val="bullet"/>
      <w:lvlText w:val=""/>
      <w:lvlJc w:val="left"/>
      <w:pPr>
        <w:ind w:left="5040" w:hanging="360"/>
      </w:pPr>
      <w:rPr>
        <w:rFonts w:ascii="Symbol" w:hAnsi="Symbol" w:hint="default"/>
      </w:rPr>
    </w:lvl>
    <w:lvl w:ilvl="7" w:tplc="FCA025CC">
      <w:start w:val="1"/>
      <w:numFmt w:val="bullet"/>
      <w:lvlText w:val="o"/>
      <w:lvlJc w:val="left"/>
      <w:pPr>
        <w:ind w:left="5760" w:hanging="360"/>
      </w:pPr>
      <w:rPr>
        <w:rFonts w:ascii="Courier New" w:hAnsi="Courier New" w:hint="default"/>
      </w:rPr>
    </w:lvl>
    <w:lvl w:ilvl="8" w:tplc="86D2955A">
      <w:start w:val="1"/>
      <w:numFmt w:val="bullet"/>
      <w:lvlText w:val=""/>
      <w:lvlJc w:val="left"/>
      <w:pPr>
        <w:ind w:left="6480" w:hanging="360"/>
      </w:pPr>
      <w:rPr>
        <w:rFonts w:ascii="Wingdings" w:hAnsi="Wingdings" w:hint="default"/>
      </w:rPr>
    </w:lvl>
  </w:abstractNum>
  <w:abstractNum w:abstractNumId="16" w15:restartNumberingAfterBreak="0">
    <w:nsid w:val="59752F5E"/>
    <w:multiLevelType w:val="hybridMultilevel"/>
    <w:tmpl w:val="34F4BC98"/>
    <w:lvl w:ilvl="0" w:tplc="0409000F">
      <w:start w:val="1"/>
      <w:numFmt w:val="decimal"/>
      <w:lvlText w:val="%1."/>
      <w:lvlJc w:val="left"/>
      <w:pPr>
        <w:ind w:left="1800" w:hanging="360"/>
      </w:pPr>
      <w:rPr>
        <w:rFonts w:hint="default"/>
      </w:rPr>
    </w:lvl>
    <w:lvl w:ilvl="1" w:tplc="FFFFFFFF">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E64EDA"/>
    <w:multiLevelType w:val="hybridMultilevel"/>
    <w:tmpl w:val="8CB8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70C5F"/>
    <w:multiLevelType w:val="hybridMultilevel"/>
    <w:tmpl w:val="5558677C"/>
    <w:lvl w:ilvl="0" w:tplc="3D241A4A">
      <w:start w:val="1"/>
      <w:numFmt w:val="decimal"/>
      <w:lvlText w:val="%1."/>
      <w:lvlJc w:val="left"/>
      <w:pPr>
        <w:ind w:left="720" w:hanging="360"/>
      </w:pPr>
      <w:rPr>
        <w:rFonts w:hint="default"/>
        <w:b w:val="0"/>
        <w:i w:val="0"/>
        <w:sz w:val="22"/>
        <w:szCs w:val="22"/>
      </w:rPr>
    </w:lvl>
    <w:lvl w:ilvl="1" w:tplc="D32E0D9E">
      <w:start w:val="1"/>
      <w:numFmt w:val="lowerLetter"/>
      <w:lvlText w:val="%2."/>
      <w:lvlJc w:val="left"/>
      <w:pPr>
        <w:ind w:left="1440" w:hanging="360"/>
      </w:pPr>
    </w:lvl>
    <w:lvl w:ilvl="2" w:tplc="C958F2F6">
      <w:start w:val="1"/>
      <w:numFmt w:val="lowerRoman"/>
      <w:lvlText w:val="%3."/>
      <w:lvlJc w:val="right"/>
      <w:pPr>
        <w:ind w:left="2160" w:hanging="180"/>
      </w:pPr>
    </w:lvl>
    <w:lvl w:ilvl="3" w:tplc="6E10FAD0">
      <w:start w:val="1"/>
      <w:numFmt w:val="decimal"/>
      <w:lvlText w:val="%4."/>
      <w:lvlJc w:val="left"/>
      <w:pPr>
        <w:ind w:left="2880" w:hanging="360"/>
      </w:pPr>
    </w:lvl>
    <w:lvl w:ilvl="4" w:tplc="86CA6724" w:tentative="1">
      <w:start w:val="1"/>
      <w:numFmt w:val="lowerLetter"/>
      <w:lvlText w:val="%5."/>
      <w:lvlJc w:val="left"/>
      <w:pPr>
        <w:ind w:left="3600" w:hanging="360"/>
      </w:pPr>
    </w:lvl>
    <w:lvl w:ilvl="5" w:tplc="66EE5888" w:tentative="1">
      <w:start w:val="1"/>
      <w:numFmt w:val="lowerRoman"/>
      <w:lvlText w:val="%6."/>
      <w:lvlJc w:val="right"/>
      <w:pPr>
        <w:ind w:left="4320" w:hanging="180"/>
      </w:pPr>
    </w:lvl>
    <w:lvl w:ilvl="6" w:tplc="BFAE1614" w:tentative="1">
      <w:start w:val="1"/>
      <w:numFmt w:val="decimal"/>
      <w:lvlText w:val="%7."/>
      <w:lvlJc w:val="left"/>
      <w:pPr>
        <w:ind w:left="5040" w:hanging="360"/>
      </w:pPr>
    </w:lvl>
    <w:lvl w:ilvl="7" w:tplc="630AFAA8" w:tentative="1">
      <w:start w:val="1"/>
      <w:numFmt w:val="lowerLetter"/>
      <w:lvlText w:val="%8."/>
      <w:lvlJc w:val="left"/>
      <w:pPr>
        <w:ind w:left="5760" w:hanging="360"/>
      </w:pPr>
    </w:lvl>
    <w:lvl w:ilvl="8" w:tplc="A540F8E8" w:tentative="1">
      <w:start w:val="1"/>
      <w:numFmt w:val="lowerRoman"/>
      <w:lvlText w:val="%9."/>
      <w:lvlJc w:val="right"/>
      <w:pPr>
        <w:ind w:left="6480" w:hanging="180"/>
      </w:pPr>
    </w:lvl>
  </w:abstractNum>
  <w:abstractNum w:abstractNumId="19" w15:restartNumberingAfterBreak="0">
    <w:nsid w:val="62580F79"/>
    <w:multiLevelType w:val="hybridMultilevel"/>
    <w:tmpl w:val="AA305F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EB2F6E"/>
    <w:multiLevelType w:val="hybridMultilevel"/>
    <w:tmpl w:val="FFFFFFFF"/>
    <w:lvl w:ilvl="0" w:tplc="3FEA5982">
      <w:start w:val="1"/>
      <w:numFmt w:val="bullet"/>
      <w:lvlText w:val=""/>
      <w:lvlJc w:val="left"/>
      <w:pPr>
        <w:ind w:left="720" w:hanging="360"/>
      </w:pPr>
      <w:rPr>
        <w:rFonts w:ascii="Symbol" w:hAnsi="Symbol" w:hint="default"/>
      </w:rPr>
    </w:lvl>
    <w:lvl w:ilvl="1" w:tplc="37784AE8">
      <w:start w:val="1"/>
      <w:numFmt w:val="bullet"/>
      <w:lvlText w:val="o"/>
      <w:lvlJc w:val="left"/>
      <w:pPr>
        <w:ind w:left="1440" w:hanging="360"/>
      </w:pPr>
      <w:rPr>
        <w:rFonts w:ascii="Courier New" w:hAnsi="Courier New" w:hint="default"/>
      </w:rPr>
    </w:lvl>
    <w:lvl w:ilvl="2" w:tplc="0666D308">
      <w:start w:val="1"/>
      <w:numFmt w:val="bullet"/>
      <w:lvlText w:val=""/>
      <w:lvlJc w:val="left"/>
      <w:pPr>
        <w:ind w:left="2160" w:hanging="360"/>
      </w:pPr>
      <w:rPr>
        <w:rFonts w:ascii="Wingdings" w:hAnsi="Wingdings" w:hint="default"/>
      </w:rPr>
    </w:lvl>
    <w:lvl w:ilvl="3" w:tplc="6E983548">
      <w:start w:val="1"/>
      <w:numFmt w:val="bullet"/>
      <w:lvlText w:val=""/>
      <w:lvlJc w:val="left"/>
      <w:pPr>
        <w:ind w:left="2880" w:hanging="360"/>
      </w:pPr>
      <w:rPr>
        <w:rFonts w:ascii="Symbol" w:hAnsi="Symbol" w:hint="default"/>
      </w:rPr>
    </w:lvl>
    <w:lvl w:ilvl="4" w:tplc="52063578">
      <w:start w:val="1"/>
      <w:numFmt w:val="bullet"/>
      <w:lvlText w:val="o"/>
      <w:lvlJc w:val="left"/>
      <w:pPr>
        <w:ind w:left="3600" w:hanging="360"/>
      </w:pPr>
      <w:rPr>
        <w:rFonts w:ascii="Courier New" w:hAnsi="Courier New" w:hint="default"/>
      </w:rPr>
    </w:lvl>
    <w:lvl w:ilvl="5" w:tplc="8D325CBE">
      <w:start w:val="1"/>
      <w:numFmt w:val="bullet"/>
      <w:lvlText w:val=""/>
      <w:lvlJc w:val="left"/>
      <w:pPr>
        <w:ind w:left="4320" w:hanging="360"/>
      </w:pPr>
      <w:rPr>
        <w:rFonts w:ascii="Wingdings" w:hAnsi="Wingdings" w:hint="default"/>
      </w:rPr>
    </w:lvl>
    <w:lvl w:ilvl="6" w:tplc="56E29880">
      <w:start w:val="1"/>
      <w:numFmt w:val="bullet"/>
      <w:lvlText w:val=""/>
      <w:lvlJc w:val="left"/>
      <w:pPr>
        <w:ind w:left="5040" w:hanging="360"/>
      </w:pPr>
      <w:rPr>
        <w:rFonts w:ascii="Symbol" w:hAnsi="Symbol" w:hint="default"/>
      </w:rPr>
    </w:lvl>
    <w:lvl w:ilvl="7" w:tplc="E1201A0E">
      <w:start w:val="1"/>
      <w:numFmt w:val="bullet"/>
      <w:lvlText w:val="o"/>
      <w:lvlJc w:val="left"/>
      <w:pPr>
        <w:ind w:left="5760" w:hanging="360"/>
      </w:pPr>
      <w:rPr>
        <w:rFonts w:ascii="Courier New" w:hAnsi="Courier New" w:hint="default"/>
      </w:rPr>
    </w:lvl>
    <w:lvl w:ilvl="8" w:tplc="EF7AA2D6">
      <w:start w:val="1"/>
      <w:numFmt w:val="bullet"/>
      <w:lvlText w:val=""/>
      <w:lvlJc w:val="left"/>
      <w:pPr>
        <w:ind w:left="6480" w:hanging="360"/>
      </w:pPr>
      <w:rPr>
        <w:rFonts w:ascii="Wingdings" w:hAnsi="Wingdings" w:hint="default"/>
      </w:rPr>
    </w:lvl>
  </w:abstractNum>
  <w:abstractNum w:abstractNumId="21" w15:restartNumberingAfterBreak="0">
    <w:nsid w:val="6AEB16E7"/>
    <w:multiLevelType w:val="hybridMultilevel"/>
    <w:tmpl w:val="93A4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46635"/>
    <w:multiLevelType w:val="hybridMultilevel"/>
    <w:tmpl w:val="A6F80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D17225"/>
    <w:multiLevelType w:val="hybridMultilevel"/>
    <w:tmpl w:val="84B8F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5D0D74"/>
    <w:multiLevelType w:val="hybridMultilevel"/>
    <w:tmpl w:val="B2C016E8"/>
    <w:lvl w:ilvl="0" w:tplc="08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65EB378"/>
    <w:multiLevelType w:val="hybridMultilevel"/>
    <w:tmpl w:val="6BB09F76"/>
    <w:lvl w:ilvl="0" w:tplc="DF928B58">
      <w:start w:val="1"/>
      <w:numFmt w:val="decimal"/>
      <w:lvlText w:val="%1)"/>
      <w:lvlJc w:val="left"/>
      <w:pPr>
        <w:ind w:left="720" w:hanging="360"/>
      </w:pPr>
    </w:lvl>
    <w:lvl w:ilvl="1" w:tplc="481EFDCE">
      <w:start w:val="1"/>
      <w:numFmt w:val="upperLetter"/>
      <w:lvlText w:val="%2."/>
      <w:lvlJc w:val="left"/>
      <w:pPr>
        <w:ind w:left="1440" w:hanging="360"/>
      </w:pPr>
    </w:lvl>
    <w:lvl w:ilvl="2" w:tplc="94027946">
      <w:start w:val="1"/>
      <w:numFmt w:val="lowerRoman"/>
      <w:lvlText w:val="%3)"/>
      <w:lvlJc w:val="right"/>
      <w:pPr>
        <w:ind w:left="2160" w:hanging="180"/>
      </w:pPr>
    </w:lvl>
    <w:lvl w:ilvl="3" w:tplc="E8882630">
      <w:start w:val="1"/>
      <w:numFmt w:val="decimal"/>
      <w:lvlText w:val="(%4)"/>
      <w:lvlJc w:val="left"/>
      <w:pPr>
        <w:ind w:left="2880" w:hanging="360"/>
      </w:pPr>
    </w:lvl>
    <w:lvl w:ilvl="4" w:tplc="7276BB5C">
      <w:start w:val="1"/>
      <w:numFmt w:val="lowerLetter"/>
      <w:lvlText w:val="(%5)"/>
      <w:lvlJc w:val="left"/>
      <w:pPr>
        <w:ind w:left="3600" w:hanging="360"/>
      </w:pPr>
    </w:lvl>
    <w:lvl w:ilvl="5" w:tplc="6A4421F8">
      <w:start w:val="1"/>
      <w:numFmt w:val="lowerRoman"/>
      <w:lvlText w:val="(%6)"/>
      <w:lvlJc w:val="right"/>
      <w:pPr>
        <w:ind w:left="4320" w:hanging="180"/>
      </w:pPr>
    </w:lvl>
    <w:lvl w:ilvl="6" w:tplc="99920DB8">
      <w:start w:val="1"/>
      <w:numFmt w:val="decimal"/>
      <w:lvlText w:val="%7."/>
      <w:lvlJc w:val="left"/>
      <w:pPr>
        <w:ind w:left="5040" w:hanging="360"/>
      </w:pPr>
    </w:lvl>
    <w:lvl w:ilvl="7" w:tplc="8F706512">
      <w:start w:val="1"/>
      <w:numFmt w:val="lowerLetter"/>
      <w:lvlText w:val="%8."/>
      <w:lvlJc w:val="left"/>
      <w:pPr>
        <w:ind w:left="5760" w:hanging="360"/>
      </w:pPr>
    </w:lvl>
    <w:lvl w:ilvl="8" w:tplc="F7A8849E">
      <w:start w:val="1"/>
      <w:numFmt w:val="lowerRoman"/>
      <w:lvlText w:val="%9."/>
      <w:lvlJc w:val="right"/>
      <w:pPr>
        <w:ind w:left="6480" w:hanging="180"/>
      </w:pPr>
    </w:lvl>
  </w:abstractNum>
  <w:abstractNum w:abstractNumId="26" w15:restartNumberingAfterBreak="0">
    <w:nsid w:val="799512D0"/>
    <w:multiLevelType w:val="hybridMultilevel"/>
    <w:tmpl w:val="D2F46B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E002E0"/>
    <w:multiLevelType w:val="hybridMultilevel"/>
    <w:tmpl w:val="E94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251358">
    <w:abstractNumId w:val="13"/>
  </w:num>
  <w:num w:numId="2" w16cid:durableId="1573390520">
    <w:abstractNumId w:val="7"/>
  </w:num>
  <w:num w:numId="3" w16cid:durableId="62260212">
    <w:abstractNumId w:val="2"/>
  </w:num>
  <w:num w:numId="4" w16cid:durableId="724642940">
    <w:abstractNumId w:val="25"/>
  </w:num>
  <w:num w:numId="5" w16cid:durableId="189757015">
    <w:abstractNumId w:val="10"/>
  </w:num>
  <w:num w:numId="6" w16cid:durableId="525601652">
    <w:abstractNumId w:val="15"/>
  </w:num>
  <w:num w:numId="7" w16cid:durableId="379717841">
    <w:abstractNumId w:val="5"/>
  </w:num>
  <w:num w:numId="8" w16cid:durableId="1686786880">
    <w:abstractNumId w:val="4"/>
  </w:num>
  <w:num w:numId="9" w16cid:durableId="926423389">
    <w:abstractNumId w:val="9"/>
  </w:num>
  <w:num w:numId="10" w16cid:durableId="1608536507">
    <w:abstractNumId w:val="12"/>
  </w:num>
  <w:num w:numId="11" w16cid:durableId="1052731716">
    <w:abstractNumId w:val="8"/>
  </w:num>
  <w:num w:numId="12" w16cid:durableId="62141952">
    <w:abstractNumId w:val="17"/>
  </w:num>
  <w:num w:numId="13" w16cid:durableId="556359498">
    <w:abstractNumId w:val="21"/>
  </w:num>
  <w:num w:numId="14" w16cid:durableId="856190593">
    <w:abstractNumId w:val="3"/>
  </w:num>
  <w:num w:numId="15" w16cid:durableId="2038773006">
    <w:abstractNumId w:val="6"/>
  </w:num>
  <w:num w:numId="16" w16cid:durableId="523904051">
    <w:abstractNumId w:val="1"/>
  </w:num>
  <w:num w:numId="17" w16cid:durableId="755246164">
    <w:abstractNumId w:val="22"/>
  </w:num>
  <w:num w:numId="18" w16cid:durableId="1490829955">
    <w:abstractNumId w:val="24"/>
  </w:num>
  <w:num w:numId="19" w16cid:durableId="713773237">
    <w:abstractNumId w:val="23"/>
  </w:num>
  <w:num w:numId="20" w16cid:durableId="689530141">
    <w:abstractNumId w:val="19"/>
  </w:num>
  <w:num w:numId="21" w16cid:durableId="1850680385">
    <w:abstractNumId w:val="26"/>
  </w:num>
  <w:num w:numId="22" w16cid:durableId="1961918144">
    <w:abstractNumId w:val="16"/>
  </w:num>
  <w:num w:numId="23" w16cid:durableId="617415556">
    <w:abstractNumId w:val="14"/>
  </w:num>
  <w:num w:numId="24" w16cid:durableId="747964268">
    <w:abstractNumId w:val="20"/>
  </w:num>
  <w:num w:numId="25" w16cid:durableId="1891189960">
    <w:abstractNumId w:val="0"/>
  </w:num>
  <w:num w:numId="26" w16cid:durableId="240482059">
    <w:abstractNumId w:val="18"/>
  </w:num>
  <w:num w:numId="27" w16cid:durableId="1184512448">
    <w:abstractNumId w:val="22"/>
  </w:num>
  <w:num w:numId="28" w16cid:durableId="1683317269">
    <w:abstractNumId w:val="27"/>
  </w:num>
  <w:num w:numId="29" w16cid:durableId="267322402">
    <w:abstractNumId w:val="11"/>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8D"/>
    <w:rsid w:val="0000081F"/>
    <w:rsid w:val="000008C8"/>
    <w:rsid w:val="0000112E"/>
    <w:rsid w:val="00001134"/>
    <w:rsid w:val="000019B5"/>
    <w:rsid w:val="0000201F"/>
    <w:rsid w:val="00002B68"/>
    <w:rsid w:val="0000347F"/>
    <w:rsid w:val="00003563"/>
    <w:rsid w:val="00003631"/>
    <w:rsid w:val="00003B1A"/>
    <w:rsid w:val="00004359"/>
    <w:rsid w:val="000046CE"/>
    <w:rsid w:val="00004D91"/>
    <w:rsid w:val="000050DE"/>
    <w:rsid w:val="00005465"/>
    <w:rsid w:val="000064FF"/>
    <w:rsid w:val="00006C6F"/>
    <w:rsid w:val="00006FB1"/>
    <w:rsid w:val="00007060"/>
    <w:rsid w:val="00007609"/>
    <w:rsid w:val="0000772A"/>
    <w:rsid w:val="0000797C"/>
    <w:rsid w:val="000105D6"/>
    <w:rsid w:val="0001070B"/>
    <w:rsid w:val="000112F3"/>
    <w:rsid w:val="0001150A"/>
    <w:rsid w:val="000116E7"/>
    <w:rsid w:val="00012147"/>
    <w:rsid w:val="0001227A"/>
    <w:rsid w:val="00012A2A"/>
    <w:rsid w:val="00012D6A"/>
    <w:rsid w:val="000130B2"/>
    <w:rsid w:val="000132A4"/>
    <w:rsid w:val="00013D4A"/>
    <w:rsid w:val="00013FB1"/>
    <w:rsid w:val="000140BD"/>
    <w:rsid w:val="000141A6"/>
    <w:rsid w:val="0001473A"/>
    <w:rsid w:val="00014865"/>
    <w:rsid w:val="00014A2F"/>
    <w:rsid w:val="00014B7E"/>
    <w:rsid w:val="00014C06"/>
    <w:rsid w:val="000151AD"/>
    <w:rsid w:val="00015215"/>
    <w:rsid w:val="0001545C"/>
    <w:rsid w:val="00015841"/>
    <w:rsid w:val="0001598D"/>
    <w:rsid w:val="000159F7"/>
    <w:rsid w:val="00015E3E"/>
    <w:rsid w:val="0001628D"/>
    <w:rsid w:val="0001683D"/>
    <w:rsid w:val="00016970"/>
    <w:rsid w:val="00016EE2"/>
    <w:rsid w:val="00016F07"/>
    <w:rsid w:val="00017AE2"/>
    <w:rsid w:val="00020009"/>
    <w:rsid w:val="000202E1"/>
    <w:rsid w:val="000204FF"/>
    <w:rsid w:val="0002074D"/>
    <w:rsid w:val="0002079F"/>
    <w:rsid w:val="00020CDC"/>
    <w:rsid w:val="00020E94"/>
    <w:rsid w:val="00021B4E"/>
    <w:rsid w:val="00021C82"/>
    <w:rsid w:val="00021CA1"/>
    <w:rsid w:val="000223FA"/>
    <w:rsid w:val="0002263A"/>
    <w:rsid w:val="00022D5B"/>
    <w:rsid w:val="00022DDC"/>
    <w:rsid w:val="00023354"/>
    <w:rsid w:val="00023C07"/>
    <w:rsid w:val="00023EEF"/>
    <w:rsid w:val="00023F43"/>
    <w:rsid w:val="0002438E"/>
    <w:rsid w:val="0002460C"/>
    <w:rsid w:val="00024B94"/>
    <w:rsid w:val="00024D8D"/>
    <w:rsid w:val="000251D1"/>
    <w:rsid w:val="000254D4"/>
    <w:rsid w:val="000255FD"/>
    <w:rsid w:val="00025825"/>
    <w:rsid w:val="000258FB"/>
    <w:rsid w:val="00025A9B"/>
    <w:rsid w:val="00025BF2"/>
    <w:rsid w:val="00026131"/>
    <w:rsid w:val="0002627D"/>
    <w:rsid w:val="000268DB"/>
    <w:rsid w:val="00026923"/>
    <w:rsid w:val="00027534"/>
    <w:rsid w:val="000277CB"/>
    <w:rsid w:val="00027946"/>
    <w:rsid w:val="000279BC"/>
    <w:rsid w:val="00027A48"/>
    <w:rsid w:val="00027AD6"/>
    <w:rsid w:val="00027C0A"/>
    <w:rsid w:val="00027C39"/>
    <w:rsid w:val="000302C7"/>
    <w:rsid w:val="00030373"/>
    <w:rsid w:val="00030582"/>
    <w:rsid w:val="00030A2F"/>
    <w:rsid w:val="00030C1D"/>
    <w:rsid w:val="000318D1"/>
    <w:rsid w:val="00031A82"/>
    <w:rsid w:val="00031E41"/>
    <w:rsid w:val="000324C4"/>
    <w:rsid w:val="0003265D"/>
    <w:rsid w:val="000329EF"/>
    <w:rsid w:val="00032FC7"/>
    <w:rsid w:val="00033BB2"/>
    <w:rsid w:val="00033DF3"/>
    <w:rsid w:val="00033F34"/>
    <w:rsid w:val="000345D4"/>
    <w:rsid w:val="0003468F"/>
    <w:rsid w:val="00034741"/>
    <w:rsid w:val="00034A58"/>
    <w:rsid w:val="00034BDF"/>
    <w:rsid w:val="0003504D"/>
    <w:rsid w:val="000352C4"/>
    <w:rsid w:val="00035910"/>
    <w:rsid w:val="00035DE9"/>
    <w:rsid w:val="00036145"/>
    <w:rsid w:val="00036392"/>
    <w:rsid w:val="00036555"/>
    <w:rsid w:val="0003693D"/>
    <w:rsid w:val="00036A85"/>
    <w:rsid w:val="00036AB3"/>
    <w:rsid w:val="00036BE3"/>
    <w:rsid w:val="00036EDA"/>
    <w:rsid w:val="00036F28"/>
    <w:rsid w:val="000372F4"/>
    <w:rsid w:val="00037360"/>
    <w:rsid w:val="000374A5"/>
    <w:rsid w:val="000377A6"/>
    <w:rsid w:val="000378DF"/>
    <w:rsid w:val="00037907"/>
    <w:rsid w:val="00037D7A"/>
    <w:rsid w:val="00037D87"/>
    <w:rsid w:val="00037FCD"/>
    <w:rsid w:val="0004022F"/>
    <w:rsid w:val="00040643"/>
    <w:rsid w:val="000408D8"/>
    <w:rsid w:val="00040CB3"/>
    <w:rsid w:val="00040F58"/>
    <w:rsid w:val="00041564"/>
    <w:rsid w:val="000415FC"/>
    <w:rsid w:val="00041BA2"/>
    <w:rsid w:val="00042128"/>
    <w:rsid w:val="0004250E"/>
    <w:rsid w:val="0004276C"/>
    <w:rsid w:val="00042792"/>
    <w:rsid w:val="0004288D"/>
    <w:rsid w:val="000428AD"/>
    <w:rsid w:val="00042AFB"/>
    <w:rsid w:val="00042D50"/>
    <w:rsid w:val="00042FC4"/>
    <w:rsid w:val="000441AA"/>
    <w:rsid w:val="00044599"/>
    <w:rsid w:val="000449FD"/>
    <w:rsid w:val="0004509B"/>
    <w:rsid w:val="00045A49"/>
    <w:rsid w:val="00045A4F"/>
    <w:rsid w:val="0004619C"/>
    <w:rsid w:val="00046732"/>
    <w:rsid w:val="00046E08"/>
    <w:rsid w:val="00046F22"/>
    <w:rsid w:val="0004732E"/>
    <w:rsid w:val="00047598"/>
    <w:rsid w:val="000477CC"/>
    <w:rsid w:val="000477D6"/>
    <w:rsid w:val="00050429"/>
    <w:rsid w:val="00050B6D"/>
    <w:rsid w:val="00050DE5"/>
    <w:rsid w:val="00050E79"/>
    <w:rsid w:val="00050F25"/>
    <w:rsid w:val="0005191F"/>
    <w:rsid w:val="00051E5C"/>
    <w:rsid w:val="0005209C"/>
    <w:rsid w:val="000521EC"/>
    <w:rsid w:val="0005222F"/>
    <w:rsid w:val="00052BC6"/>
    <w:rsid w:val="00052F89"/>
    <w:rsid w:val="00053224"/>
    <w:rsid w:val="00053899"/>
    <w:rsid w:val="00053B03"/>
    <w:rsid w:val="00053B21"/>
    <w:rsid w:val="00053ED3"/>
    <w:rsid w:val="00054191"/>
    <w:rsid w:val="000541F9"/>
    <w:rsid w:val="0005426A"/>
    <w:rsid w:val="000543AF"/>
    <w:rsid w:val="00054430"/>
    <w:rsid w:val="0005452D"/>
    <w:rsid w:val="000546F9"/>
    <w:rsid w:val="00054C3D"/>
    <w:rsid w:val="00054ECA"/>
    <w:rsid w:val="000550B1"/>
    <w:rsid w:val="00055A19"/>
    <w:rsid w:val="00055F0E"/>
    <w:rsid w:val="00056661"/>
    <w:rsid w:val="00056B21"/>
    <w:rsid w:val="00056B3C"/>
    <w:rsid w:val="00056D65"/>
    <w:rsid w:val="00056DF0"/>
    <w:rsid w:val="00057925"/>
    <w:rsid w:val="00057D3F"/>
    <w:rsid w:val="00057EE1"/>
    <w:rsid w:val="00057FB2"/>
    <w:rsid w:val="00057FE8"/>
    <w:rsid w:val="0006008D"/>
    <w:rsid w:val="000600A3"/>
    <w:rsid w:val="00060217"/>
    <w:rsid w:val="0006049E"/>
    <w:rsid w:val="00060605"/>
    <w:rsid w:val="000606BA"/>
    <w:rsid w:val="000606DE"/>
    <w:rsid w:val="0006071F"/>
    <w:rsid w:val="000612EE"/>
    <w:rsid w:val="000614A7"/>
    <w:rsid w:val="0006151D"/>
    <w:rsid w:val="0006171A"/>
    <w:rsid w:val="00061788"/>
    <w:rsid w:val="00061BB9"/>
    <w:rsid w:val="00061C3F"/>
    <w:rsid w:val="00061DA7"/>
    <w:rsid w:val="0006210C"/>
    <w:rsid w:val="00062801"/>
    <w:rsid w:val="00062983"/>
    <w:rsid w:val="00062A6D"/>
    <w:rsid w:val="0006328F"/>
    <w:rsid w:val="0006386B"/>
    <w:rsid w:val="00063CD9"/>
    <w:rsid w:val="00063FB3"/>
    <w:rsid w:val="0006409B"/>
    <w:rsid w:val="000648F0"/>
    <w:rsid w:val="00064AD9"/>
    <w:rsid w:val="00064CFC"/>
    <w:rsid w:val="00065174"/>
    <w:rsid w:val="00065284"/>
    <w:rsid w:val="00065571"/>
    <w:rsid w:val="000655C0"/>
    <w:rsid w:val="00065EAD"/>
    <w:rsid w:val="00065FF3"/>
    <w:rsid w:val="00066493"/>
    <w:rsid w:val="00066618"/>
    <w:rsid w:val="00066A3C"/>
    <w:rsid w:val="00066FA5"/>
    <w:rsid w:val="00067F40"/>
    <w:rsid w:val="0007000A"/>
    <w:rsid w:val="000701DB"/>
    <w:rsid w:val="00070C80"/>
    <w:rsid w:val="00070C88"/>
    <w:rsid w:val="00070D95"/>
    <w:rsid w:val="00070DE4"/>
    <w:rsid w:val="00070DF9"/>
    <w:rsid w:val="0007105F"/>
    <w:rsid w:val="00071375"/>
    <w:rsid w:val="0007143A"/>
    <w:rsid w:val="0007166E"/>
    <w:rsid w:val="00071A61"/>
    <w:rsid w:val="00071B69"/>
    <w:rsid w:val="00072146"/>
    <w:rsid w:val="0007288E"/>
    <w:rsid w:val="00072A56"/>
    <w:rsid w:val="00072C65"/>
    <w:rsid w:val="00072CE3"/>
    <w:rsid w:val="00072DB1"/>
    <w:rsid w:val="00072E08"/>
    <w:rsid w:val="00072E47"/>
    <w:rsid w:val="000730F6"/>
    <w:rsid w:val="000735F6"/>
    <w:rsid w:val="000738D1"/>
    <w:rsid w:val="00073B10"/>
    <w:rsid w:val="000743E8"/>
    <w:rsid w:val="00074852"/>
    <w:rsid w:val="00074898"/>
    <w:rsid w:val="00074BBE"/>
    <w:rsid w:val="00075171"/>
    <w:rsid w:val="0007572D"/>
    <w:rsid w:val="0007577F"/>
    <w:rsid w:val="00076916"/>
    <w:rsid w:val="00077271"/>
    <w:rsid w:val="00077A29"/>
    <w:rsid w:val="00077D26"/>
    <w:rsid w:val="00080295"/>
    <w:rsid w:val="000804A5"/>
    <w:rsid w:val="00080505"/>
    <w:rsid w:val="000810C9"/>
    <w:rsid w:val="00081852"/>
    <w:rsid w:val="000821D7"/>
    <w:rsid w:val="0008241C"/>
    <w:rsid w:val="00082DA2"/>
    <w:rsid w:val="00083056"/>
    <w:rsid w:val="000830A8"/>
    <w:rsid w:val="000835B0"/>
    <w:rsid w:val="00083600"/>
    <w:rsid w:val="00083645"/>
    <w:rsid w:val="00083657"/>
    <w:rsid w:val="00083923"/>
    <w:rsid w:val="00084162"/>
    <w:rsid w:val="00084CF7"/>
    <w:rsid w:val="00084F3B"/>
    <w:rsid w:val="00085289"/>
    <w:rsid w:val="00085938"/>
    <w:rsid w:val="00085A6B"/>
    <w:rsid w:val="00085C5F"/>
    <w:rsid w:val="00086141"/>
    <w:rsid w:val="0008639B"/>
    <w:rsid w:val="00086563"/>
    <w:rsid w:val="00086620"/>
    <w:rsid w:val="00086714"/>
    <w:rsid w:val="00086747"/>
    <w:rsid w:val="00087003"/>
    <w:rsid w:val="0008714D"/>
    <w:rsid w:val="000872AC"/>
    <w:rsid w:val="00087354"/>
    <w:rsid w:val="0008769A"/>
    <w:rsid w:val="00087D76"/>
    <w:rsid w:val="00087E65"/>
    <w:rsid w:val="0009034A"/>
    <w:rsid w:val="00090407"/>
    <w:rsid w:val="00090616"/>
    <w:rsid w:val="0009064E"/>
    <w:rsid w:val="000906A5"/>
    <w:rsid w:val="00090899"/>
    <w:rsid w:val="00090C63"/>
    <w:rsid w:val="00090CC6"/>
    <w:rsid w:val="000912D8"/>
    <w:rsid w:val="000918D4"/>
    <w:rsid w:val="00091B6F"/>
    <w:rsid w:val="00091D15"/>
    <w:rsid w:val="00091DE8"/>
    <w:rsid w:val="00091E1F"/>
    <w:rsid w:val="00092B51"/>
    <w:rsid w:val="0009387C"/>
    <w:rsid w:val="0009396B"/>
    <w:rsid w:val="000941C2"/>
    <w:rsid w:val="00094A96"/>
    <w:rsid w:val="00094F87"/>
    <w:rsid w:val="000950DC"/>
    <w:rsid w:val="0009516F"/>
    <w:rsid w:val="0009533B"/>
    <w:rsid w:val="000954F8"/>
    <w:rsid w:val="000958EC"/>
    <w:rsid w:val="00096A1D"/>
    <w:rsid w:val="00096BFD"/>
    <w:rsid w:val="0009707F"/>
    <w:rsid w:val="0009718C"/>
    <w:rsid w:val="0009729B"/>
    <w:rsid w:val="000974BF"/>
    <w:rsid w:val="0009755D"/>
    <w:rsid w:val="000978CE"/>
    <w:rsid w:val="000978F3"/>
    <w:rsid w:val="00097A92"/>
    <w:rsid w:val="000A001F"/>
    <w:rsid w:val="000A0078"/>
    <w:rsid w:val="000A0453"/>
    <w:rsid w:val="000A07C2"/>
    <w:rsid w:val="000A08E1"/>
    <w:rsid w:val="000A0BC9"/>
    <w:rsid w:val="000A11ED"/>
    <w:rsid w:val="000A15D0"/>
    <w:rsid w:val="000A18EB"/>
    <w:rsid w:val="000A1F85"/>
    <w:rsid w:val="000A25D0"/>
    <w:rsid w:val="000A265D"/>
    <w:rsid w:val="000A29B5"/>
    <w:rsid w:val="000A2C17"/>
    <w:rsid w:val="000A2F1D"/>
    <w:rsid w:val="000A30FC"/>
    <w:rsid w:val="000A34A8"/>
    <w:rsid w:val="000A3886"/>
    <w:rsid w:val="000A38C4"/>
    <w:rsid w:val="000A4D86"/>
    <w:rsid w:val="000A4E29"/>
    <w:rsid w:val="000A58B5"/>
    <w:rsid w:val="000A5ACA"/>
    <w:rsid w:val="000A5B5E"/>
    <w:rsid w:val="000A5C72"/>
    <w:rsid w:val="000A5D6B"/>
    <w:rsid w:val="000A61B1"/>
    <w:rsid w:val="000A63C5"/>
    <w:rsid w:val="000A691D"/>
    <w:rsid w:val="000A6C0E"/>
    <w:rsid w:val="000A6D0C"/>
    <w:rsid w:val="000A746A"/>
    <w:rsid w:val="000A7496"/>
    <w:rsid w:val="000A74B1"/>
    <w:rsid w:val="000A76B7"/>
    <w:rsid w:val="000A7C43"/>
    <w:rsid w:val="000B05F8"/>
    <w:rsid w:val="000B083D"/>
    <w:rsid w:val="000B094B"/>
    <w:rsid w:val="000B0F8F"/>
    <w:rsid w:val="000B1B72"/>
    <w:rsid w:val="000B1BFF"/>
    <w:rsid w:val="000B1C19"/>
    <w:rsid w:val="000B25EA"/>
    <w:rsid w:val="000B25EF"/>
    <w:rsid w:val="000B2677"/>
    <w:rsid w:val="000B26B9"/>
    <w:rsid w:val="000B2AE0"/>
    <w:rsid w:val="000B2EAF"/>
    <w:rsid w:val="000B2F78"/>
    <w:rsid w:val="000B3131"/>
    <w:rsid w:val="000B32DF"/>
    <w:rsid w:val="000B34ED"/>
    <w:rsid w:val="000B3987"/>
    <w:rsid w:val="000B3B3B"/>
    <w:rsid w:val="000B401D"/>
    <w:rsid w:val="000B4238"/>
    <w:rsid w:val="000B44EF"/>
    <w:rsid w:val="000B46AF"/>
    <w:rsid w:val="000B478F"/>
    <w:rsid w:val="000B4ECC"/>
    <w:rsid w:val="000B569B"/>
    <w:rsid w:val="000B5C02"/>
    <w:rsid w:val="000B5C8F"/>
    <w:rsid w:val="000B5CCB"/>
    <w:rsid w:val="000B6024"/>
    <w:rsid w:val="000B6375"/>
    <w:rsid w:val="000B63FD"/>
    <w:rsid w:val="000B6472"/>
    <w:rsid w:val="000B695A"/>
    <w:rsid w:val="000B7133"/>
    <w:rsid w:val="000B79E3"/>
    <w:rsid w:val="000B7E3B"/>
    <w:rsid w:val="000B7EB1"/>
    <w:rsid w:val="000C00DA"/>
    <w:rsid w:val="000C01A3"/>
    <w:rsid w:val="000C02FD"/>
    <w:rsid w:val="000C09C8"/>
    <w:rsid w:val="000C09E6"/>
    <w:rsid w:val="000C0A05"/>
    <w:rsid w:val="000C0AA8"/>
    <w:rsid w:val="000C0AEE"/>
    <w:rsid w:val="000C11C5"/>
    <w:rsid w:val="000C132D"/>
    <w:rsid w:val="000C1517"/>
    <w:rsid w:val="000C2408"/>
    <w:rsid w:val="000C28F1"/>
    <w:rsid w:val="000C296A"/>
    <w:rsid w:val="000C29E2"/>
    <w:rsid w:val="000C2D76"/>
    <w:rsid w:val="000C348A"/>
    <w:rsid w:val="000C356D"/>
    <w:rsid w:val="000C3943"/>
    <w:rsid w:val="000C3A83"/>
    <w:rsid w:val="000C3C55"/>
    <w:rsid w:val="000C3C6E"/>
    <w:rsid w:val="000C3CBA"/>
    <w:rsid w:val="000C3CE2"/>
    <w:rsid w:val="000C3D24"/>
    <w:rsid w:val="000C3F80"/>
    <w:rsid w:val="000C40BF"/>
    <w:rsid w:val="000C4149"/>
    <w:rsid w:val="000C4308"/>
    <w:rsid w:val="000C4434"/>
    <w:rsid w:val="000C47A4"/>
    <w:rsid w:val="000C4A62"/>
    <w:rsid w:val="000C5000"/>
    <w:rsid w:val="000C5237"/>
    <w:rsid w:val="000C529A"/>
    <w:rsid w:val="000C52A1"/>
    <w:rsid w:val="000C58D5"/>
    <w:rsid w:val="000C5973"/>
    <w:rsid w:val="000C6271"/>
    <w:rsid w:val="000C6631"/>
    <w:rsid w:val="000C6A81"/>
    <w:rsid w:val="000C6B85"/>
    <w:rsid w:val="000C6F72"/>
    <w:rsid w:val="000C7820"/>
    <w:rsid w:val="000C79F6"/>
    <w:rsid w:val="000D0203"/>
    <w:rsid w:val="000D071E"/>
    <w:rsid w:val="000D0CDC"/>
    <w:rsid w:val="000D0E4C"/>
    <w:rsid w:val="000D0EF7"/>
    <w:rsid w:val="000D198D"/>
    <w:rsid w:val="000D1E6C"/>
    <w:rsid w:val="000D20FB"/>
    <w:rsid w:val="000D2591"/>
    <w:rsid w:val="000D2B68"/>
    <w:rsid w:val="000D2D95"/>
    <w:rsid w:val="000D3193"/>
    <w:rsid w:val="000D3529"/>
    <w:rsid w:val="000D355B"/>
    <w:rsid w:val="000D3996"/>
    <w:rsid w:val="000D3DAC"/>
    <w:rsid w:val="000D3F8E"/>
    <w:rsid w:val="000D401E"/>
    <w:rsid w:val="000D431F"/>
    <w:rsid w:val="000D4B37"/>
    <w:rsid w:val="000D4EA2"/>
    <w:rsid w:val="000D4FA6"/>
    <w:rsid w:val="000D51DA"/>
    <w:rsid w:val="000D54EC"/>
    <w:rsid w:val="000D5765"/>
    <w:rsid w:val="000D586A"/>
    <w:rsid w:val="000D5F0E"/>
    <w:rsid w:val="000D62B8"/>
    <w:rsid w:val="000D63EB"/>
    <w:rsid w:val="000D6534"/>
    <w:rsid w:val="000D668F"/>
    <w:rsid w:val="000D6725"/>
    <w:rsid w:val="000D6E41"/>
    <w:rsid w:val="000D736A"/>
    <w:rsid w:val="000D74CD"/>
    <w:rsid w:val="000D7983"/>
    <w:rsid w:val="000D7FA1"/>
    <w:rsid w:val="000E0399"/>
    <w:rsid w:val="000E03CC"/>
    <w:rsid w:val="000E0598"/>
    <w:rsid w:val="000E0988"/>
    <w:rsid w:val="000E0B5B"/>
    <w:rsid w:val="000E1078"/>
    <w:rsid w:val="000E11EE"/>
    <w:rsid w:val="000E13DF"/>
    <w:rsid w:val="000E1E4F"/>
    <w:rsid w:val="000E2244"/>
    <w:rsid w:val="000E2317"/>
    <w:rsid w:val="000E2432"/>
    <w:rsid w:val="000E2475"/>
    <w:rsid w:val="000E3146"/>
    <w:rsid w:val="000E32D3"/>
    <w:rsid w:val="000E3B0C"/>
    <w:rsid w:val="000E3BF5"/>
    <w:rsid w:val="000E3D0F"/>
    <w:rsid w:val="000E3DB1"/>
    <w:rsid w:val="000E422C"/>
    <w:rsid w:val="000E4DA8"/>
    <w:rsid w:val="000E4E5F"/>
    <w:rsid w:val="000E57D7"/>
    <w:rsid w:val="000E5D61"/>
    <w:rsid w:val="000E6A86"/>
    <w:rsid w:val="000E758C"/>
    <w:rsid w:val="000E75D2"/>
    <w:rsid w:val="000F07FA"/>
    <w:rsid w:val="000F0ACC"/>
    <w:rsid w:val="000F0C4E"/>
    <w:rsid w:val="000F16F9"/>
    <w:rsid w:val="000F185F"/>
    <w:rsid w:val="000F1877"/>
    <w:rsid w:val="000F1A91"/>
    <w:rsid w:val="000F1AA0"/>
    <w:rsid w:val="000F24C9"/>
    <w:rsid w:val="000F278D"/>
    <w:rsid w:val="000F2B26"/>
    <w:rsid w:val="000F2F95"/>
    <w:rsid w:val="000F32DF"/>
    <w:rsid w:val="000F3432"/>
    <w:rsid w:val="000F39D0"/>
    <w:rsid w:val="000F3A50"/>
    <w:rsid w:val="000F3E28"/>
    <w:rsid w:val="000F3F49"/>
    <w:rsid w:val="000F405E"/>
    <w:rsid w:val="000F4274"/>
    <w:rsid w:val="000F4727"/>
    <w:rsid w:val="000F4A50"/>
    <w:rsid w:val="000F4BFA"/>
    <w:rsid w:val="000F5088"/>
    <w:rsid w:val="000F5550"/>
    <w:rsid w:val="000F5643"/>
    <w:rsid w:val="000F5928"/>
    <w:rsid w:val="000F5A5A"/>
    <w:rsid w:val="000F5DDC"/>
    <w:rsid w:val="000F5ECF"/>
    <w:rsid w:val="000F65C8"/>
    <w:rsid w:val="000F6E47"/>
    <w:rsid w:val="000F70E4"/>
    <w:rsid w:val="000F7176"/>
    <w:rsid w:val="000F71E2"/>
    <w:rsid w:val="000F7306"/>
    <w:rsid w:val="000F7753"/>
    <w:rsid w:val="000F7CED"/>
    <w:rsid w:val="001002E4"/>
    <w:rsid w:val="001004DC"/>
    <w:rsid w:val="00100517"/>
    <w:rsid w:val="0010058C"/>
    <w:rsid w:val="00100B9A"/>
    <w:rsid w:val="00100F87"/>
    <w:rsid w:val="00101A82"/>
    <w:rsid w:val="001020D8"/>
    <w:rsid w:val="001021B5"/>
    <w:rsid w:val="00102680"/>
    <w:rsid w:val="00102716"/>
    <w:rsid w:val="00103016"/>
    <w:rsid w:val="0010332D"/>
    <w:rsid w:val="00103544"/>
    <w:rsid w:val="00103A11"/>
    <w:rsid w:val="00103DAE"/>
    <w:rsid w:val="00103FB5"/>
    <w:rsid w:val="0010404C"/>
    <w:rsid w:val="0010436A"/>
    <w:rsid w:val="0010440F"/>
    <w:rsid w:val="001049B3"/>
    <w:rsid w:val="00104C64"/>
    <w:rsid w:val="00105168"/>
    <w:rsid w:val="00105760"/>
    <w:rsid w:val="00105AF4"/>
    <w:rsid w:val="00105FEB"/>
    <w:rsid w:val="00106401"/>
    <w:rsid w:val="00106472"/>
    <w:rsid w:val="001068B9"/>
    <w:rsid w:val="00106AC6"/>
    <w:rsid w:val="00106B40"/>
    <w:rsid w:val="00107575"/>
    <w:rsid w:val="0011059E"/>
    <w:rsid w:val="001105ED"/>
    <w:rsid w:val="0011065A"/>
    <w:rsid w:val="0011066E"/>
    <w:rsid w:val="001106D0"/>
    <w:rsid w:val="001108F7"/>
    <w:rsid w:val="00110AB7"/>
    <w:rsid w:val="00110E89"/>
    <w:rsid w:val="00111214"/>
    <w:rsid w:val="00111CA6"/>
    <w:rsid w:val="00111CF2"/>
    <w:rsid w:val="00112513"/>
    <w:rsid w:val="00112575"/>
    <w:rsid w:val="0011267E"/>
    <w:rsid w:val="0011335F"/>
    <w:rsid w:val="00113FD7"/>
    <w:rsid w:val="0011408F"/>
    <w:rsid w:val="001140AB"/>
    <w:rsid w:val="001141AA"/>
    <w:rsid w:val="0011496F"/>
    <w:rsid w:val="00114BB2"/>
    <w:rsid w:val="00114C44"/>
    <w:rsid w:val="0011506B"/>
    <w:rsid w:val="00115408"/>
    <w:rsid w:val="00115413"/>
    <w:rsid w:val="00115A79"/>
    <w:rsid w:val="00115B8A"/>
    <w:rsid w:val="00116511"/>
    <w:rsid w:val="00116FB1"/>
    <w:rsid w:val="001179DE"/>
    <w:rsid w:val="00117C1D"/>
    <w:rsid w:val="00117C8A"/>
    <w:rsid w:val="00117EA3"/>
    <w:rsid w:val="001205D1"/>
    <w:rsid w:val="001206A6"/>
    <w:rsid w:val="00121048"/>
    <w:rsid w:val="001210E1"/>
    <w:rsid w:val="001216DC"/>
    <w:rsid w:val="00121CC5"/>
    <w:rsid w:val="00121E9F"/>
    <w:rsid w:val="0012204E"/>
    <w:rsid w:val="001220AF"/>
    <w:rsid w:val="0012249C"/>
    <w:rsid w:val="00122637"/>
    <w:rsid w:val="00122A17"/>
    <w:rsid w:val="00122AE6"/>
    <w:rsid w:val="00123023"/>
    <w:rsid w:val="00123068"/>
    <w:rsid w:val="00123306"/>
    <w:rsid w:val="0012333F"/>
    <w:rsid w:val="0012342B"/>
    <w:rsid w:val="00123F36"/>
    <w:rsid w:val="00124119"/>
    <w:rsid w:val="0012462D"/>
    <w:rsid w:val="00124733"/>
    <w:rsid w:val="00124CBF"/>
    <w:rsid w:val="00124CE5"/>
    <w:rsid w:val="00124E9F"/>
    <w:rsid w:val="00125A16"/>
    <w:rsid w:val="00126192"/>
    <w:rsid w:val="00126449"/>
    <w:rsid w:val="0012664A"/>
    <w:rsid w:val="00126E37"/>
    <w:rsid w:val="00126FE3"/>
    <w:rsid w:val="00127197"/>
    <w:rsid w:val="001272A4"/>
    <w:rsid w:val="001272F0"/>
    <w:rsid w:val="001272F4"/>
    <w:rsid w:val="00127754"/>
    <w:rsid w:val="00127A62"/>
    <w:rsid w:val="00127BBE"/>
    <w:rsid w:val="00127FCA"/>
    <w:rsid w:val="001300A0"/>
    <w:rsid w:val="0013058F"/>
    <w:rsid w:val="0013071A"/>
    <w:rsid w:val="00131185"/>
    <w:rsid w:val="001311CE"/>
    <w:rsid w:val="001312A5"/>
    <w:rsid w:val="00131C9B"/>
    <w:rsid w:val="00131E64"/>
    <w:rsid w:val="00132975"/>
    <w:rsid w:val="001329E5"/>
    <w:rsid w:val="00133018"/>
    <w:rsid w:val="001332BB"/>
    <w:rsid w:val="001334FA"/>
    <w:rsid w:val="00133711"/>
    <w:rsid w:val="00133824"/>
    <w:rsid w:val="001339DC"/>
    <w:rsid w:val="00133CB4"/>
    <w:rsid w:val="0013401E"/>
    <w:rsid w:val="0013498E"/>
    <w:rsid w:val="001349D0"/>
    <w:rsid w:val="00134CA3"/>
    <w:rsid w:val="00134F9A"/>
    <w:rsid w:val="00135A17"/>
    <w:rsid w:val="00135B81"/>
    <w:rsid w:val="00135BBF"/>
    <w:rsid w:val="001360C6"/>
    <w:rsid w:val="001361E8"/>
    <w:rsid w:val="00136A97"/>
    <w:rsid w:val="00136BF8"/>
    <w:rsid w:val="0013733E"/>
    <w:rsid w:val="00137868"/>
    <w:rsid w:val="00141828"/>
    <w:rsid w:val="00141E95"/>
    <w:rsid w:val="0014233E"/>
    <w:rsid w:val="0014258E"/>
    <w:rsid w:val="00142972"/>
    <w:rsid w:val="00142AA9"/>
    <w:rsid w:val="00142C45"/>
    <w:rsid w:val="00142DBE"/>
    <w:rsid w:val="00143582"/>
    <w:rsid w:val="0014363D"/>
    <w:rsid w:val="00143ACE"/>
    <w:rsid w:val="00143C0A"/>
    <w:rsid w:val="00143FBC"/>
    <w:rsid w:val="00143FF1"/>
    <w:rsid w:val="00144068"/>
    <w:rsid w:val="0014411C"/>
    <w:rsid w:val="001445AD"/>
    <w:rsid w:val="00144BD2"/>
    <w:rsid w:val="00145255"/>
    <w:rsid w:val="00145557"/>
    <w:rsid w:val="00145A13"/>
    <w:rsid w:val="00145B81"/>
    <w:rsid w:val="00145BCC"/>
    <w:rsid w:val="00145BD8"/>
    <w:rsid w:val="00145C48"/>
    <w:rsid w:val="00145ECD"/>
    <w:rsid w:val="001460F9"/>
    <w:rsid w:val="00146784"/>
    <w:rsid w:val="00146EF9"/>
    <w:rsid w:val="001473F0"/>
    <w:rsid w:val="00147ADB"/>
    <w:rsid w:val="00150106"/>
    <w:rsid w:val="001502DD"/>
    <w:rsid w:val="001508AE"/>
    <w:rsid w:val="001509E2"/>
    <w:rsid w:val="00150C64"/>
    <w:rsid w:val="00150CC2"/>
    <w:rsid w:val="001512BC"/>
    <w:rsid w:val="001514DA"/>
    <w:rsid w:val="001516C2"/>
    <w:rsid w:val="00151A7A"/>
    <w:rsid w:val="00151FD4"/>
    <w:rsid w:val="001521B3"/>
    <w:rsid w:val="00152355"/>
    <w:rsid w:val="001523F1"/>
    <w:rsid w:val="00152F6D"/>
    <w:rsid w:val="0015318B"/>
    <w:rsid w:val="0015388B"/>
    <w:rsid w:val="00154170"/>
    <w:rsid w:val="001546B9"/>
    <w:rsid w:val="00154CB3"/>
    <w:rsid w:val="00154CDD"/>
    <w:rsid w:val="00155817"/>
    <w:rsid w:val="00155FFB"/>
    <w:rsid w:val="001561C7"/>
    <w:rsid w:val="0015636D"/>
    <w:rsid w:val="00156628"/>
    <w:rsid w:val="00156A3F"/>
    <w:rsid w:val="00156D68"/>
    <w:rsid w:val="00157875"/>
    <w:rsid w:val="00157998"/>
    <w:rsid w:val="00157B36"/>
    <w:rsid w:val="00160590"/>
    <w:rsid w:val="00160BA7"/>
    <w:rsid w:val="00160BAE"/>
    <w:rsid w:val="00160BAF"/>
    <w:rsid w:val="00160C2C"/>
    <w:rsid w:val="001616CE"/>
    <w:rsid w:val="00161819"/>
    <w:rsid w:val="00162A84"/>
    <w:rsid w:val="0016303B"/>
    <w:rsid w:val="001630D2"/>
    <w:rsid w:val="001635B4"/>
    <w:rsid w:val="00163779"/>
    <w:rsid w:val="00163789"/>
    <w:rsid w:val="00163A5D"/>
    <w:rsid w:val="00163BDD"/>
    <w:rsid w:val="00163EE4"/>
    <w:rsid w:val="00163F26"/>
    <w:rsid w:val="00164136"/>
    <w:rsid w:val="00164597"/>
    <w:rsid w:val="00164870"/>
    <w:rsid w:val="001649FA"/>
    <w:rsid w:val="00164EE0"/>
    <w:rsid w:val="00164F5C"/>
    <w:rsid w:val="00165D4F"/>
    <w:rsid w:val="00165E75"/>
    <w:rsid w:val="00165FB1"/>
    <w:rsid w:val="001665AC"/>
    <w:rsid w:val="00166691"/>
    <w:rsid w:val="0016672F"/>
    <w:rsid w:val="00167101"/>
    <w:rsid w:val="00167164"/>
    <w:rsid w:val="00167226"/>
    <w:rsid w:val="00167417"/>
    <w:rsid w:val="0016743C"/>
    <w:rsid w:val="00167583"/>
    <w:rsid w:val="0017030D"/>
    <w:rsid w:val="0017041F"/>
    <w:rsid w:val="001705E7"/>
    <w:rsid w:val="001706C0"/>
    <w:rsid w:val="0017196E"/>
    <w:rsid w:val="00171A29"/>
    <w:rsid w:val="00171A83"/>
    <w:rsid w:val="00171E71"/>
    <w:rsid w:val="00171FDB"/>
    <w:rsid w:val="00172A80"/>
    <w:rsid w:val="001731D5"/>
    <w:rsid w:val="00173244"/>
    <w:rsid w:val="001737E9"/>
    <w:rsid w:val="00173A88"/>
    <w:rsid w:val="00173BEA"/>
    <w:rsid w:val="00174542"/>
    <w:rsid w:val="00174560"/>
    <w:rsid w:val="001746D7"/>
    <w:rsid w:val="0017486A"/>
    <w:rsid w:val="00174A33"/>
    <w:rsid w:val="00174DB2"/>
    <w:rsid w:val="00175133"/>
    <w:rsid w:val="001756AC"/>
    <w:rsid w:val="00175CD0"/>
    <w:rsid w:val="0017661A"/>
    <w:rsid w:val="00176693"/>
    <w:rsid w:val="001768FE"/>
    <w:rsid w:val="001769BF"/>
    <w:rsid w:val="00176AD3"/>
    <w:rsid w:val="00176FF4"/>
    <w:rsid w:val="00177D86"/>
    <w:rsid w:val="00177DA6"/>
    <w:rsid w:val="00177E49"/>
    <w:rsid w:val="00180545"/>
    <w:rsid w:val="001806E9"/>
    <w:rsid w:val="00180F7D"/>
    <w:rsid w:val="0018128E"/>
    <w:rsid w:val="00181447"/>
    <w:rsid w:val="001814DE"/>
    <w:rsid w:val="00181690"/>
    <w:rsid w:val="0018184E"/>
    <w:rsid w:val="00181AA2"/>
    <w:rsid w:val="00181BB5"/>
    <w:rsid w:val="00181C7B"/>
    <w:rsid w:val="00181D04"/>
    <w:rsid w:val="00181D66"/>
    <w:rsid w:val="00181F30"/>
    <w:rsid w:val="00182322"/>
    <w:rsid w:val="00182420"/>
    <w:rsid w:val="001828E8"/>
    <w:rsid w:val="00182C12"/>
    <w:rsid w:val="00182E22"/>
    <w:rsid w:val="00182EE8"/>
    <w:rsid w:val="00182F4F"/>
    <w:rsid w:val="001832F6"/>
    <w:rsid w:val="00183CB9"/>
    <w:rsid w:val="001849C3"/>
    <w:rsid w:val="00185ABD"/>
    <w:rsid w:val="00185AD8"/>
    <w:rsid w:val="00185DBF"/>
    <w:rsid w:val="0018665F"/>
    <w:rsid w:val="001869D7"/>
    <w:rsid w:val="00190034"/>
    <w:rsid w:val="00190274"/>
    <w:rsid w:val="00190795"/>
    <w:rsid w:val="001910D8"/>
    <w:rsid w:val="00191D18"/>
    <w:rsid w:val="00191DC2"/>
    <w:rsid w:val="00192501"/>
    <w:rsid w:val="0019274C"/>
    <w:rsid w:val="001930F6"/>
    <w:rsid w:val="00193337"/>
    <w:rsid w:val="0019339A"/>
    <w:rsid w:val="0019435F"/>
    <w:rsid w:val="00194DF0"/>
    <w:rsid w:val="00194F3A"/>
    <w:rsid w:val="0019529D"/>
    <w:rsid w:val="001955E4"/>
    <w:rsid w:val="0019561F"/>
    <w:rsid w:val="001957A4"/>
    <w:rsid w:val="00195D9D"/>
    <w:rsid w:val="00195E11"/>
    <w:rsid w:val="0019644C"/>
    <w:rsid w:val="00196BD6"/>
    <w:rsid w:val="0019729E"/>
    <w:rsid w:val="001972BE"/>
    <w:rsid w:val="0019775E"/>
    <w:rsid w:val="00197ED6"/>
    <w:rsid w:val="001A0117"/>
    <w:rsid w:val="001A0590"/>
    <w:rsid w:val="001A075B"/>
    <w:rsid w:val="001A0B1B"/>
    <w:rsid w:val="001A0D47"/>
    <w:rsid w:val="001A0FA1"/>
    <w:rsid w:val="001A1741"/>
    <w:rsid w:val="001A1F07"/>
    <w:rsid w:val="001A200D"/>
    <w:rsid w:val="001A213F"/>
    <w:rsid w:val="001A2A33"/>
    <w:rsid w:val="001A2B9A"/>
    <w:rsid w:val="001A2C70"/>
    <w:rsid w:val="001A3CE6"/>
    <w:rsid w:val="001A3D7F"/>
    <w:rsid w:val="001A43B3"/>
    <w:rsid w:val="001A44B1"/>
    <w:rsid w:val="001A47A5"/>
    <w:rsid w:val="001A485E"/>
    <w:rsid w:val="001A4D74"/>
    <w:rsid w:val="001A4EDA"/>
    <w:rsid w:val="001A51AD"/>
    <w:rsid w:val="001A52D9"/>
    <w:rsid w:val="001A555D"/>
    <w:rsid w:val="001A5576"/>
    <w:rsid w:val="001A5812"/>
    <w:rsid w:val="001A58D8"/>
    <w:rsid w:val="001A5A49"/>
    <w:rsid w:val="001A649E"/>
    <w:rsid w:val="001A64D8"/>
    <w:rsid w:val="001A6A26"/>
    <w:rsid w:val="001A6BA2"/>
    <w:rsid w:val="001A6DD8"/>
    <w:rsid w:val="001A7081"/>
    <w:rsid w:val="001A7359"/>
    <w:rsid w:val="001A7945"/>
    <w:rsid w:val="001A7ECA"/>
    <w:rsid w:val="001B07CB"/>
    <w:rsid w:val="001B085C"/>
    <w:rsid w:val="001B0A78"/>
    <w:rsid w:val="001B0DC5"/>
    <w:rsid w:val="001B0DD6"/>
    <w:rsid w:val="001B116A"/>
    <w:rsid w:val="001B1319"/>
    <w:rsid w:val="001B135E"/>
    <w:rsid w:val="001B1383"/>
    <w:rsid w:val="001B1EBF"/>
    <w:rsid w:val="001B20ED"/>
    <w:rsid w:val="001B2B47"/>
    <w:rsid w:val="001B3441"/>
    <w:rsid w:val="001B3758"/>
    <w:rsid w:val="001B3A85"/>
    <w:rsid w:val="001B3ACC"/>
    <w:rsid w:val="001B52C9"/>
    <w:rsid w:val="001B52D6"/>
    <w:rsid w:val="001B53D9"/>
    <w:rsid w:val="001B5754"/>
    <w:rsid w:val="001B5C37"/>
    <w:rsid w:val="001B5D73"/>
    <w:rsid w:val="001B6BE7"/>
    <w:rsid w:val="001B6D7E"/>
    <w:rsid w:val="001B6F5D"/>
    <w:rsid w:val="001B6F69"/>
    <w:rsid w:val="001B6FFA"/>
    <w:rsid w:val="001B701F"/>
    <w:rsid w:val="001B7106"/>
    <w:rsid w:val="001B7632"/>
    <w:rsid w:val="001B7A56"/>
    <w:rsid w:val="001B7ACD"/>
    <w:rsid w:val="001B7E82"/>
    <w:rsid w:val="001C0514"/>
    <w:rsid w:val="001C0DC5"/>
    <w:rsid w:val="001C0E42"/>
    <w:rsid w:val="001C0F52"/>
    <w:rsid w:val="001C2639"/>
    <w:rsid w:val="001C3545"/>
    <w:rsid w:val="001C3D01"/>
    <w:rsid w:val="001C3D94"/>
    <w:rsid w:val="001C43D1"/>
    <w:rsid w:val="001C5174"/>
    <w:rsid w:val="001C5471"/>
    <w:rsid w:val="001C5606"/>
    <w:rsid w:val="001C5B62"/>
    <w:rsid w:val="001C5F7C"/>
    <w:rsid w:val="001C616D"/>
    <w:rsid w:val="001C629C"/>
    <w:rsid w:val="001C62F3"/>
    <w:rsid w:val="001C6796"/>
    <w:rsid w:val="001C6A24"/>
    <w:rsid w:val="001C742A"/>
    <w:rsid w:val="001C7CCC"/>
    <w:rsid w:val="001D0011"/>
    <w:rsid w:val="001D0309"/>
    <w:rsid w:val="001D06D9"/>
    <w:rsid w:val="001D087A"/>
    <w:rsid w:val="001D0C06"/>
    <w:rsid w:val="001D0D5F"/>
    <w:rsid w:val="001D1765"/>
    <w:rsid w:val="001D1BFD"/>
    <w:rsid w:val="001D2115"/>
    <w:rsid w:val="001D224F"/>
    <w:rsid w:val="001D2407"/>
    <w:rsid w:val="001D27FE"/>
    <w:rsid w:val="001D29D2"/>
    <w:rsid w:val="001D2CF1"/>
    <w:rsid w:val="001D2DF4"/>
    <w:rsid w:val="001D2EBE"/>
    <w:rsid w:val="001D32C8"/>
    <w:rsid w:val="001D358F"/>
    <w:rsid w:val="001D39F0"/>
    <w:rsid w:val="001D3BF3"/>
    <w:rsid w:val="001D4499"/>
    <w:rsid w:val="001D4553"/>
    <w:rsid w:val="001D46F1"/>
    <w:rsid w:val="001D4E35"/>
    <w:rsid w:val="001D5135"/>
    <w:rsid w:val="001D560C"/>
    <w:rsid w:val="001D59C5"/>
    <w:rsid w:val="001D6067"/>
    <w:rsid w:val="001D63BB"/>
    <w:rsid w:val="001D67AD"/>
    <w:rsid w:val="001D7089"/>
    <w:rsid w:val="001D7435"/>
    <w:rsid w:val="001D743E"/>
    <w:rsid w:val="001D7EF3"/>
    <w:rsid w:val="001E00A6"/>
    <w:rsid w:val="001E0215"/>
    <w:rsid w:val="001E0273"/>
    <w:rsid w:val="001E064E"/>
    <w:rsid w:val="001E0883"/>
    <w:rsid w:val="001E102A"/>
    <w:rsid w:val="001E14C7"/>
    <w:rsid w:val="001E1646"/>
    <w:rsid w:val="001E1DDA"/>
    <w:rsid w:val="001E2107"/>
    <w:rsid w:val="001E23DC"/>
    <w:rsid w:val="001E245A"/>
    <w:rsid w:val="001E246B"/>
    <w:rsid w:val="001E2512"/>
    <w:rsid w:val="001E29D8"/>
    <w:rsid w:val="001E300B"/>
    <w:rsid w:val="001E3039"/>
    <w:rsid w:val="001E369F"/>
    <w:rsid w:val="001E38A1"/>
    <w:rsid w:val="001E39F2"/>
    <w:rsid w:val="001E3A9B"/>
    <w:rsid w:val="001E3B6B"/>
    <w:rsid w:val="001E3DAB"/>
    <w:rsid w:val="001E4257"/>
    <w:rsid w:val="001E4679"/>
    <w:rsid w:val="001E4697"/>
    <w:rsid w:val="001E4A0D"/>
    <w:rsid w:val="001E4E7C"/>
    <w:rsid w:val="001E4EF8"/>
    <w:rsid w:val="001E52EC"/>
    <w:rsid w:val="001E5BAB"/>
    <w:rsid w:val="001E5F69"/>
    <w:rsid w:val="001E634F"/>
    <w:rsid w:val="001E65F0"/>
    <w:rsid w:val="001E6764"/>
    <w:rsid w:val="001E676E"/>
    <w:rsid w:val="001E68F4"/>
    <w:rsid w:val="001E694F"/>
    <w:rsid w:val="001E6A25"/>
    <w:rsid w:val="001E6C04"/>
    <w:rsid w:val="001E6DBC"/>
    <w:rsid w:val="001E6F81"/>
    <w:rsid w:val="001E7A92"/>
    <w:rsid w:val="001E7CCE"/>
    <w:rsid w:val="001F0099"/>
    <w:rsid w:val="001F0124"/>
    <w:rsid w:val="001F02A9"/>
    <w:rsid w:val="001F02CD"/>
    <w:rsid w:val="001F063E"/>
    <w:rsid w:val="001F0882"/>
    <w:rsid w:val="001F1EB1"/>
    <w:rsid w:val="001F2090"/>
    <w:rsid w:val="001F295F"/>
    <w:rsid w:val="001F2BA8"/>
    <w:rsid w:val="001F3575"/>
    <w:rsid w:val="001F3D17"/>
    <w:rsid w:val="001F4083"/>
    <w:rsid w:val="001F4976"/>
    <w:rsid w:val="001F4D78"/>
    <w:rsid w:val="001F54D6"/>
    <w:rsid w:val="001F56C3"/>
    <w:rsid w:val="001F6286"/>
    <w:rsid w:val="001F637A"/>
    <w:rsid w:val="001F6653"/>
    <w:rsid w:val="001F67FB"/>
    <w:rsid w:val="001F681A"/>
    <w:rsid w:val="001F709B"/>
    <w:rsid w:val="001F7124"/>
    <w:rsid w:val="001F723D"/>
    <w:rsid w:val="001F7482"/>
    <w:rsid w:val="001F76D3"/>
    <w:rsid w:val="00200243"/>
    <w:rsid w:val="002015F3"/>
    <w:rsid w:val="00201A45"/>
    <w:rsid w:val="00201F6A"/>
    <w:rsid w:val="0020228F"/>
    <w:rsid w:val="0020268B"/>
    <w:rsid w:val="00202B4F"/>
    <w:rsid w:val="00202EEA"/>
    <w:rsid w:val="00203389"/>
    <w:rsid w:val="00203419"/>
    <w:rsid w:val="0020365E"/>
    <w:rsid w:val="00203B87"/>
    <w:rsid w:val="00203C6C"/>
    <w:rsid w:val="00203E6C"/>
    <w:rsid w:val="00203EAD"/>
    <w:rsid w:val="002048B6"/>
    <w:rsid w:val="0020545A"/>
    <w:rsid w:val="00205B36"/>
    <w:rsid w:val="00205C54"/>
    <w:rsid w:val="00205C64"/>
    <w:rsid w:val="00205D20"/>
    <w:rsid w:val="00206122"/>
    <w:rsid w:val="00206641"/>
    <w:rsid w:val="002067F9"/>
    <w:rsid w:val="00206953"/>
    <w:rsid w:val="00206AF7"/>
    <w:rsid w:val="00206DF8"/>
    <w:rsid w:val="00206F21"/>
    <w:rsid w:val="00206F6C"/>
    <w:rsid w:val="002073D9"/>
    <w:rsid w:val="00207504"/>
    <w:rsid w:val="0020773E"/>
    <w:rsid w:val="00207970"/>
    <w:rsid w:val="00207B3B"/>
    <w:rsid w:val="0021064C"/>
    <w:rsid w:val="00210AD6"/>
    <w:rsid w:val="00210C24"/>
    <w:rsid w:val="00211D9F"/>
    <w:rsid w:val="002120B4"/>
    <w:rsid w:val="0021228D"/>
    <w:rsid w:val="00212385"/>
    <w:rsid w:val="002128D6"/>
    <w:rsid w:val="00212DBD"/>
    <w:rsid w:val="00213033"/>
    <w:rsid w:val="00213313"/>
    <w:rsid w:val="00213413"/>
    <w:rsid w:val="00213431"/>
    <w:rsid w:val="00213623"/>
    <w:rsid w:val="00213B33"/>
    <w:rsid w:val="00213B59"/>
    <w:rsid w:val="00213FD9"/>
    <w:rsid w:val="00214620"/>
    <w:rsid w:val="00214803"/>
    <w:rsid w:val="00215615"/>
    <w:rsid w:val="00215D3D"/>
    <w:rsid w:val="00216452"/>
    <w:rsid w:val="0021691E"/>
    <w:rsid w:val="00216959"/>
    <w:rsid w:val="0021704C"/>
    <w:rsid w:val="0021767C"/>
    <w:rsid w:val="00217947"/>
    <w:rsid w:val="00217A16"/>
    <w:rsid w:val="00217CFF"/>
    <w:rsid w:val="00220012"/>
    <w:rsid w:val="0022027F"/>
    <w:rsid w:val="00220B4A"/>
    <w:rsid w:val="00220BA1"/>
    <w:rsid w:val="00220D1D"/>
    <w:rsid w:val="00220F9C"/>
    <w:rsid w:val="0022134F"/>
    <w:rsid w:val="00221405"/>
    <w:rsid w:val="002219E1"/>
    <w:rsid w:val="00221AD7"/>
    <w:rsid w:val="00221D63"/>
    <w:rsid w:val="002223C5"/>
    <w:rsid w:val="00222892"/>
    <w:rsid w:val="00222929"/>
    <w:rsid w:val="00222949"/>
    <w:rsid w:val="00222C36"/>
    <w:rsid w:val="002235A6"/>
    <w:rsid w:val="00223693"/>
    <w:rsid w:val="0022370F"/>
    <w:rsid w:val="00223786"/>
    <w:rsid w:val="002239FC"/>
    <w:rsid w:val="00223B41"/>
    <w:rsid w:val="00223FBD"/>
    <w:rsid w:val="00224653"/>
    <w:rsid w:val="00224911"/>
    <w:rsid w:val="00224F15"/>
    <w:rsid w:val="00225005"/>
    <w:rsid w:val="002251ED"/>
    <w:rsid w:val="002252B2"/>
    <w:rsid w:val="002255ED"/>
    <w:rsid w:val="00225EAE"/>
    <w:rsid w:val="00226007"/>
    <w:rsid w:val="0022629B"/>
    <w:rsid w:val="002266AC"/>
    <w:rsid w:val="0022681B"/>
    <w:rsid w:val="00226AA5"/>
    <w:rsid w:val="00227186"/>
    <w:rsid w:val="002278A0"/>
    <w:rsid w:val="002306C7"/>
    <w:rsid w:val="00230B95"/>
    <w:rsid w:val="00230E59"/>
    <w:rsid w:val="00230E94"/>
    <w:rsid w:val="0023112C"/>
    <w:rsid w:val="00231390"/>
    <w:rsid w:val="002317E4"/>
    <w:rsid w:val="00231CE7"/>
    <w:rsid w:val="00231F9B"/>
    <w:rsid w:val="00232335"/>
    <w:rsid w:val="0023236C"/>
    <w:rsid w:val="00232B18"/>
    <w:rsid w:val="00232C00"/>
    <w:rsid w:val="00232E1F"/>
    <w:rsid w:val="00232ED8"/>
    <w:rsid w:val="00233497"/>
    <w:rsid w:val="00233517"/>
    <w:rsid w:val="0023370C"/>
    <w:rsid w:val="00233C1C"/>
    <w:rsid w:val="002340FA"/>
    <w:rsid w:val="002343A6"/>
    <w:rsid w:val="002343E1"/>
    <w:rsid w:val="00234975"/>
    <w:rsid w:val="00234C20"/>
    <w:rsid w:val="00234CED"/>
    <w:rsid w:val="00234D4F"/>
    <w:rsid w:val="00234E68"/>
    <w:rsid w:val="0023512E"/>
    <w:rsid w:val="00235661"/>
    <w:rsid w:val="00235954"/>
    <w:rsid w:val="00235C22"/>
    <w:rsid w:val="002360BE"/>
    <w:rsid w:val="00236294"/>
    <w:rsid w:val="00236515"/>
    <w:rsid w:val="002365AD"/>
    <w:rsid w:val="00236C6D"/>
    <w:rsid w:val="00237027"/>
    <w:rsid w:val="002370C8"/>
    <w:rsid w:val="00237A33"/>
    <w:rsid w:val="00237F83"/>
    <w:rsid w:val="0024014B"/>
    <w:rsid w:val="002407E7"/>
    <w:rsid w:val="002408FD"/>
    <w:rsid w:val="00240BAA"/>
    <w:rsid w:val="00240DC4"/>
    <w:rsid w:val="00240F86"/>
    <w:rsid w:val="00241026"/>
    <w:rsid w:val="00241180"/>
    <w:rsid w:val="0024149B"/>
    <w:rsid w:val="0024186F"/>
    <w:rsid w:val="00241DCA"/>
    <w:rsid w:val="00241F95"/>
    <w:rsid w:val="002420BD"/>
    <w:rsid w:val="00242472"/>
    <w:rsid w:val="0024261A"/>
    <w:rsid w:val="00242891"/>
    <w:rsid w:val="00242B65"/>
    <w:rsid w:val="002430F9"/>
    <w:rsid w:val="002440DB"/>
    <w:rsid w:val="00244452"/>
    <w:rsid w:val="0024482D"/>
    <w:rsid w:val="002448D2"/>
    <w:rsid w:val="00244BDD"/>
    <w:rsid w:val="002450A7"/>
    <w:rsid w:val="0024550F"/>
    <w:rsid w:val="002458F0"/>
    <w:rsid w:val="0024598A"/>
    <w:rsid w:val="00245B1D"/>
    <w:rsid w:val="00245BE3"/>
    <w:rsid w:val="00245C79"/>
    <w:rsid w:val="00246513"/>
    <w:rsid w:val="002466B7"/>
    <w:rsid w:val="00246C17"/>
    <w:rsid w:val="00246EDA"/>
    <w:rsid w:val="002470CA"/>
    <w:rsid w:val="0024745E"/>
    <w:rsid w:val="00250188"/>
    <w:rsid w:val="002505F8"/>
    <w:rsid w:val="0025076D"/>
    <w:rsid w:val="00250783"/>
    <w:rsid w:val="002507E0"/>
    <w:rsid w:val="00250B85"/>
    <w:rsid w:val="00250CB4"/>
    <w:rsid w:val="002512B2"/>
    <w:rsid w:val="00251A97"/>
    <w:rsid w:val="00251E45"/>
    <w:rsid w:val="00252AD0"/>
    <w:rsid w:val="00253293"/>
    <w:rsid w:val="00253340"/>
    <w:rsid w:val="00253547"/>
    <w:rsid w:val="0025388F"/>
    <w:rsid w:val="00253B3D"/>
    <w:rsid w:val="00253C42"/>
    <w:rsid w:val="00253DEC"/>
    <w:rsid w:val="00254524"/>
    <w:rsid w:val="0025468A"/>
    <w:rsid w:val="00254853"/>
    <w:rsid w:val="002548A3"/>
    <w:rsid w:val="00254AE5"/>
    <w:rsid w:val="00254F07"/>
    <w:rsid w:val="0025512C"/>
    <w:rsid w:val="00255245"/>
    <w:rsid w:val="0025527A"/>
    <w:rsid w:val="00255756"/>
    <w:rsid w:val="00255D29"/>
    <w:rsid w:val="002564FA"/>
    <w:rsid w:val="00256629"/>
    <w:rsid w:val="002568E1"/>
    <w:rsid w:val="00256DB5"/>
    <w:rsid w:val="00257024"/>
    <w:rsid w:val="002571F7"/>
    <w:rsid w:val="0025779C"/>
    <w:rsid w:val="002579FD"/>
    <w:rsid w:val="002603F6"/>
    <w:rsid w:val="00260639"/>
    <w:rsid w:val="002606E5"/>
    <w:rsid w:val="00260FED"/>
    <w:rsid w:val="00261394"/>
    <w:rsid w:val="00261500"/>
    <w:rsid w:val="002617ED"/>
    <w:rsid w:val="00262708"/>
    <w:rsid w:val="00262760"/>
    <w:rsid w:val="0026281D"/>
    <w:rsid w:val="00262971"/>
    <w:rsid w:val="00262A74"/>
    <w:rsid w:val="00263343"/>
    <w:rsid w:val="0026338D"/>
    <w:rsid w:val="00263791"/>
    <w:rsid w:val="00263DB5"/>
    <w:rsid w:val="00263E9D"/>
    <w:rsid w:val="002647EA"/>
    <w:rsid w:val="00264D71"/>
    <w:rsid w:val="00264F09"/>
    <w:rsid w:val="00265090"/>
    <w:rsid w:val="002653EA"/>
    <w:rsid w:val="0026551E"/>
    <w:rsid w:val="00265749"/>
    <w:rsid w:val="00265823"/>
    <w:rsid w:val="00265A06"/>
    <w:rsid w:val="00265D33"/>
    <w:rsid w:val="0026604C"/>
    <w:rsid w:val="0026638F"/>
    <w:rsid w:val="0026698B"/>
    <w:rsid w:val="00266D33"/>
    <w:rsid w:val="00266DEA"/>
    <w:rsid w:val="002671BC"/>
    <w:rsid w:val="0026729F"/>
    <w:rsid w:val="0026765F"/>
    <w:rsid w:val="002676FC"/>
    <w:rsid w:val="00270472"/>
    <w:rsid w:val="00270652"/>
    <w:rsid w:val="00270861"/>
    <w:rsid w:val="002709C3"/>
    <w:rsid w:val="00270D2D"/>
    <w:rsid w:val="00270D74"/>
    <w:rsid w:val="00270DC5"/>
    <w:rsid w:val="00270FC4"/>
    <w:rsid w:val="0027104C"/>
    <w:rsid w:val="002712A8"/>
    <w:rsid w:val="002713EE"/>
    <w:rsid w:val="002714F5"/>
    <w:rsid w:val="00271775"/>
    <w:rsid w:val="00272058"/>
    <w:rsid w:val="002721A4"/>
    <w:rsid w:val="00272293"/>
    <w:rsid w:val="002722D9"/>
    <w:rsid w:val="0027262E"/>
    <w:rsid w:val="00272CFC"/>
    <w:rsid w:val="00272F2B"/>
    <w:rsid w:val="0027317E"/>
    <w:rsid w:val="00273895"/>
    <w:rsid w:val="002738D6"/>
    <w:rsid w:val="00273D7A"/>
    <w:rsid w:val="00273DB0"/>
    <w:rsid w:val="0027475B"/>
    <w:rsid w:val="00274BDC"/>
    <w:rsid w:val="00275116"/>
    <w:rsid w:val="0027546A"/>
    <w:rsid w:val="0027558A"/>
    <w:rsid w:val="0027569D"/>
    <w:rsid w:val="00275846"/>
    <w:rsid w:val="00275A8A"/>
    <w:rsid w:val="00275E15"/>
    <w:rsid w:val="00275FAB"/>
    <w:rsid w:val="002766F2"/>
    <w:rsid w:val="00276C30"/>
    <w:rsid w:val="00276C6E"/>
    <w:rsid w:val="002771AD"/>
    <w:rsid w:val="00277D86"/>
    <w:rsid w:val="00277E37"/>
    <w:rsid w:val="00277EFD"/>
    <w:rsid w:val="002801BF"/>
    <w:rsid w:val="00280353"/>
    <w:rsid w:val="002806BD"/>
    <w:rsid w:val="00280755"/>
    <w:rsid w:val="00280AD8"/>
    <w:rsid w:val="00280B2C"/>
    <w:rsid w:val="00280B9C"/>
    <w:rsid w:val="00280BF3"/>
    <w:rsid w:val="00280C77"/>
    <w:rsid w:val="00280E4B"/>
    <w:rsid w:val="0028117C"/>
    <w:rsid w:val="00281406"/>
    <w:rsid w:val="002814D1"/>
    <w:rsid w:val="002814D6"/>
    <w:rsid w:val="002820C6"/>
    <w:rsid w:val="002821E7"/>
    <w:rsid w:val="00282386"/>
    <w:rsid w:val="002824C5"/>
    <w:rsid w:val="00282529"/>
    <w:rsid w:val="0028253A"/>
    <w:rsid w:val="002825C4"/>
    <w:rsid w:val="00282773"/>
    <w:rsid w:val="00282775"/>
    <w:rsid w:val="002828AB"/>
    <w:rsid w:val="00282B0A"/>
    <w:rsid w:val="00282D7C"/>
    <w:rsid w:val="00283103"/>
    <w:rsid w:val="00283A30"/>
    <w:rsid w:val="00283AEC"/>
    <w:rsid w:val="00284336"/>
    <w:rsid w:val="002848F9"/>
    <w:rsid w:val="00285343"/>
    <w:rsid w:val="002856CD"/>
    <w:rsid w:val="0028596D"/>
    <w:rsid w:val="00285BD6"/>
    <w:rsid w:val="00285FE9"/>
    <w:rsid w:val="002860EE"/>
    <w:rsid w:val="0028613B"/>
    <w:rsid w:val="00286581"/>
    <w:rsid w:val="00286CEA"/>
    <w:rsid w:val="00286FAE"/>
    <w:rsid w:val="0028714F"/>
    <w:rsid w:val="00287160"/>
    <w:rsid w:val="00287241"/>
    <w:rsid w:val="00287462"/>
    <w:rsid w:val="0028759E"/>
    <w:rsid w:val="002877EE"/>
    <w:rsid w:val="00287B21"/>
    <w:rsid w:val="00287F1B"/>
    <w:rsid w:val="00290009"/>
    <w:rsid w:val="002902C8"/>
    <w:rsid w:val="00290535"/>
    <w:rsid w:val="00291175"/>
    <w:rsid w:val="00291AE0"/>
    <w:rsid w:val="00291BF3"/>
    <w:rsid w:val="00292162"/>
    <w:rsid w:val="002922AE"/>
    <w:rsid w:val="00292423"/>
    <w:rsid w:val="00292571"/>
    <w:rsid w:val="00292853"/>
    <w:rsid w:val="00292B15"/>
    <w:rsid w:val="002936B9"/>
    <w:rsid w:val="00293C9E"/>
    <w:rsid w:val="00293CC2"/>
    <w:rsid w:val="00294185"/>
    <w:rsid w:val="0029430E"/>
    <w:rsid w:val="0029433C"/>
    <w:rsid w:val="002944EB"/>
    <w:rsid w:val="00294906"/>
    <w:rsid w:val="00294C83"/>
    <w:rsid w:val="00294DBF"/>
    <w:rsid w:val="00294F20"/>
    <w:rsid w:val="00295122"/>
    <w:rsid w:val="00295202"/>
    <w:rsid w:val="002957CC"/>
    <w:rsid w:val="00295981"/>
    <w:rsid w:val="00295A55"/>
    <w:rsid w:val="00295E4D"/>
    <w:rsid w:val="00295F37"/>
    <w:rsid w:val="00296013"/>
    <w:rsid w:val="00296665"/>
    <w:rsid w:val="00296904"/>
    <w:rsid w:val="00296C91"/>
    <w:rsid w:val="00296CB8"/>
    <w:rsid w:val="00297589"/>
    <w:rsid w:val="00297EBD"/>
    <w:rsid w:val="0029989D"/>
    <w:rsid w:val="002A08C5"/>
    <w:rsid w:val="002A08DC"/>
    <w:rsid w:val="002A0A9E"/>
    <w:rsid w:val="002A0B21"/>
    <w:rsid w:val="002A0B70"/>
    <w:rsid w:val="002A1113"/>
    <w:rsid w:val="002A1251"/>
    <w:rsid w:val="002A1ED5"/>
    <w:rsid w:val="002A1F71"/>
    <w:rsid w:val="002A28F9"/>
    <w:rsid w:val="002A2C72"/>
    <w:rsid w:val="002A2CC4"/>
    <w:rsid w:val="002A2D00"/>
    <w:rsid w:val="002A2E44"/>
    <w:rsid w:val="002A3E0C"/>
    <w:rsid w:val="002A3F04"/>
    <w:rsid w:val="002A4651"/>
    <w:rsid w:val="002A4659"/>
    <w:rsid w:val="002A4688"/>
    <w:rsid w:val="002A4950"/>
    <w:rsid w:val="002A4B05"/>
    <w:rsid w:val="002A53CC"/>
    <w:rsid w:val="002A5800"/>
    <w:rsid w:val="002A58F8"/>
    <w:rsid w:val="002A5F4F"/>
    <w:rsid w:val="002A6542"/>
    <w:rsid w:val="002A6B3E"/>
    <w:rsid w:val="002A6E22"/>
    <w:rsid w:val="002A6F9C"/>
    <w:rsid w:val="002A710E"/>
    <w:rsid w:val="002A7414"/>
    <w:rsid w:val="002B0086"/>
    <w:rsid w:val="002B03E9"/>
    <w:rsid w:val="002B05F9"/>
    <w:rsid w:val="002B068F"/>
    <w:rsid w:val="002B07FB"/>
    <w:rsid w:val="002B08F4"/>
    <w:rsid w:val="002B0ACC"/>
    <w:rsid w:val="002B0E38"/>
    <w:rsid w:val="002B1350"/>
    <w:rsid w:val="002B1565"/>
    <w:rsid w:val="002B190E"/>
    <w:rsid w:val="002B1986"/>
    <w:rsid w:val="002B1A69"/>
    <w:rsid w:val="002B1D61"/>
    <w:rsid w:val="002B21BC"/>
    <w:rsid w:val="002B24BE"/>
    <w:rsid w:val="002B2778"/>
    <w:rsid w:val="002B2A92"/>
    <w:rsid w:val="002B33A2"/>
    <w:rsid w:val="002B3516"/>
    <w:rsid w:val="002B39C7"/>
    <w:rsid w:val="002B3A2D"/>
    <w:rsid w:val="002B3E69"/>
    <w:rsid w:val="002B44F1"/>
    <w:rsid w:val="002B497E"/>
    <w:rsid w:val="002B4F51"/>
    <w:rsid w:val="002B50C9"/>
    <w:rsid w:val="002B5395"/>
    <w:rsid w:val="002B5A26"/>
    <w:rsid w:val="002B5CE5"/>
    <w:rsid w:val="002B5DE9"/>
    <w:rsid w:val="002B6008"/>
    <w:rsid w:val="002B628F"/>
    <w:rsid w:val="002B6411"/>
    <w:rsid w:val="002B68C2"/>
    <w:rsid w:val="002B7592"/>
    <w:rsid w:val="002B75CF"/>
    <w:rsid w:val="002B7932"/>
    <w:rsid w:val="002B7E71"/>
    <w:rsid w:val="002B9BB7"/>
    <w:rsid w:val="002C06AE"/>
    <w:rsid w:val="002C0A4A"/>
    <w:rsid w:val="002C1006"/>
    <w:rsid w:val="002C11FC"/>
    <w:rsid w:val="002C193D"/>
    <w:rsid w:val="002C19B4"/>
    <w:rsid w:val="002C1D6A"/>
    <w:rsid w:val="002C1FD6"/>
    <w:rsid w:val="002C24F7"/>
    <w:rsid w:val="002C2621"/>
    <w:rsid w:val="002C26D2"/>
    <w:rsid w:val="002C2B1C"/>
    <w:rsid w:val="002C2D96"/>
    <w:rsid w:val="002C2E47"/>
    <w:rsid w:val="002C2FFE"/>
    <w:rsid w:val="002C30D0"/>
    <w:rsid w:val="002C3484"/>
    <w:rsid w:val="002C3D6D"/>
    <w:rsid w:val="002C3E75"/>
    <w:rsid w:val="002C3EDB"/>
    <w:rsid w:val="002C3F2D"/>
    <w:rsid w:val="002C4670"/>
    <w:rsid w:val="002C4A08"/>
    <w:rsid w:val="002C4B01"/>
    <w:rsid w:val="002C4CF2"/>
    <w:rsid w:val="002C5269"/>
    <w:rsid w:val="002C5FB9"/>
    <w:rsid w:val="002C62E7"/>
    <w:rsid w:val="002C6676"/>
    <w:rsid w:val="002C6A71"/>
    <w:rsid w:val="002C73D9"/>
    <w:rsid w:val="002C75BD"/>
    <w:rsid w:val="002C7726"/>
    <w:rsid w:val="002C772E"/>
    <w:rsid w:val="002C7DC0"/>
    <w:rsid w:val="002D02ED"/>
    <w:rsid w:val="002D07DA"/>
    <w:rsid w:val="002D0B2C"/>
    <w:rsid w:val="002D0DA9"/>
    <w:rsid w:val="002D1227"/>
    <w:rsid w:val="002D14D7"/>
    <w:rsid w:val="002D19B5"/>
    <w:rsid w:val="002D19B7"/>
    <w:rsid w:val="002D216C"/>
    <w:rsid w:val="002D21CC"/>
    <w:rsid w:val="002D245D"/>
    <w:rsid w:val="002D283B"/>
    <w:rsid w:val="002D294E"/>
    <w:rsid w:val="002D2CD2"/>
    <w:rsid w:val="002D2D48"/>
    <w:rsid w:val="002D2D99"/>
    <w:rsid w:val="002D3394"/>
    <w:rsid w:val="002D437D"/>
    <w:rsid w:val="002D46C8"/>
    <w:rsid w:val="002D498B"/>
    <w:rsid w:val="002D49EC"/>
    <w:rsid w:val="002D4B4F"/>
    <w:rsid w:val="002D4C59"/>
    <w:rsid w:val="002D4C95"/>
    <w:rsid w:val="002D54CC"/>
    <w:rsid w:val="002D56A2"/>
    <w:rsid w:val="002D5865"/>
    <w:rsid w:val="002D5A03"/>
    <w:rsid w:val="002D5C96"/>
    <w:rsid w:val="002D5F20"/>
    <w:rsid w:val="002D6C26"/>
    <w:rsid w:val="002D7513"/>
    <w:rsid w:val="002D7595"/>
    <w:rsid w:val="002D76A3"/>
    <w:rsid w:val="002D7C35"/>
    <w:rsid w:val="002E031C"/>
    <w:rsid w:val="002E05CE"/>
    <w:rsid w:val="002E0A7E"/>
    <w:rsid w:val="002E0D10"/>
    <w:rsid w:val="002E11B5"/>
    <w:rsid w:val="002E11D7"/>
    <w:rsid w:val="002E1340"/>
    <w:rsid w:val="002E2088"/>
    <w:rsid w:val="002E3E21"/>
    <w:rsid w:val="002E3E59"/>
    <w:rsid w:val="002E43FF"/>
    <w:rsid w:val="002E4DEB"/>
    <w:rsid w:val="002E57E5"/>
    <w:rsid w:val="002E5B8C"/>
    <w:rsid w:val="002E6388"/>
    <w:rsid w:val="002E64E1"/>
    <w:rsid w:val="002E688B"/>
    <w:rsid w:val="002E6A92"/>
    <w:rsid w:val="002E6B5A"/>
    <w:rsid w:val="002E79AE"/>
    <w:rsid w:val="002E7AEA"/>
    <w:rsid w:val="002E7F13"/>
    <w:rsid w:val="002F0123"/>
    <w:rsid w:val="002F019A"/>
    <w:rsid w:val="002F07F2"/>
    <w:rsid w:val="002F0B6B"/>
    <w:rsid w:val="002F0BD5"/>
    <w:rsid w:val="002F0E5A"/>
    <w:rsid w:val="002F0F9F"/>
    <w:rsid w:val="002F12D2"/>
    <w:rsid w:val="002F14D7"/>
    <w:rsid w:val="002F16F1"/>
    <w:rsid w:val="002F201F"/>
    <w:rsid w:val="002F20F3"/>
    <w:rsid w:val="002F25A5"/>
    <w:rsid w:val="002F2EB4"/>
    <w:rsid w:val="002F3075"/>
    <w:rsid w:val="002F3270"/>
    <w:rsid w:val="002F37C7"/>
    <w:rsid w:val="002F46CD"/>
    <w:rsid w:val="002F4765"/>
    <w:rsid w:val="002F4B85"/>
    <w:rsid w:val="002F4C08"/>
    <w:rsid w:val="002F4C73"/>
    <w:rsid w:val="002F4F3D"/>
    <w:rsid w:val="002F536F"/>
    <w:rsid w:val="002F5B2B"/>
    <w:rsid w:val="002F5BB2"/>
    <w:rsid w:val="002F5CF9"/>
    <w:rsid w:val="002F5D39"/>
    <w:rsid w:val="002F6051"/>
    <w:rsid w:val="002F6160"/>
    <w:rsid w:val="002F62DB"/>
    <w:rsid w:val="002F66A2"/>
    <w:rsid w:val="002F6BA6"/>
    <w:rsid w:val="002F70B7"/>
    <w:rsid w:val="002F772A"/>
    <w:rsid w:val="002F7889"/>
    <w:rsid w:val="00300967"/>
    <w:rsid w:val="00300D5D"/>
    <w:rsid w:val="00300DBD"/>
    <w:rsid w:val="00301422"/>
    <w:rsid w:val="0030157F"/>
    <w:rsid w:val="00302422"/>
    <w:rsid w:val="003025CB"/>
    <w:rsid w:val="003028EC"/>
    <w:rsid w:val="00303049"/>
    <w:rsid w:val="003037F7"/>
    <w:rsid w:val="00303D0D"/>
    <w:rsid w:val="003042A7"/>
    <w:rsid w:val="00304361"/>
    <w:rsid w:val="0030480D"/>
    <w:rsid w:val="00304CF1"/>
    <w:rsid w:val="003054BD"/>
    <w:rsid w:val="003055E3"/>
    <w:rsid w:val="00305CA6"/>
    <w:rsid w:val="00305D31"/>
    <w:rsid w:val="00305DAA"/>
    <w:rsid w:val="00306208"/>
    <w:rsid w:val="0030638E"/>
    <w:rsid w:val="00306526"/>
    <w:rsid w:val="003065A3"/>
    <w:rsid w:val="00306605"/>
    <w:rsid w:val="0030694B"/>
    <w:rsid w:val="00306D73"/>
    <w:rsid w:val="0030720F"/>
    <w:rsid w:val="0030723E"/>
    <w:rsid w:val="00307695"/>
    <w:rsid w:val="00307CAB"/>
    <w:rsid w:val="00307D9C"/>
    <w:rsid w:val="00310312"/>
    <w:rsid w:val="00310848"/>
    <w:rsid w:val="003108D0"/>
    <w:rsid w:val="00310A32"/>
    <w:rsid w:val="00310A87"/>
    <w:rsid w:val="00311439"/>
    <w:rsid w:val="0031196B"/>
    <w:rsid w:val="00311995"/>
    <w:rsid w:val="00312197"/>
    <w:rsid w:val="00312387"/>
    <w:rsid w:val="003123A9"/>
    <w:rsid w:val="003125F0"/>
    <w:rsid w:val="00312873"/>
    <w:rsid w:val="003129D3"/>
    <w:rsid w:val="00312C91"/>
    <w:rsid w:val="003136B7"/>
    <w:rsid w:val="00313CE1"/>
    <w:rsid w:val="00314015"/>
    <w:rsid w:val="0031446E"/>
    <w:rsid w:val="00314F4C"/>
    <w:rsid w:val="003152AA"/>
    <w:rsid w:val="003156FC"/>
    <w:rsid w:val="00315BDC"/>
    <w:rsid w:val="003161CC"/>
    <w:rsid w:val="003163F8"/>
    <w:rsid w:val="00316B03"/>
    <w:rsid w:val="00316C11"/>
    <w:rsid w:val="00317018"/>
    <w:rsid w:val="00317414"/>
    <w:rsid w:val="0031745C"/>
    <w:rsid w:val="003176BE"/>
    <w:rsid w:val="0032164B"/>
    <w:rsid w:val="0032172C"/>
    <w:rsid w:val="003218E9"/>
    <w:rsid w:val="0032195A"/>
    <w:rsid w:val="00321A08"/>
    <w:rsid w:val="00321BF6"/>
    <w:rsid w:val="00322047"/>
    <w:rsid w:val="00322061"/>
    <w:rsid w:val="0032228D"/>
    <w:rsid w:val="00322465"/>
    <w:rsid w:val="00322497"/>
    <w:rsid w:val="00322753"/>
    <w:rsid w:val="00322F47"/>
    <w:rsid w:val="003231C0"/>
    <w:rsid w:val="003232CE"/>
    <w:rsid w:val="0032363D"/>
    <w:rsid w:val="0032391D"/>
    <w:rsid w:val="00323D35"/>
    <w:rsid w:val="003240A7"/>
    <w:rsid w:val="003248BD"/>
    <w:rsid w:val="00324AF5"/>
    <w:rsid w:val="00325957"/>
    <w:rsid w:val="00325A83"/>
    <w:rsid w:val="00325DB1"/>
    <w:rsid w:val="00325E0D"/>
    <w:rsid w:val="00325E49"/>
    <w:rsid w:val="00326548"/>
    <w:rsid w:val="00326B05"/>
    <w:rsid w:val="00326C25"/>
    <w:rsid w:val="00326C91"/>
    <w:rsid w:val="00327053"/>
    <w:rsid w:val="0032767F"/>
    <w:rsid w:val="003276F5"/>
    <w:rsid w:val="003279DD"/>
    <w:rsid w:val="00327C1F"/>
    <w:rsid w:val="00327D92"/>
    <w:rsid w:val="00327F55"/>
    <w:rsid w:val="00330B56"/>
    <w:rsid w:val="00330C87"/>
    <w:rsid w:val="0033120C"/>
    <w:rsid w:val="00331316"/>
    <w:rsid w:val="003313A1"/>
    <w:rsid w:val="003314FE"/>
    <w:rsid w:val="00331A84"/>
    <w:rsid w:val="0033288F"/>
    <w:rsid w:val="0033298F"/>
    <w:rsid w:val="00332AC7"/>
    <w:rsid w:val="0033321E"/>
    <w:rsid w:val="003334A5"/>
    <w:rsid w:val="00333A98"/>
    <w:rsid w:val="00333B6E"/>
    <w:rsid w:val="00333C0B"/>
    <w:rsid w:val="00333C8B"/>
    <w:rsid w:val="00333CAB"/>
    <w:rsid w:val="00334466"/>
    <w:rsid w:val="00335557"/>
    <w:rsid w:val="00335EA2"/>
    <w:rsid w:val="00336540"/>
    <w:rsid w:val="00336BBA"/>
    <w:rsid w:val="00336E02"/>
    <w:rsid w:val="0033727A"/>
    <w:rsid w:val="003376C9"/>
    <w:rsid w:val="00337746"/>
    <w:rsid w:val="00337F8A"/>
    <w:rsid w:val="00340319"/>
    <w:rsid w:val="00340599"/>
    <w:rsid w:val="003405C8"/>
    <w:rsid w:val="003407A8"/>
    <w:rsid w:val="00340CA6"/>
    <w:rsid w:val="00340DDC"/>
    <w:rsid w:val="0034103C"/>
    <w:rsid w:val="003411DF"/>
    <w:rsid w:val="003417D0"/>
    <w:rsid w:val="00341955"/>
    <w:rsid w:val="00341D59"/>
    <w:rsid w:val="00342091"/>
    <w:rsid w:val="00342653"/>
    <w:rsid w:val="0034291D"/>
    <w:rsid w:val="00342A7D"/>
    <w:rsid w:val="0034327C"/>
    <w:rsid w:val="00343D72"/>
    <w:rsid w:val="00344741"/>
    <w:rsid w:val="00344C75"/>
    <w:rsid w:val="003451BB"/>
    <w:rsid w:val="003452F9"/>
    <w:rsid w:val="0034563B"/>
    <w:rsid w:val="00345A9F"/>
    <w:rsid w:val="00345B8F"/>
    <w:rsid w:val="00345D7D"/>
    <w:rsid w:val="00345E5E"/>
    <w:rsid w:val="00346033"/>
    <w:rsid w:val="00346535"/>
    <w:rsid w:val="0034662E"/>
    <w:rsid w:val="0034682C"/>
    <w:rsid w:val="003469E8"/>
    <w:rsid w:val="00346C4B"/>
    <w:rsid w:val="00347367"/>
    <w:rsid w:val="0034741E"/>
    <w:rsid w:val="0034757D"/>
    <w:rsid w:val="003478AB"/>
    <w:rsid w:val="00347BBE"/>
    <w:rsid w:val="00347C5B"/>
    <w:rsid w:val="00347F37"/>
    <w:rsid w:val="00350590"/>
    <w:rsid w:val="003505C8"/>
    <w:rsid w:val="00350B36"/>
    <w:rsid w:val="0035143A"/>
    <w:rsid w:val="0035158D"/>
    <w:rsid w:val="003516FF"/>
    <w:rsid w:val="0035180E"/>
    <w:rsid w:val="00351B87"/>
    <w:rsid w:val="0035279A"/>
    <w:rsid w:val="00352834"/>
    <w:rsid w:val="00352DEC"/>
    <w:rsid w:val="00352E24"/>
    <w:rsid w:val="00352E5B"/>
    <w:rsid w:val="00353271"/>
    <w:rsid w:val="003532CE"/>
    <w:rsid w:val="003535E7"/>
    <w:rsid w:val="00353789"/>
    <w:rsid w:val="00353A14"/>
    <w:rsid w:val="00353A2F"/>
    <w:rsid w:val="00353B47"/>
    <w:rsid w:val="00353F63"/>
    <w:rsid w:val="00353FEB"/>
    <w:rsid w:val="003542A3"/>
    <w:rsid w:val="00354C90"/>
    <w:rsid w:val="00355499"/>
    <w:rsid w:val="0035575E"/>
    <w:rsid w:val="00355F3A"/>
    <w:rsid w:val="00355F6A"/>
    <w:rsid w:val="0035700F"/>
    <w:rsid w:val="003571B5"/>
    <w:rsid w:val="003575B1"/>
    <w:rsid w:val="003578A3"/>
    <w:rsid w:val="00357BDF"/>
    <w:rsid w:val="003606B4"/>
    <w:rsid w:val="0036093E"/>
    <w:rsid w:val="0036099B"/>
    <w:rsid w:val="00360CDD"/>
    <w:rsid w:val="00361998"/>
    <w:rsid w:val="00362162"/>
    <w:rsid w:val="00362CB8"/>
    <w:rsid w:val="003631E4"/>
    <w:rsid w:val="00363590"/>
    <w:rsid w:val="00363739"/>
    <w:rsid w:val="00363764"/>
    <w:rsid w:val="003639C2"/>
    <w:rsid w:val="00363A66"/>
    <w:rsid w:val="00363A8B"/>
    <w:rsid w:val="00363F89"/>
    <w:rsid w:val="003641B9"/>
    <w:rsid w:val="003644FD"/>
    <w:rsid w:val="003645ED"/>
    <w:rsid w:val="0036497A"/>
    <w:rsid w:val="00364AD8"/>
    <w:rsid w:val="00364BF3"/>
    <w:rsid w:val="00365326"/>
    <w:rsid w:val="00365793"/>
    <w:rsid w:val="00365B5D"/>
    <w:rsid w:val="00366142"/>
    <w:rsid w:val="00366C3B"/>
    <w:rsid w:val="003707AD"/>
    <w:rsid w:val="003707E3"/>
    <w:rsid w:val="00370836"/>
    <w:rsid w:val="00370A8F"/>
    <w:rsid w:val="00370B9B"/>
    <w:rsid w:val="00370CB7"/>
    <w:rsid w:val="00371839"/>
    <w:rsid w:val="00371899"/>
    <w:rsid w:val="00371A02"/>
    <w:rsid w:val="0037200E"/>
    <w:rsid w:val="00372049"/>
    <w:rsid w:val="003721FC"/>
    <w:rsid w:val="003722AA"/>
    <w:rsid w:val="003725E4"/>
    <w:rsid w:val="0037262C"/>
    <w:rsid w:val="00372D19"/>
    <w:rsid w:val="003731F8"/>
    <w:rsid w:val="00373307"/>
    <w:rsid w:val="0037341B"/>
    <w:rsid w:val="00373832"/>
    <w:rsid w:val="0037437E"/>
    <w:rsid w:val="00374A46"/>
    <w:rsid w:val="00374B2D"/>
    <w:rsid w:val="003752E9"/>
    <w:rsid w:val="003753D3"/>
    <w:rsid w:val="0037549C"/>
    <w:rsid w:val="00375D4A"/>
    <w:rsid w:val="00375FE3"/>
    <w:rsid w:val="0037643A"/>
    <w:rsid w:val="00376575"/>
    <w:rsid w:val="003765FD"/>
    <w:rsid w:val="00376829"/>
    <w:rsid w:val="0037697A"/>
    <w:rsid w:val="00376EB5"/>
    <w:rsid w:val="00376FAD"/>
    <w:rsid w:val="00377227"/>
    <w:rsid w:val="00377863"/>
    <w:rsid w:val="00377CD3"/>
    <w:rsid w:val="003805C7"/>
    <w:rsid w:val="003809AD"/>
    <w:rsid w:val="003809E4"/>
    <w:rsid w:val="00380A95"/>
    <w:rsid w:val="00380B90"/>
    <w:rsid w:val="00380BC6"/>
    <w:rsid w:val="00380BDA"/>
    <w:rsid w:val="003813BA"/>
    <w:rsid w:val="003814EA"/>
    <w:rsid w:val="003815C3"/>
    <w:rsid w:val="003818C4"/>
    <w:rsid w:val="00381DBC"/>
    <w:rsid w:val="00381E7C"/>
    <w:rsid w:val="00382185"/>
    <w:rsid w:val="00382260"/>
    <w:rsid w:val="003825A9"/>
    <w:rsid w:val="0038278B"/>
    <w:rsid w:val="00382B02"/>
    <w:rsid w:val="00382DEE"/>
    <w:rsid w:val="00382FFF"/>
    <w:rsid w:val="00383073"/>
    <w:rsid w:val="003833DB"/>
    <w:rsid w:val="00383608"/>
    <w:rsid w:val="00383DB0"/>
    <w:rsid w:val="00384249"/>
    <w:rsid w:val="00384923"/>
    <w:rsid w:val="00384AB7"/>
    <w:rsid w:val="00384FE2"/>
    <w:rsid w:val="00385B47"/>
    <w:rsid w:val="00385FC9"/>
    <w:rsid w:val="0038613D"/>
    <w:rsid w:val="0038630F"/>
    <w:rsid w:val="00386816"/>
    <w:rsid w:val="003869E3"/>
    <w:rsid w:val="00386A6B"/>
    <w:rsid w:val="00386CF7"/>
    <w:rsid w:val="00386E1F"/>
    <w:rsid w:val="0038701E"/>
    <w:rsid w:val="0038722B"/>
    <w:rsid w:val="00387269"/>
    <w:rsid w:val="003872A5"/>
    <w:rsid w:val="0038739D"/>
    <w:rsid w:val="003874F6"/>
    <w:rsid w:val="003878D3"/>
    <w:rsid w:val="00387998"/>
    <w:rsid w:val="00387AD9"/>
    <w:rsid w:val="00387AEF"/>
    <w:rsid w:val="0039044A"/>
    <w:rsid w:val="003904CF"/>
    <w:rsid w:val="00390599"/>
    <w:rsid w:val="003908F5"/>
    <w:rsid w:val="00390C89"/>
    <w:rsid w:val="00390FFA"/>
    <w:rsid w:val="00391879"/>
    <w:rsid w:val="00391FFB"/>
    <w:rsid w:val="00392273"/>
    <w:rsid w:val="00392330"/>
    <w:rsid w:val="003924E7"/>
    <w:rsid w:val="0039257F"/>
    <w:rsid w:val="00392AA3"/>
    <w:rsid w:val="00392D1A"/>
    <w:rsid w:val="00392F0A"/>
    <w:rsid w:val="00392F9E"/>
    <w:rsid w:val="0039393A"/>
    <w:rsid w:val="00393A42"/>
    <w:rsid w:val="003940F4"/>
    <w:rsid w:val="003955D3"/>
    <w:rsid w:val="0039595C"/>
    <w:rsid w:val="003959B3"/>
    <w:rsid w:val="00395EBF"/>
    <w:rsid w:val="0039612E"/>
    <w:rsid w:val="003963AF"/>
    <w:rsid w:val="003965ED"/>
    <w:rsid w:val="003968C5"/>
    <w:rsid w:val="00396994"/>
    <w:rsid w:val="003969B8"/>
    <w:rsid w:val="00396B10"/>
    <w:rsid w:val="00396B80"/>
    <w:rsid w:val="00396CEA"/>
    <w:rsid w:val="00396FC7"/>
    <w:rsid w:val="00397285"/>
    <w:rsid w:val="003973E9"/>
    <w:rsid w:val="003973F2"/>
    <w:rsid w:val="0039761F"/>
    <w:rsid w:val="00397635"/>
    <w:rsid w:val="00397A99"/>
    <w:rsid w:val="00397A9A"/>
    <w:rsid w:val="00397B12"/>
    <w:rsid w:val="00397DCF"/>
    <w:rsid w:val="00397FE4"/>
    <w:rsid w:val="003A0013"/>
    <w:rsid w:val="003A05C6"/>
    <w:rsid w:val="003A064F"/>
    <w:rsid w:val="003A080A"/>
    <w:rsid w:val="003A0DCE"/>
    <w:rsid w:val="003A0E07"/>
    <w:rsid w:val="003A0E56"/>
    <w:rsid w:val="003A1291"/>
    <w:rsid w:val="003A147F"/>
    <w:rsid w:val="003A1700"/>
    <w:rsid w:val="003A17C5"/>
    <w:rsid w:val="003A18EC"/>
    <w:rsid w:val="003A1D36"/>
    <w:rsid w:val="003A1E16"/>
    <w:rsid w:val="003A208F"/>
    <w:rsid w:val="003A240F"/>
    <w:rsid w:val="003A2B85"/>
    <w:rsid w:val="003A305C"/>
    <w:rsid w:val="003A3159"/>
    <w:rsid w:val="003A31F3"/>
    <w:rsid w:val="003A33CF"/>
    <w:rsid w:val="003A34F5"/>
    <w:rsid w:val="003A3CF8"/>
    <w:rsid w:val="003A40F0"/>
    <w:rsid w:val="003A45EC"/>
    <w:rsid w:val="003A470C"/>
    <w:rsid w:val="003A528E"/>
    <w:rsid w:val="003A5DF3"/>
    <w:rsid w:val="003A5E99"/>
    <w:rsid w:val="003A5EF4"/>
    <w:rsid w:val="003A63F2"/>
    <w:rsid w:val="003A654B"/>
    <w:rsid w:val="003A65C7"/>
    <w:rsid w:val="003A6674"/>
    <w:rsid w:val="003A6683"/>
    <w:rsid w:val="003A74F3"/>
    <w:rsid w:val="003A75CB"/>
    <w:rsid w:val="003A7877"/>
    <w:rsid w:val="003B0B9C"/>
    <w:rsid w:val="003B0C74"/>
    <w:rsid w:val="003B0DA3"/>
    <w:rsid w:val="003B1090"/>
    <w:rsid w:val="003B11CE"/>
    <w:rsid w:val="003B18A5"/>
    <w:rsid w:val="003B1968"/>
    <w:rsid w:val="003B1985"/>
    <w:rsid w:val="003B1BC0"/>
    <w:rsid w:val="003B1D86"/>
    <w:rsid w:val="003B1E14"/>
    <w:rsid w:val="003B254E"/>
    <w:rsid w:val="003B26B2"/>
    <w:rsid w:val="003B2DE3"/>
    <w:rsid w:val="003B30D6"/>
    <w:rsid w:val="003B3161"/>
    <w:rsid w:val="003B3246"/>
    <w:rsid w:val="003B33F7"/>
    <w:rsid w:val="003B3725"/>
    <w:rsid w:val="003B3857"/>
    <w:rsid w:val="003B3B57"/>
    <w:rsid w:val="003B3F51"/>
    <w:rsid w:val="003B4A7F"/>
    <w:rsid w:val="003B4A94"/>
    <w:rsid w:val="003B4EBF"/>
    <w:rsid w:val="003B4FE9"/>
    <w:rsid w:val="003B5281"/>
    <w:rsid w:val="003B5510"/>
    <w:rsid w:val="003B58EA"/>
    <w:rsid w:val="003B6BA2"/>
    <w:rsid w:val="003B6C13"/>
    <w:rsid w:val="003B6C2F"/>
    <w:rsid w:val="003B775E"/>
    <w:rsid w:val="003B7F1E"/>
    <w:rsid w:val="003BBC98"/>
    <w:rsid w:val="003C03D2"/>
    <w:rsid w:val="003C041C"/>
    <w:rsid w:val="003C07CA"/>
    <w:rsid w:val="003C0958"/>
    <w:rsid w:val="003C0B54"/>
    <w:rsid w:val="003C0BCD"/>
    <w:rsid w:val="003C13E5"/>
    <w:rsid w:val="003C28C4"/>
    <w:rsid w:val="003C2CC4"/>
    <w:rsid w:val="003C2EEB"/>
    <w:rsid w:val="003C369B"/>
    <w:rsid w:val="003C3976"/>
    <w:rsid w:val="003C446C"/>
    <w:rsid w:val="003C4542"/>
    <w:rsid w:val="003C47A3"/>
    <w:rsid w:val="003C4974"/>
    <w:rsid w:val="003C4E7C"/>
    <w:rsid w:val="003C51E8"/>
    <w:rsid w:val="003C5416"/>
    <w:rsid w:val="003C551D"/>
    <w:rsid w:val="003C58F0"/>
    <w:rsid w:val="003C6064"/>
    <w:rsid w:val="003C6092"/>
    <w:rsid w:val="003C6096"/>
    <w:rsid w:val="003C6135"/>
    <w:rsid w:val="003C63DA"/>
    <w:rsid w:val="003C64B1"/>
    <w:rsid w:val="003C6A34"/>
    <w:rsid w:val="003C6A98"/>
    <w:rsid w:val="003C6BD1"/>
    <w:rsid w:val="003C6D3B"/>
    <w:rsid w:val="003C6E20"/>
    <w:rsid w:val="003C723A"/>
    <w:rsid w:val="003C7566"/>
    <w:rsid w:val="003C76E6"/>
    <w:rsid w:val="003C7B1A"/>
    <w:rsid w:val="003C7BB2"/>
    <w:rsid w:val="003D02E4"/>
    <w:rsid w:val="003D02EB"/>
    <w:rsid w:val="003D0D8D"/>
    <w:rsid w:val="003D0EC1"/>
    <w:rsid w:val="003D1208"/>
    <w:rsid w:val="003D1269"/>
    <w:rsid w:val="003D156A"/>
    <w:rsid w:val="003D1ECE"/>
    <w:rsid w:val="003D1FC6"/>
    <w:rsid w:val="003D209C"/>
    <w:rsid w:val="003D22B4"/>
    <w:rsid w:val="003D3123"/>
    <w:rsid w:val="003D3266"/>
    <w:rsid w:val="003D3EB2"/>
    <w:rsid w:val="003D4303"/>
    <w:rsid w:val="003D45F8"/>
    <w:rsid w:val="003D48F8"/>
    <w:rsid w:val="003D49D3"/>
    <w:rsid w:val="003D4E38"/>
    <w:rsid w:val="003D5510"/>
    <w:rsid w:val="003D5ABB"/>
    <w:rsid w:val="003D5C99"/>
    <w:rsid w:val="003D5CD2"/>
    <w:rsid w:val="003D6120"/>
    <w:rsid w:val="003D64CB"/>
    <w:rsid w:val="003D698D"/>
    <w:rsid w:val="003D6DB1"/>
    <w:rsid w:val="003D7089"/>
    <w:rsid w:val="003D717E"/>
    <w:rsid w:val="003E024C"/>
    <w:rsid w:val="003E064E"/>
    <w:rsid w:val="003E0676"/>
    <w:rsid w:val="003E06A7"/>
    <w:rsid w:val="003E0952"/>
    <w:rsid w:val="003E0FD4"/>
    <w:rsid w:val="003E12CF"/>
    <w:rsid w:val="003E16FB"/>
    <w:rsid w:val="003E1F52"/>
    <w:rsid w:val="003E2103"/>
    <w:rsid w:val="003E210B"/>
    <w:rsid w:val="003E224E"/>
    <w:rsid w:val="003E24C6"/>
    <w:rsid w:val="003E24DB"/>
    <w:rsid w:val="003E255F"/>
    <w:rsid w:val="003E2A55"/>
    <w:rsid w:val="003E33AA"/>
    <w:rsid w:val="003E3933"/>
    <w:rsid w:val="003E3D26"/>
    <w:rsid w:val="003E429C"/>
    <w:rsid w:val="003E4650"/>
    <w:rsid w:val="003E4694"/>
    <w:rsid w:val="003E472F"/>
    <w:rsid w:val="003E47B0"/>
    <w:rsid w:val="003E4A20"/>
    <w:rsid w:val="003E4B15"/>
    <w:rsid w:val="003E4C78"/>
    <w:rsid w:val="003E4D04"/>
    <w:rsid w:val="003E50EA"/>
    <w:rsid w:val="003E531D"/>
    <w:rsid w:val="003E61F9"/>
    <w:rsid w:val="003E65F0"/>
    <w:rsid w:val="003E665E"/>
    <w:rsid w:val="003E69A9"/>
    <w:rsid w:val="003E70ED"/>
    <w:rsid w:val="003E71F3"/>
    <w:rsid w:val="003E72FD"/>
    <w:rsid w:val="003E75A3"/>
    <w:rsid w:val="003E7CCB"/>
    <w:rsid w:val="003E7F2F"/>
    <w:rsid w:val="003F0E47"/>
    <w:rsid w:val="003F0E5C"/>
    <w:rsid w:val="003F14AE"/>
    <w:rsid w:val="003F1C1D"/>
    <w:rsid w:val="003F1C66"/>
    <w:rsid w:val="003F202F"/>
    <w:rsid w:val="003F2AAD"/>
    <w:rsid w:val="003F2AD9"/>
    <w:rsid w:val="003F308C"/>
    <w:rsid w:val="003F3302"/>
    <w:rsid w:val="003F367A"/>
    <w:rsid w:val="003F3C17"/>
    <w:rsid w:val="003F3CBA"/>
    <w:rsid w:val="003F3CE7"/>
    <w:rsid w:val="003F4158"/>
    <w:rsid w:val="003F48EF"/>
    <w:rsid w:val="003F5919"/>
    <w:rsid w:val="003F618B"/>
    <w:rsid w:val="003F6397"/>
    <w:rsid w:val="003F65D7"/>
    <w:rsid w:val="003F68AD"/>
    <w:rsid w:val="003F700E"/>
    <w:rsid w:val="003F7260"/>
    <w:rsid w:val="003F7518"/>
    <w:rsid w:val="00400287"/>
    <w:rsid w:val="00400361"/>
    <w:rsid w:val="004004C2"/>
    <w:rsid w:val="00400A08"/>
    <w:rsid w:val="00400D37"/>
    <w:rsid w:val="0040104F"/>
    <w:rsid w:val="0040105E"/>
    <w:rsid w:val="00401501"/>
    <w:rsid w:val="00401A26"/>
    <w:rsid w:val="00401E8F"/>
    <w:rsid w:val="00402326"/>
    <w:rsid w:val="0040232A"/>
    <w:rsid w:val="00402361"/>
    <w:rsid w:val="00402773"/>
    <w:rsid w:val="0040297A"/>
    <w:rsid w:val="00402AD7"/>
    <w:rsid w:val="0040339C"/>
    <w:rsid w:val="004034B7"/>
    <w:rsid w:val="00403531"/>
    <w:rsid w:val="004035FE"/>
    <w:rsid w:val="00403791"/>
    <w:rsid w:val="00403A98"/>
    <w:rsid w:val="00404141"/>
    <w:rsid w:val="004047A6"/>
    <w:rsid w:val="004047A9"/>
    <w:rsid w:val="00404D68"/>
    <w:rsid w:val="00404D78"/>
    <w:rsid w:val="00404E65"/>
    <w:rsid w:val="00404FCF"/>
    <w:rsid w:val="004057EA"/>
    <w:rsid w:val="00405C26"/>
    <w:rsid w:val="00406215"/>
    <w:rsid w:val="0040626D"/>
    <w:rsid w:val="0040667A"/>
    <w:rsid w:val="004067F8"/>
    <w:rsid w:val="004071E4"/>
    <w:rsid w:val="00407AF0"/>
    <w:rsid w:val="00407B1E"/>
    <w:rsid w:val="00407CAA"/>
    <w:rsid w:val="00407F63"/>
    <w:rsid w:val="00410059"/>
    <w:rsid w:val="004107FA"/>
    <w:rsid w:val="004109AA"/>
    <w:rsid w:val="004109BF"/>
    <w:rsid w:val="00411B0F"/>
    <w:rsid w:val="00411E48"/>
    <w:rsid w:val="00412023"/>
    <w:rsid w:val="00412080"/>
    <w:rsid w:val="0041220E"/>
    <w:rsid w:val="0041283D"/>
    <w:rsid w:val="00412861"/>
    <w:rsid w:val="00412A9A"/>
    <w:rsid w:val="00412E07"/>
    <w:rsid w:val="00412FDC"/>
    <w:rsid w:val="004130F3"/>
    <w:rsid w:val="00413432"/>
    <w:rsid w:val="00413630"/>
    <w:rsid w:val="00413A3B"/>
    <w:rsid w:val="0041405C"/>
    <w:rsid w:val="00414973"/>
    <w:rsid w:val="00414E3D"/>
    <w:rsid w:val="00414F10"/>
    <w:rsid w:val="00415010"/>
    <w:rsid w:val="00415452"/>
    <w:rsid w:val="00415885"/>
    <w:rsid w:val="00415B36"/>
    <w:rsid w:val="004160CD"/>
    <w:rsid w:val="004161C9"/>
    <w:rsid w:val="004164B5"/>
    <w:rsid w:val="0041687E"/>
    <w:rsid w:val="00416A63"/>
    <w:rsid w:val="00416BCF"/>
    <w:rsid w:val="00416E91"/>
    <w:rsid w:val="00416F93"/>
    <w:rsid w:val="00417145"/>
    <w:rsid w:val="004173F9"/>
    <w:rsid w:val="00417B8B"/>
    <w:rsid w:val="00417C3D"/>
    <w:rsid w:val="00417ECD"/>
    <w:rsid w:val="00417FA9"/>
    <w:rsid w:val="0042073C"/>
    <w:rsid w:val="00420A22"/>
    <w:rsid w:val="00420F11"/>
    <w:rsid w:val="00421B46"/>
    <w:rsid w:val="00421E8A"/>
    <w:rsid w:val="00422035"/>
    <w:rsid w:val="004220D1"/>
    <w:rsid w:val="0042220B"/>
    <w:rsid w:val="004224D0"/>
    <w:rsid w:val="00422A92"/>
    <w:rsid w:val="00422E21"/>
    <w:rsid w:val="00423229"/>
    <w:rsid w:val="00423DA4"/>
    <w:rsid w:val="00423DBA"/>
    <w:rsid w:val="0042402C"/>
    <w:rsid w:val="00424055"/>
    <w:rsid w:val="0042430A"/>
    <w:rsid w:val="0042434B"/>
    <w:rsid w:val="004244E4"/>
    <w:rsid w:val="00424852"/>
    <w:rsid w:val="00424865"/>
    <w:rsid w:val="004249A0"/>
    <w:rsid w:val="00424C41"/>
    <w:rsid w:val="004255FA"/>
    <w:rsid w:val="0042582E"/>
    <w:rsid w:val="00425C0E"/>
    <w:rsid w:val="00426668"/>
    <w:rsid w:val="0042673C"/>
    <w:rsid w:val="00426860"/>
    <w:rsid w:val="00426A11"/>
    <w:rsid w:val="00426EB5"/>
    <w:rsid w:val="00427599"/>
    <w:rsid w:val="00427A27"/>
    <w:rsid w:val="00427B9A"/>
    <w:rsid w:val="00427D11"/>
    <w:rsid w:val="004303D5"/>
    <w:rsid w:val="00430A5E"/>
    <w:rsid w:val="00431031"/>
    <w:rsid w:val="004311F7"/>
    <w:rsid w:val="00431244"/>
    <w:rsid w:val="004312EE"/>
    <w:rsid w:val="00431481"/>
    <w:rsid w:val="00431754"/>
    <w:rsid w:val="0043215C"/>
    <w:rsid w:val="004321B9"/>
    <w:rsid w:val="004324D0"/>
    <w:rsid w:val="00432B6B"/>
    <w:rsid w:val="00432E7E"/>
    <w:rsid w:val="004338E2"/>
    <w:rsid w:val="00433959"/>
    <w:rsid w:val="00433D1B"/>
    <w:rsid w:val="00433F0A"/>
    <w:rsid w:val="004343F8"/>
    <w:rsid w:val="00434911"/>
    <w:rsid w:val="0043498D"/>
    <w:rsid w:val="00434A9A"/>
    <w:rsid w:val="00434B77"/>
    <w:rsid w:val="00434D6E"/>
    <w:rsid w:val="00434E84"/>
    <w:rsid w:val="004353D9"/>
    <w:rsid w:val="00435822"/>
    <w:rsid w:val="00435A33"/>
    <w:rsid w:val="00435B63"/>
    <w:rsid w:val="00436217"/>
    <w:rsid w:val="004362AC"/>
    <w:rsid w:val="0043673C"/>
    <w:rsid w:val="00436CDD"/>
    <w:rsid w:val="00436D2B"/>
    <w:rsid w:val="00436DCF"/>
    <w:rsid w:val="00437130"/>
    <w:rsid w:val="0043732B"/>
    <w:rsid w:val="00437939"/>
    <w:rsid w:val="00437DCE"/>
    <w:rsid w:val="00437F1E"/>
    <w:rsid w:val="004403AD"/>
    <w:rsid w:val="00440B86"/>
    <w:rsid w:val="00441337"/>
    <w:rsid w:val="00441D8A"/>
    <w:rsid w:val="00441D9F"/>
    <w:rsid w:val="00442090"/>
    <w:rsid w:val="00442294"/>
    <w:rsid w:val="00442464"/>
    <w:rsid w:val="004427DF"/>
    <w:rsid w:val="00442B9E"/>
    <w:rsid w:val="00442C55"/>
    <w:rsid w:val="0044328D"/>
    <w:rsid w:val="004433C9"/>
    <w:rsid w:val="00443504"/>
    <w:rsid w:val="004435BA"/>
    <w:rsid w:val="0044360E"/>
    <w:rsid w:val="004436F9"/>
    <w:rsid w:val="00444125"/>
    <w:rsid w:val="004442F4"/>
    <w:rsid w:val="004449DC"/>
    <w:rsid w:val="004451EF"/>
    <w:rsid w:val="004455EB"/>
    <w:rsid w:val="00445954"/>
    <w:rsid w:val="00445978"/>
    <w:rsid w:val="00445DC2"/>
    <w:rsid w:val="00445EF5"/>
    <w:rsid w:val="00445FFB"/>
    <w:rsid w:val="00446334"/>
    <w:rsid w:val="00446340"/>
    <w:rsid w:val="00446383"/>
    <w:rsid w:val="0044654A"/>
    <w:rsid w:val="00447235"/>
    <w:rsid w:val="0044737E"/>
    <w:rsid w:val="0045000F"/>
    <w:rsid w:val="00450277"/>
    <w:rsid w:val="004507C4"/>
    <w:rsid w:val="00451093"/>
    <w:rsid w:val="004515AD"/>
    <w:rsid w:val="004515F1"/>
    <w:rsid w:val="00451DD6"/>
    <w:rsid w:val="00452950"/>
    <w:rsid w:val="004529C2"/>
    <w:rsid w:val="00452BE2"/>
    <w:rsid w:val="00452C3C"/>
    <w:rsid w:val="00453413"/>
    <w:rsid w:val="004538B8"/>
    <w:rsid w:val="004540EF"/>
    <w:rsid w:val="0045441D"/>
    <w:rsid w:val="004548FF"/>
    <w:rsid w:val="00455042"/>
    <w:rsid w:val="00455440"/>
    <w:rsid w:val="00455676"/>
    <w:rsid w:val="00455B63"/>
    <w:rsid w:val="00455DFC"/>
    <w:rsid w:val="004561AF"/>
    <w:rsid w:val="00456A43"/>
    <w:rsid w:val="00456B53"/>
    <w:rsid w:val="00456CA2"/>
    <w:rsid w:val="00456CCD"/>
    <w:rsid w:val="00456DE1"/>
    <w:rsid w:val="00456F28"/>
    <w:rsid w:val="004571E4"/>
    <w:rsid w:val="00460235"/>
    <w:rsid w:val="00460428"/>
    <w:rsid w:val="0046045E"/>
    <w:rsid w:val="00460AEE"/>
    <w:rsid w:val="00460CD9"/>
    <w:rsid w:val="00460F83"/>
    <w:rsid w:val="00461020"/>
    <w:rsid w:val="004610A8"/>
    <w:rsid w:val="00461191"/>
    <w:rsid w:val="0046143E"/>
    <w:rsid w:val="0046148F"/>
    <w:rsid w:val="004616A8"/>
    <w:rsid w:val="004617A9"/>
    <w:rsid w:val="00462324"/>
    <w:rsid w:val="0046288A"/>
    <w:rsid w:val="004629CD"/>
    <w:rsid w:val="004629D1"/>
    <w:rsid w:val="00462E34"/>
    <w:rsid w:val="0046332A"/>
    <w:rsid w:val="00463374"/>
    <w:rsid w:val="0046362F"/>
    <w:rsid w:val="004637FB"/>
    <w:rsid w:val="00463869"/>
    <w:rsid w:val="00463AEE"/>
    <w:rsid w:val="00463C94"/>
    <w:rsid w:val="00464ABC"/>
    <w:rsid w:val="004662D2"/>
    <w:rsid w:val="0046679D"/>
    <w:rsid w:val="00466C71"/>
    <w:rsid w:val="00466E87"/>
    <w:rsid w:val="00467890"/>
    <w:rsid w:val="0046794E"/>
    <w:rsid w:val="00470261"/>
    <w:rsid w:val="004706E1"/>
    <w:rsid w:val="004707B4"/>
    <w:rsid w:val="0047084A"/>
    <w:rsid w:val="004715F0"/>
    <w:rsid w:val="004716BC"/>
    <w:rsid w:val="00472190"/>
    <w:rsid w:val="004721E0"/>
    <w:rsid w:val="00472414"/>
    <w:rsid w:val="00472C70"/>
    <w:rsid w:val="00472F1F"/>
    <w:rsid w:val="00473B71"/>
    <w:rsid w:val="00474263"/>
    <w:rsid w:val="00474B05"/>
    <w:rsid w:val="00474C45"/>
    <w:rsid w:val="004752A4"/>
    <w:rsid w:val="004752CC"/>
    <w:rsid w:val="004754B6"/>
    <w:rsid w:val="00475A01"/>
    <w:rsid w:val="00475A7D"/>
    <w:rsid w:val="00475B06"/>
    <w:rsid w:val="00476216"/>
    <w:rsid w:val="004762CA"/>
    <w:rsid w:val="0047636A"/>
    <w:rsid w:val="0047652B"/>
    <w:rsid w:val="004765FA"/>
    <w:rsid w:val="00477234"/>
    <w:rsid w:val="004773E0"/>
    <w:rsid w:val="004776E5"/>
    <w:rsid w:val="0047775D"/>
    <w:rsid w:val="00477FAF"/>
    <w:rsid w:val="00480392"/>
    <w:rsid w:val="004804B1"/>
    <w:rsid w:val="00480791"/>
    <w:rsid w:val="0048123D"/>
    <w:rsid w:val="00481435"/>
    <w:rsid w:val="00481679"/>
    <w:rsid w:val="004816CC"/>
    <w:rsid w:val="0048192C"/>
    <w:rsid w:val="00481952"/>
    <w:rsid w:val="00482001"/>
    <w:rsid w:val="004825D8"/>
    <w:rsid w:val="004829E4"/>
    <w:rsid w:val="00482A4E"/>
    <w:rsid w:val="00482E90"/>
    <w:rsid w:val="00482E98"/>
    <w:rsid w:val="00483514"/>
    <w:rsid w:val="00483A54"/>
    <w:rsid w:val="00483B74"/>
    <w:rsid w:val="00483C22"/>
    <w:rsid w:val="00483E06"/>
    <w:rsid w:val="00483FF1"/>
    <w:rsid w:val="00484265"/>
    <w:rsid w:val="00485756"/>
    <w:rsid w:val="00485A30"/>
    <w:rsid w:val="00485AF8"/>
    <w:rsid w:val="00485FBD"/>
    <w:rsid w:val="00486051"/>
    <w:rsid w:val="00486434"/>
    <w:rsid w:val="00486642"/>
    <w:rsid w:val="00486975"/>
    <w:rsid w:val="0048766B"/>
    <w:rsid w:val="00487C53"/>
    <w:rsid w:val="00487FB1"/>
    <w:rsid w:val="00490704"/>
    <w:rsid w:val="004911AD"/>
    <w:rsid w:val="00491368"/>
    <w:rsid w:val="004916BD"/>
    <w:rsid w:val="00491828"/>
    <w:rsid w:val="0049197A"/>
    <w:rsid w:val="00491A15"/>
    <w:rsid w:val="00491C27"/>
    <w:rsid w:val="0049215E"/>
    <w:rsid w:val="0049264C"/>
    <w:rsid w:val="0049292E"/>
    <w:rsid w:val="004929B2"/>
    <w:rsid w:val="00492B52"/>
    <w:rsid w:val="00493399"/>
    <w:rsid w:val="004934A3"/>
    <w:rsid w:val="00493C19"/>
    <w:rsid w:val="004943AD"/>
    <w:rsid w:val="004945B9"/>
    <w:rsid w:val="00494785"/>
    <w:rsid w:val="00495169"/>
    <w:rsid w:val="00495BD2"/>
    <w:rsid w:val="00495C1C"/>
    <w:rsid w:val="00496004"/>
    <w:rsid w:val="00496EF4"/>
    <w:rsid w:val="00496F84"/>
    <w:rsid w:val="00496FD7"/>
    <w:rsid w:val="004978BB"/>
    <w:rsid w:val="00497E67"/>
    <w:rsid w:val="00497EEB"/>
    <w:rsid w:val="00497F9F"/>
    <w:rsid w:val="004A060D"/>
    <w:rsid w:val="004A0A49"/>
    <w:rsid w:val="004A0E28"/>
    <w:rsid w:val="004A0F6F"/>
    <w:rsid w:val="004A11CF"/>
    <w:rsid w:val="004A17AF"/>
    <w:rsid w:val="004A17FB"/>
    <w:rsid w:val="004A1C50"/>
    <w:rsid w:val="004A22CF"/>
    <w:rsid w:val="004A27F9"/>
    <w:rsid w:val="004A28F4"/>
    <w:rsid w:val="004A2DCF"/>
    <w:rsid w:val="004A3094"/>
    <w:rsid w:val="004A39C4"/>
    <w:rsid w:val="004A3AA5"/>
    <w:rsid w:val="004A4336"/>
    <w:rsid w:val="004A4618"/>
    <w:rsid w:val="004A4DA6"/>
    <w:rsid w:val="004A4DAF"/>
    <w:rsid w:val="004A4DCD"/>
    <w:rsid w:val="004A511E"/>
    <w:rsid w:val="004A512C"/>
    <w:rsid w:val="004A519F"/>
    <w:rsid w:val="004A5500"/>
    <w:rsid w:val="004A5AAB"/>
    <w:rsid w:val="004A65D6"/>
    <w:rsid w:val="004A6898"/>
    <w:rsid w:val="004A6927"/>
    <w:rsid w:val="004A6CE2"/>
    <w:rsid w:val="004A7241"/>
    <w:rsid w:val="004A7294"/>
    <w:rsid w:val="004A74B6"/>
    <w:rsid w:val="004A77AA"/>
    <w:rsid w:val="004A7896"/>
    <w:rsid w:val="004B008C"/>
    <w:rsid w:val="004B0B0F"/>
    <w:rsid w:val="004B0EA1"/>
    <w:rsid w:val="004B17D7"/>
    <w:rsid w:val="004B1852"/>
    <w:rsid w:val="004B1958"/>
    <w:rsid w:val="004B1BE8"/>
    <w:rsid w:val="004B1E28"/>
    <w:rsid w:val="004B1E58"/>
    <w:rsid w:val="004B1FD1"/>
    <w:rsid w:val="004B2249"/>
    <w:rsid w:val="004B22CB"/>
    <w:rsid w:val="004B23A9"/>
    <w:rsid w:val="004B23BB"/>
    <w:rsid w:val="004B25CF"/>
    <w:rsid w:val="004B284D"/>
    <w:rsid w:val="004B29A5"/>
    <w:rsid w:val="004B3B3C"/>
    <w:rsid w:val="004B418D"/>
    <w:rsid w:val="004B4470"/>
    <w:rsid w:val="004B4504"/>
    <w:rsid w:val="004B4726"/>
    <w:rsid w:val="004B48C9"/>
    <w:rsid w:val="004B4997"/>
    <w:rsid w:val="004B4AAD"/>
    <w:rsid w:val="004B5059"/>
    <w:rsid w:val="004B512A"/>
    <w:rsid w:val="004B5B99"/>
    <w:rsid w:val="004B5D5E"/>
    <w:rsid w:val="004B6493"/>
    <w:rsid w:val="004B6E02"/>
    <w:rsid w:val="004B766D"/>
    <w:rsid w:val="004B78A1"/>
    <w:rsid w:val="004B7997"/>
    <w:rsid w:val="004B7D2D"/>
    <w:rsid w:val="004B7DA9"/>
    <w:rsid w:val="004C0182"/>
    <w:rsid w:val="004C0255"/>
    <w:rsid w:val="004C0881"/>
    <w:rsid w:val="004C0C2D"/>
    <w:rsid w:val="004C0ECF"/>
    <w:rsid w:val="004C0FD3"/>
    <w:rsid w:val="004C1097"/>
    <w:rsid w:val="004C1241"/>
    <w:rsid w:val="004C13EB"/>
    <w:rsid w:val="004C26CC"/>
    <w:rsid w:val="004C2E57"/>
    <w:rsid w:val="004C2F18"/>
    <w:rsid w:val="004C3104"/>
    <w:rsid w:val="004C3AD5"/>
    <w:rsid w:val="004C3B45"/>
    <w:rsid w:val="004C3C9B"/>
    <w:rsid w:val="004C3EA7"/>
    <w:rsid w:val="004C40DD"/>
    <w:rsid w:val="004C45D2"/>
    <w:rsid w:val="004C47D8"/>
    <w:rsid w:val="004C4F90"/>
    <w:rsid w:val="004C5A17"/>
    <w:rsid w:val="004C5EBB"/>
    <w:rsid w:val="004C60CA"/>
    <w:rsid w:val="004C697A"/>
    <w:rsid w:val="004C6BE2"/>
    <w:rsid w:val="004C772B"/>
    <w:rsid w:val="004C7BF2"/>
    <w:rsid w:val="004C7E06"/>
    <w:rsid w:val="004D01A7"/>
    <w:rsid w:val="004D08C7"/>
    <w:rsid w:val="004D0C12"/>
    <w:rsid w:val="004D0E2C"/>
    <w:rsid w:val="004D0EFF"/>
    <w:rsid w:val="004D1125"/>
    <w:rsid w:val="004D141A"/>
    <w:rsid w:val="004D199A"/>
    <w:rsid w:val="004D1C1F"/>
    <w:rsid w:val="004D213E"/>
    <w:rsid w:val="004D249C"/>
    <w:rsid w:val="004D285C"/>
    <w:rsid w:val="004D2F64"/>
    <w:rsid w:val="004D2F6F"/>
    <w:rsid w:val="004D367F"/>
    <w:rsid w:val="004D3BE0"/>
    <w:rsid w:val="004D3BFA"/>
    <w:rsid w:val="004D44BF"/>
    <w:rsid w:val="004D4816"/>
    <w:rsid w:val="004D4D03"/>
    <w:rsid w:val="004D5706"/>
    <w:rsid w:val="004D5748"/>
    <w:rsid w:val="004D5BA6"/>
    <w:rsid w:val="004D5E37"/>
    <w:rsid w:val="004D5F55"/>
    <w:rsid w:val="004D65A5"/>
    <w:rsid w:val="004D67E3"/>
    <w:rsid w:val="004D68BA"/>
    <w:rsid w:val="004D731F"/>
    <w:rsid w:val="004D7C7F"/>
    <w:rsid w:val="004E054F"/>
    <w:rsid w:val="004E0AB6"/>
    <w:rsid w:val="004E106C"/>
    <w:rsid w:val="004E12B0"/>
    <w:rsid w:val="004E130D"/>
    <w:rsid w:val="004E1525"/>
    <w:rsid w:val="004E1B00"/>
    <w:rsid w:val="004E1EEA"/>
    <w:rsid w:val="004E236C"/>
    <w:rsid w:val="004E2491"/>
    <w:rsid w:val="004E2975"/>
    <w:rsid w:val="004E29A9"/>
    <w:rsid w:val="004E314A"/>
    <w:rsid w:val="004E368E"/>
    <w:rsid w:val="004E3B40"/>
    <w:rsid w:val="004E3C4E"/>
    <w:rsid w:val="004E3CAE"/>
    <w:rsid w:val="004E3FD7"/>
    <w:rsid w:val="004E4108"/>
    <w:rsid w:val="004E4212"/>
    <w:rsid w:val="004E4A6F"/>
    <w:rsid w:val="004E4C6A"/>
    <w:rsid w:val="004E52F0"/>
    <w:rsid w:val="004E5332"/>
    <w:rsid w:val="004E5C66"/>
    <w:rsid w:val="004E5D06"/>
    <w:rsid w:val="004E5DCF"/>
    <w:rsid w:val="004E605B"/>
    <w:rsid w:val="004E6314"/>
    <w:rsid w:val="004E6DA7"/>
    <w:rsid w:val="004E6EE1"/>
    <w:rsid w:val="004E6FB2"/>
    <w:rsid w:val="004E70D1"/>
    <w:rsid w:val="004E7256"/>
    <w:rsid w:val="004E73C5"/>
    <w:rsid w:val="004E73F3"/>
    <w:rsid w:val="004E764E"/>
    <w:rsid w:val="004E7D18"/>
    <w:rsid w:val="004F02D2"/>
    <w:rsid w:val="004F06AB"/>
    <w:rsid w:val="004F07BF"/>
    <w:rsid w:val="004F087E"/>
    <w:rsid w:val="004F0902"/>
    <w:rsid w:val="004F0971"/>
    <w:rsid w:val="004F0D41"/>
    <w:rsid w:val="004F0FDC"/>
    <w:rsid w:val="004F10D9"/>
    <w:rsid w:val="004F10E6"/>
    <w:rsid w:val="004F1110"/>
    <w:rsid w:val="004F1195"/>
    <w:rsid w:val="004F15FF"/>
    <w:rsid w:val="004F18E2"/>
    <w:rsid w:val="004F1CEE"/>
    <w:rsid w:val="004F1E7A"/>
    <w:rsid w:val="004F2003"/>
    <w:rsid w:val="004F228C"/>
    <w:rsid w:val="004F243F"/>
    <w:rsid w:val="004F2AEA"/>
    <w:rsid w:val="004F2B9B"/>
    <w:rsid w:val="004F346B"/>
    <w:rsid w:val="004F34F8"/>
    <w:rsid w:val="004F3876"/>
    <w:rsid w:val="004F3A8A"/>
    <w:rsid w:val="004F3D23"/>
    <w:rsid w:val="004F4408"/>
    <w:rsid w:val="004F45EE"/>
    <w:rsid w:val="004F46F5"/>
    <w:rsid w:val="004F4736"/>
    <w:rsid w:val="004F48AD"/>
    <w:rsid w:val="004F499F"/>
    <w:rsid w:val="004F554F"/>
    <w:rsid w:val="004F5AFE"/>
    <w:rsid w:val="004F5E9B"/>
    <w:rsid w:val="004F6162"/>
    <w:rsid w:val="004F6258"/>
    <w:rsid w:val="004F671C"/>
    <w:rsid w:val="004F67B0"/>
    <w:rsid w:val="004F6E8C"/>
    <w:rsid w:val="004F6F0F"/>
    <w:rsid w:val="004F73D8"/>
    <w:rsid w:val="004F7444"/>
    <w:rsid w:val="0050023A"/>
    <w:rsid w:val="00500444"/>
    <w:rsid w:val="00500988"/>
    <w:rsid w:val="00500BC4"/>
    <w:rsid w:val="00500D4D"/>
    <w:rsid w:val="00500DD5"/>
    <w:rsid w:val="00501394"/>
    <w:rsid w:val="00501579"/>
    <w:rsid w:val="00501B1C"/>
    <w:rsid w:val="00501C22"/>
    <w:rsid w:val="00502048"/>
    <w:rsid w:val="0050210E"/>
    <w:rsid w:val="005024E8"/>
    <w:rsid w:val="00502668"/>
    <w:rsid w:val="00502D76"/>
    <w:rsid w:val="00503698"/>
    <w:rsid w:val="00504885"/>
    <w:rsid w:val="005049F8"/>
    <w:rsid w:val="00504AA7"/>
    <w:rsid w:val="00504C1F"/>
    <w:rsid w:val="00504F85"/>
    <w:rsid w:val="005053C2"/>
    <w:rsid w:val="005054D1"/>
    <w:rsid w:val="00505538"/>
    <w:rsid w:val="00505AAB"/>
    <w:rsid w:val="00505C79"/>
    <w:rsid w:val="00505D2F"/>
    <w:rsid w:val="00505E9B"/>
    <w:rsid w:val="00506A53"/>
    <w:rsid w:val="00506B34"/>
    <w:rsid w:val="00506ED0"/>
    <w:rsid w:val="0050727F"/>
    <w:rsid w:val="00507577"/>
    <w:rsid w:val="005101FA"/>
    <w:rsid w:val="00510B60"/>
    <w:rsid w:val="00510BBD"/>
    <w:rsid w:val="00510C5F"/>
    <w:rsid w:val="00510E06"/>
    <w:rsid w:val="00511300"/>
    <w:rsid w:val="005113C1"/>
    <w:rsid w:val="00511420"/>
    <w:rsid w:val="005114D7"/>
    <w:rsid w:val="00511E08"/>
    <w:rsid w:val="00511E60"/>
    <w:rsid w:val="00512106"/>
    <w:rsid w:val="0051267E"/>
    <w:rsid w:val="0051287A"/>
    <w:rsid w:val="00512F1E"/>
    <w:rsid w:val="0051369F"/>
    <w:rsid w:val="0051394E"/>
    <w:rsid w:val="00513B2B"/>
    <w:rsid w:val="00513DB4"/>
    <w:rsid w:val="00513E76"/>
    <w:rsid w:val="00513F05"/>
    <w:rsid w:val="00513F5E"/>
    <w:rsid w:val="0051401E"/>
    <w:rsid w:val="005148F4"/>
    <w:rsid w:val="005149FC"/>
    <w:rsid w:val="00514F41"/>
    <w:rsid w:val="0051506A"/>
    <w:rsid w:val="00515460"/>
    <w:rsid w:val="00515B14"/>
    <w:rsid w:val="00515CB2"/>
    <w:rsid w:val="00515D5C"/>
    <w:rsid w:val="00516016"/>
    <w:rsid w:val="00516541"/>
    <w:rsid w:val="0051672B"/>
    <w:rsid w:val="00516CE7"/>
    <w:rsid w:val="00517AC5"/>
    <w:rsid w:val="00520129"/>
    <w:rsid w:val="00520269"/>
    <w:rsid w:val="0052032F"/>
    <w:rsid w:val="00520891"/>
    <w:rsid w:val="00520ABD"/>
    <w:rsid w:val="00520C1D"/>
    <w:rsid w:val="00520EA4"/>
    <w:rsid w:val="00521247"/>
    <w:rsid w:val="005215D0"/>
    <w:rsid w:val="00521C47"/>
    <w:rsid w:val="005222B6"/>
    <w:rsid w:val="005223CC"/>
    <w:rsid w:val="00522428"/>
    <w:rsid w:val="00522BC9"/>
    <w:rsid w:val="00522DCB"/>
    <w:rsid w:val="00523D32"/>
    <w:rsid w:val="00523EF3"/>
    <w:rsid w:val="00524DEE"/>
    <w:rsid w:val="00524E86"/>
    <w:rsid w:val="00525374"/>
    <w:rsid w:val="0052569B"/>
    <w:rsid w:val="00525820"/>
    <w:rsid w:val="005259B2"/>
    <w:rsid w:val="00525D5F"/>
    <w:rsid w:val="00526596"/>
    <w:rsid w:val="0052685E"/>
    <w:rsid w:val="00526AEE"/>
    <w:rsid w:val="00527509"/>
    <w:rsid w:val="005275EB"/>
    <w:rsid w:val="005276E3"/>
    <w:rsid w:val="00527724"/>
    <w:rsid w:val="00527C5E"/>
    <w:rsid w:val="00530202"/>
    <w:rsid w:val="00530393"/>
    <w:rsid w:val="0053086C"/>
    <w:rsid w:val="00530A49"/>
    <w:rsid w:val="0053116C"/>
    <w:rsid w:val="00531824"/>
    <w:rsid w:val="00531CB9"/>
    <w:rsid w:val="00531F94"/>
    <w:rsid w:val="0053230D"/>
    <w:rsid w:val="00532426"/>
    <w:rsid w:val="00532918"/>
    <w:rsid w:val="005329B3"/>
    <w:rsid w:val="00532B88"/>
    <w:rsid w:val="005331E6"/>
    <w:rsid w:val="00533CA6"/>
    <w:rsid w:val="00533E2D"/>
    <w:rsid w:val="0053406D"/>
    <w:rsid w:val="00534856"/>
    <w:rsid w:val="00534A27"/>
    <w:rsid w:val="00534B14"/>
    <w:rsid w:val="00534B68"/>
    <w:rsid w:val="00534D4C"/>
    <w:rsid w:val="00534F76"/>
    <w:rsid w:val="005355D4"/>
    <w:rsid w:val="005358C2"/>
    <w:rsid w:val="00535BA2"/>
    <w:rsid w:val="00536475"/>
    <w:rsid w:val="005367E0"/>
    <w:rsid w:val="00536948"/>
    <w:rsid w:val="00536CD8"/>
    <w:rsid w:val="00536D01"/>
    <w:rsid w:val="00536F00"/>
    <w:rsid w:val="00536F1C"/>
    <w:rsid w:val="0053718D"/>
    <w:rsid w:val="005376AA"/>
    <w:rsid w:val="00537957"/>
    <w:rsid w:val="00537D67"/>
    <w:rsid w:val="00537FB9"/>
    <w:rsid w:val="00540085"/>
    <w:rsid w:val="00540D10"/>
    <w:rsid w:val="00540DB5"/>
    <w:rsid w:val="005411B9"/>
    <w:rsid w:val="005412B8"/>
    <w:rsid w:val="005416EC"/>
    <w:rsid w:val="0054190C"/>
    <w:rsid w:val="005419AC"/>
    <w:rsid w:val="00541F28"/>
    <w:rsid w:val="00541F59"/>
    <w:rsid w:val="00541FBC"/>
    <w:rsid w:val="005426B9"/>
    <w:rsid w:val="0054288E"/>
    <w:rsid w:val="00542A0C"/>
    <w:rsid w:val="00542BEC"/>
    <w:rsid w:val="00542FC5"/>
    <w:rsid w:val="00542FD7"/>
    <w:rsid w:val="005432CB"/>
    <w:rsid w:val="005434A2"/>
    <w:rsid w:val="005438C5"/>
    <w:rsid w:val="00544226"/>
    <w:rsid w:val="00544476"/>
    <w:rsid w:val="005446F2"/>
    <w:rsid w:val="00544A13"/>
    <w:rsid w:val="00544B1C"/>
    <w:rsid w:val="00544BBA"/>
    <w:rsid w:val="00544F8B"/>
    <w:rsid w:val="00544FA3"/>
    <w:rsid w:val="005450D4"/>
    <w:rsid w:val="005453CE"/>
    <w:rsid w:val="00545619"/>
    <w:rsid w:val="005459AC"/>
    <w:rsid w:val="00545C78"/>
    <w:rsid w:val="00545E78"/>
    <w:rsid w:val="00545EC9"/>
    <w:rsid w:val="005462C0"/>
    <w:rsid w:val="00546A74"/>
    <w:rsid w:val="00546DAA"/>
    <w:rsid w:val="00547407"/>
    <w:rsid w:val="00547453"/>
    <w:rsid w:val="005476BB"/>
    <w:rsid w:val="005478BA"/>
    <w:rsid w:val="00547B9F"/>
    <w:rsid w:val="00547D3A"/>
    <w:rsid w:val="00547F20"/>
    <w:rsid w:val="0055056E"/>
    <w:rsid w:val="0055070F"/>
    <w:rsid w:val="00550E87"/>
    <w:rsid w:val="00551021"/>
    <w:rsid w:val="00551402"/>
    <w:rsid w:val="00551669"/>
    <w:rsid w:val="00551EDC"/>
    <w:rsid w:val="005524CF"/>
    <w:rsid w:val="005524D6"/>
    <w:rsid w:val="00552B5F"/>
    <w:rsid w:val="00552B70"/>
    <w:rsid w:val="00552BE5"/>
    <w:rsid w:val="00552C83"/>
    <w:rsid w:val="00552FB9"/>
    <w:rsid w:val="00553257"/>
    <w:rsid w:val="00553355"/>
    <w:rsid w:val="005534E7"/>
    <w:rsid w:val="00553892"/>
    <w:rsid w:val="00553E7D"/>
    <w:rsid w:val="0055417D"/>
    <w:rsid w:val="005541A0"/>
    <w:rsid w:val="0055427C"/>
    <w:rsid w:val="00554529"/>
    <w:rsid w:val="00554633"/>
    <w:rsid w:val="00554C1C"/>
    <w:rsid w:val="00555884"/>
    <w:rsid w:val="005559E7"/>
    <w:rsid w:val="00555B59"/>
    <w:rsid w:val="00556557"/>
    <w:rsid w:val="00556982"/>
    <w:rsid w:val="005576C7"/>
    <w:rsid w:val="005578BB"/>
    <w:rsid w:val="005601BD"/>
    <w:rsid w:val="005605B5"/>
    <w:rsid w:val="00560B12"/>
    <w:rsid w:val="00560EC8"/>
    <w:rsid w:val="00560ED5"/>
    <w:rsid w:val="00560F0E"/>
    <w:rsid w:val="005610CC"/>
    <w:rsid w:val="00561351"/>
    <w:rsid w:val="005615A5"/>
    <w:rsid w:val="00561635"/>
    <w:rsid w:val="00561CBD"/>
    <w:rsid w:val="0056215C"/>
    <w:rsid w:val="00562C7F"/>
    <w:rsid w:val="00562CA2"/>
    <w:rsid w:val="00562D85"/>
    <w:rsid w:val="00562FCD"/>
    <w:rsid w:val="00563484"/>
    <w:rsid w:val="00563490"/>
    <w:rsid w:val="005636FB"/>
    <w:rsid w:val="00563990"/>
    <w:rsid w:val="00564047"/>
    <w:rsid w:val="00564B76"/>
    <w:rsid w:val="00564FB0"/>
    <w:rsid w:val="00565025"/>
    <w:rsid w:val="00565514"/>
    <w:rsid w:val="005655DD"/>
    <w:rsid w:val="00565AB7"/>
    <w:rsid w:val="00565D87"/>
    <w:rsid w:val="00565E55"/>
    <w:rsid w:val="005661D0"/>
    <w:rsid w:val="00566588"/>
    <w:rsid w:val="00566837"/>
    <w:rsid w:val="00566A70"/>
    <w:rsid w:val="00566BF4"/>
    <w:rsid w:val="00566DDB"/>
    <w:rsid w:val="00566DDE"/>
    <w:rsid w:val="00566FC6"/>
    <w:rsid w:val="0056768B"/>
    <w:rsid w:val="005678F2"/>
    <w:rsid w:val="00567D36"/>
    <w:rsid w:val="00570353"/>
    <w:rsid w:val="00571013"/>
    <w:rsid w:val="00571848"/>
    <w:rsid w:val="0057220A"/>
    <w:rsid w:val="0057236D"/>
    <w:rsid w:val="0057237A"/>
    <w:rsid w:val="005725FA"/>
    <w:rsid w:val="00572793"/>
    <w:rsid w:val="00572E07"/>
    <w:rsid w:val="00573231"/>
    <w:rsid w:val="00573297"/>
    <w:rsid w:val="0057330C"/>
    <w:rsid w:val="00573642"/>
    <w:rsid w:val="00573DD0"/>
    <w:rsid w:val="00573F8C"/>
    <w:rsid w:val="0057423E"/>
    <w:rsid w:val="00574424"/>
    <w:rsid w:val="00574773"/>
    <w:rsid w:val="005753A4"/>
    <w:rsid w:val="0057561C"/>
    <w:rsid w:val="0057567D"/>
    <w:rsid w:val="00576463"/>
    <w:rsid w:val="005766E9"/>
    <w:rsid w:val="00576FDE"/>
    <w:rsid w:val="005770DF"/>
    <w:rsid w:val="00577199"/>
    <w:rsid w:val="00577485"/>
    <w:rsid w:val="005778C2"/>
    <w:rsid w:val="00577A8F"/>
    <w:rsid w:val="005804B3"/>
    <w:rsid w:val="00580507"/>
    <w:rsid w:val="005805E3"/>
    <w:rsid w:val="005806CF"/>
    <w:rsid w:val="00580E6C"/>
    <w:rsid w:val="00581511"/>
    <w:rsid w:val="00581A04"/>
    <w:rsid w:val="00581A4A"/>
    <w:rsid w:val="00581B2E"/>
    <w:rsid w:val="00581E98"/>
    <w:rsid w:val="00582159"/>
    <w:rsid w:val="005825C0"/>
    <w:rsid w:val="00582A9B"/>
    <w:rsid w:val="00582AA3"/>
    <w:rsid w:val="00582CCF"/>
    <w:rsid w:val="00582E2B"/>
    <w:rsid w:val="00582FE3"/>
    <w:rsid w:val="00583258"/>
    <w:rsid w:val="00583316"/>
    <w:rsid w:val="00583EC3"/>
    <w:rsid w:val="00584009"/>
    <w:rsid w:val="00584810"/>
    <w:rsid w:val="005849FC"/>
    <w:rsid w:val="00584C0E"/>
    <w:rsid w:val="00584DF3"/>
    <w:rsid w:val="00584F5E"/>
    <w:rsid w:val="00585139"/>
    <w:rsid w:val="00585283"/>
    <w:rsid w:val="005855FF"/>
    <w:rsid w:val="005859DE"/>
    <w:rsid w:val="00585A32"/>
    <w:rsid w:val="00586269"/>
    <w:rsid w:val="0058642A"/>
    <w:rsid w:val="005868D5"/>
    <w:rsid w:val="005868E9"/>
    <w:rsid w:val="00586974"/>
    <w:rsid w:val="00586A56"/>
    <w:rsid w:val="00586B7C"/>
    <w:rsid w:val="00586BA1"/>
    <w:rsid w:val="00586F10"/>
    <w:rsid w:val="0058735A"/>
    <w:rsid w:val="0058798F"/>
    <w:rsid w:val="00587A74"/>
    <w:rsid w:val="00587B73"/>
    <w:rsid w:val="00587ED0"/>
    <w:rsid w:val="005900E0"/>
    <w:rsid w:val="005903CC"/>
    <w:rsid w:val="00590427"/>
    <w:rsid w:val="00590684"/>
    <w:rsid w:val="00591024"/>
    <w:rsid w:val="005915E6"/>
    <w:rsid w:val="00591AF5"/>
    <w:rsid w:val="00591E0A"/>
    <w:rsid w:val="00591E56"/>
    <w:rsid w:val="005920E8"/>
    <w:rsid w:val="005920EF"/>
    <w:rsid w:val="00592127"/>
    <w:rsid w:val="00592302"/>
    <w:rsid w:val="005923E7"/>
    <w:rsid w:val="0059333F"/>
    <w:rsid w:val="005934AF"/>
    <w:rsid w:val="005937A5"/>
    <w:rsid w:val="00593F38"/>
    <w:rsid w:val="00594054"/>
    <w:rsid w:val="005946B3"/>
    <w:rsid w:val="00594813"/>
    <w:rsid w:val="00595117"/>
    <w:rsid w:val="005956A6"/>
    <w:rsid w:val="00595F2E"/>
    <w:rsid w:val="005964ED"/>
    <w:rsid w:val="00596BE9"/>
    <w:rsid w:val="00596D8D"/>
    <w:rsid w:val="00597037"/>
    <w:rsid w:val="00597178"/>
    <w:rsid w:val="00597493"/>
    <w:rsid w:val="00597535"/>
    <w:rsid w:val="00597795"/>
    <w:rsid w:val="005978E4"/>
    <w:rsid w:val="005A0124"/>
    <w:rsid w:val="005A0161"/>
    <w:rsid w:val="005A04BA"/>
    <w:rsid w:val="005A072E"/>
    <w:rsid w:val="005A0AA7"/>
    <w:rsid w:val="005A0B21"/>
    <w:rsid w:val="005A108A"/>
    <w:rsid w:val="005A111F"/>
    <w:rsid w:val="005A112B"/>
    <w:rsid w:val="005A1A4E"/>
    <w:rsid w:val="005A1AAB"/>
    <w:rsid w:val="005A22CE"/>
    <w:rsid w:val="005A25B3"/>
    <w:rsid w:val="005A2D99"/>
    <w:rsid w:val="005A2F36"/>
    <w:rsid w:val="005A33C5"/>
    <w:rsid w:val="005A366E"/>
    <w:rsid w:val="005A3DCD"/>
    <w:rsid w:val="005A4DBD"/>
    <w:rsid w:val="005A5051"/>
    <w:rsid w:val="005A5377"/>
    <w:rsid w:val="005A5F61"/>
    <w:rsid w:val="005A60FA"/>
    <w:rsid w:val="005A637F"/>
    <w:rsid w:val="005A67F4"/>
    <w:rsid w:val="005A6886"/>
    <w:rsid w:val="005A6BBB"/>
    <w:rsid w:val="005A71E7"/>
    <w:rsid w:val="005A772A"/>
    <w:rsid w:val="005B0242"/>
    <w:rsid w:val="005B0508"/>
    <w:rsid w:val="005B0810"/>
    <w:rsid w:val="005B09CC"/>
    <w:rsid w:val="005B0AE9"/>
    <w:rsid w:val="005B1034"/>
    <w:rsid w:val="005B112B"/>
    <w:rsid w:val="005B1186"/>
    <w:rsid w:val="005B121A"/>
    <w:rsid w:val="005B14C3"/>
    <w:rsid w:val="005B18E8"/>
    <w:rsid w:val="005B1987"/>
    <w:rsid w:val="005B1AAD"/>
    <w:rsid w:val="005B1AB9"/>
    <w:rsid w:val="005B1B1A"/>
    <w:rsid w:val="005B216C"/>
    <w:rsid w:val="005B22FF"/>
    <w:rsid w:val="005B2515"/>
    <w:rsid w:val="005B27E6"/>
    <w:rsid w:val="005B2B19"/>
    <w:rsid w:val="005B2B36"/>
    <w:rsid w:val="005B2B7B"/>
    <w:rsid w:val="005B2B9A"/>
    <w:rsid w:val="005B3112"/>
    <w:rsid w:val="005B315E"/>
    <w:rsid w:val="005B31CA"/>
    <w:rsid w:val="005B36C6"/>
    <w:rsid w:val="005B3770"/>
    <w:rsid w:val="005B383A"/>
    <w:rsid w:val="005B3984"/>
    <w:rsid w:val="005B3B0A"/>
    <w:rsid w:val="005B47B7"/>
    <w:rsid w:val="005B4E15"/>
    <w:rsid w:val="005B4EA1"/>
    <w:rsid w:val="005B5185"/>
    <w:rsid w:val="005B52F6"/>
    <w:rsid w:val="005B5465"/>
    <w:rsid w:val="005B583E"/>
    <w:rsid w:val="005B58AF"/>
    <w:rsid w:val="005B5A50"/>
    <w:rsid w:val="005B5A79"/>
    <w:rsid w:val="005B5F4F"/>
    <w:rsid w:val="005B67A7"/>
    <w:rsid w:val="005B70E3"/>
    <w:rsid w:val="005B7561"/>
    <w:rsid w:val="005B782F"/>
    <w:rsid w:val="005B7B47"/>
    <w:rsid w:val="005B7BD8"/>
    <w:rsid w:val="005C0314"/>
    <w:rsid w:val="005C0761"/>
    <w:rsid w:val="005C0C7E"/>
    <w:rsid w:val="005C0FBD"/>
    <w:rsid w:val="005C159C"/>
    <w:rsid w:val="005C15CD"/>
    <w:rsid w:val="005C1A5E"/>
    <w:rsid w:val="005C1D9C"/>
    <w:rsid w:val="005C223E"/>
    <w:rsid w:val="005C2322"/>
    <w:rsid w:val="005C2354"/>
    <w:rsid w:val="005C2558"/>
    <w:rsid w:val="005C271E"/>
    <w:rsid w:val="005C2971"/>
    <w:rsid w:val="005C2BE7"/>
    <w:rsid w:val="005C368E"/>
    <w:rsid w:val="005C39D8"/>
    <w:rsid w:val="005C3D9B"/>
    <w:rsid w:val="005C3E23"/>
    <w:rsid w:val="005C42AA"/>
    <w:rsid w:val="005C42C1"/>
    <w:rsid w:val="005C4C22"/>
    <w:rsid w:val="005C4E3B"/>
    <w:rsid w:val="005C4EE6"/>
    <w:rsid w:val="005C5051"/>
    <w:rsid w:val="005C544C"/>
    <w:rsid w:val="005C5848"/>
    <w:rsid w:val="005C5949"/>
    <w:rsid w:val="005C62C6"/>
    <w:rsid w:val="005C6978"/>
    <w:rsid w:val="005C6C3C"/>
    <w:rsid w:val="005C6EAA"/>
    <w:rsid w:val="005C7038"/>
    <w:rsid w:val="005C7ABA"/>
    <w:rsid w:val="005C7D17"/>
    <w:rsid w:val="005D00C3"/>
    <w:rsid w:val="005D0428"/>
    <w:rsid w:val="005D0B84"/>
    <w:rsid w:val="005D0E93"/>
    <w:rsid w:val="005D0ED9"/>
    <w:rsid w:val="005D1464"/>
    <w:rsid w:val="005D1614"/>
    <w:rsid w:val="005D16A3"/>
    <w:rsid w:val="005D18C7"/>
    <w:rsid w:val="005D1F34"/>
    <w:rsid w:val="005D202A"/>
    <w:rsid w:val="005D2087"/>
    <w:rsid w:val="005D24E5"/>
    <w:rsid w:val="005D257C"/>
    <w:rsid w:val="005D27ED"/>
    <w:rsid w:val="005D3A0D"/>
    <w:rsid w:val="005D3FD8"/>
    <w:rsid w:val="005D4580"/>
    <w:rsid w:val="005D4AC8"/>
    <w:rsid w:val="005D4CF8"/>
    <w:rsid w:val="005D5055"/>
    <w:rsid w:val="005D53B4"/>
    <w:rsid w:val="005D57BE"/>
    <w:rsid w:val="005D5D09"/>
    <w:rsid w:val="005D5DDF"/>
    <w:rsid w:val="005D61F3"/>
    <w:rsid w:val="005D629F"/>
    <w:rsid w:val="005D650E"/>
    <w:rsid w:val="005D6707"/>
    <w:rsid w:val="005D693D"/>
    <w:rsid w:val="005D6CE0"/>
    <w:rsid w:val="005D6FB0"/>
    <w:rsid w:val="005D7004"/>
    <w:rsid w:val="005D7107"/>
    <w:rsid w:val="005D7CBA"/>
    <w:rsid w:val="005E023D"/>
    <w:rsid w:val="005E0785"/>
    <w:rsid w:val="005E0B31"/>
    <w:rsid w:val="005E0E69"/>
    <w:rsid w:val="005E10CF"/>
    <w:rsid w:val="005E11BC"/>
    <w:rsid w:val="005E1287"/>
    <w:rsid w:val="005E12EA"/>
    <w:rsid w:val="005E193B"/>
    <w:rsid w:val="005E24D0"/>
    <w:rsid w:val="005E2AF8"/>
    <w:rsid w:val="005E3277"/>
    <w:rsid w:val="005E36F7"/>
    <w:rsid w:val="005E429D"/>
    <w:rsid w:val="005E4475"/>
    <w:rsid w:val="005E44C7"/>
    <w:rsid w:val="005E4BD1"/>
    <w:rsid w:val="005E4DF2"/>
    <w:rsid w:val="005E5344"/>
    <w:rsid w:val="005E5867"/>
    <w:rsid w:val="005E5EE8"/>
    <w:rsid w:val="005E635C"/>
    <w:rsid w:val="005E6465"/>
    <w:rsid w:val="005E6A70"/>
    <w:rsid w:val="005E6F4A"/>
    <w:rsid w:val="005E70B6"/>
    <w:rsid w:val="005E75FB"/>
    <w:rsid w:val="005E76BE"/>
    <w:rsid w:val="005E7C56"/>
    <w:rsid w:val="005F0027"/>
    <w:rsid w:val="005F0A9A"/>
    <w:rsid w:val="005F1272"/>
    <w:rsid w:val="005F132B"/>
    <w:rsid w:val="005F1452"/>
    <w:rsid w:val="005F1F82"/>
    <w:rsid w:val="005F209E"/>
    <w:rsid w:val="005F2720"/>
    <w:rsid w:val="005F2790"/>
    <w:rsid w:val="005F291E"/>
    <w:rsid w:val="005F2F1F"/>
    <w:rsid w:val="005F36FF"/>
    <w:rsid w:val="005F3B97"/>
    <w:rsid w:val="005F3F05"/>
    <w:rsid w:val="005F41B8"/>
    <w:rsid w:val="005F4494"/>
    <w:rsid w:val="005F4779"/>
    <w:rsid w:val="005F49A9"/>
    <w:rsid w:val="005F5321"/>
    <w:rsid w:val="005F588F"/>
    <w:rsid w:val="005F58BA"/>
    <w:rsid w:val="005F64A6"/>
    <w:rsid w:val="005F66FA"/>
    <w:rsid w:val="005F68F5"/>
    <w:rsid w:val="005F69CF"/>
    <w:rsid w:val="005F7390"/>
    <w:rsid w:val="005F7E07"/>
    <w:rsid w:val="006004E5"/>
    <w:rsid w:val="00600872"/>
    <w:rsid w:val="00600A5B"/>
    <w:rsid w:val="00600B37"/>
    <w:rsid w:val="00600CD8"/>
    <w:rsid w:val="006012CC"/>
    <w:rsid w:val="00601400"/>
    <w:rsid w:val="00601568"/>
    <w:rsid w:val="00601B74"/>
    <w:rsid w:val="006027B3"/>
    <w:rsid w:val="00602AE9"/>
    <w:rsid w:val="00602D82"/>
    <w:rsid w:val="00602E1C"/>
    <w:rsid w:val="006034EA"/>
    <w:rsid w:val="00603512"/>
    <w:rsid w:val="006038BF"/>
    <w:rsid w:val="00603B09"/>
    <w:rsid w:val="00603C9B"/>
    <w:rsid w:val="00603F58"/>
    <w:rsid w:val="00603FC9"/>
    <w:rsid w:val="006040AE"/>
    <w:rsid w:val="00604606"/>
    <w:rsid w:val="00604774"/>
    <w:rsid w:val="006053C4"/>
    <w:rsid w:val="0060546A"/>
    <w:rsid w:val="006054C1"/>
    <w:rsid w:val="006055E1"/>
    <w:rsid w:val="00605690"/>
    <w:rsid w:val="00605824"/>
    <w:rsid w:val="00605A85"/>
    <w:rsid w:val="00605DF0"/>
    <w:rsid w:val="00606004"/>
    <w:rsid w:val="006061ED"/>
    <w:rsid w:val="0060632E"/>
    <w:rsid w:val="0060634A"/>
    <w:rsid w:val="00606B84"/>
    <w:rsid w:val="006070E9"/>
    <w:rsid w:val="006078CA"/>
    <w:rsid w:val="006102D2"/>
    <w:rsid w:val="00610757"/>
    <w:rsid w:val="00610C86"/>
    <w:rsid w:val="00610FBB"/>
    <w:rsid w:val="00611590"/>
    <w:rsid w:val="00611624"/>
    <w:rsid w:val="00612021"/>
    <w:rsid w:val="0061203C"/>
    <w:rsid w:val="00612173"/>
    <w:rsid w:val="006123B0"/>
    <w:rsid w:val="006127D9"/>
    <w:rsid w:val="00612A38"/>
    <w:rsid w:val="00612A5D"/>
    <w:rsid w:val="00612AE6"/>
    <w:rsid w:val="0061314A"/>
    <w:rsid w:val="00613150"/>
    <w:rsid w:val="00613199"/>
    <w:rsid w:val="006135E7"/>
    <w:rsid w:val="00613FBE"/>
    <w:rsid w:val="006143CE"/>
    <w:rsid w:val="006146B3"/>
    <w:rsid w:val="00614EA4"/>
    <w:rsid w:val="0061501D"/>
    <w:rsid w:val="0061509B"/>
    <w:rsid w:val="006156CF"/>
    <w:rsid w:val="006158AE"/>
    <w:rsid w:val="00615A1E"/>
    <w:rsid w:val="00615CC8"/>
    <w:rsid w:val="006162FA"/>
    <w:rsid w:val="006165AE"/>
    <w:rsid w:val="00616869"/>
    <w:rsid w:val="00616BD3"/>
    <w:rsid w:val="00616C77"/>
    <w:rsid w:val="00616C9A"/>
    <w:rsid w:val="00616EB3"/>
    <w:rsid w:val="0061775C"/>
    <w:rsid w:val="00617BEF"/>
    <w:rsid w:val="00617F69"/>
    <w:rsid w:val="0062028B"/>
    <w:rsid w:val="00620F68"/>
    <w:rsid w:val="006211BF"/>
    <w:rsid w:val="0062138E"/>
    <w:rsid w:val="006215FE"/>
    <w:rsid w:val="0062222D"/>
    <w:rsid w:val="00622476"/>
    <w:rsid w:val="00622526"/>
    <w:rsid w:val="00622EBC"/>
    <w:rsid w:val="006230D6"/>
    <w:rsid w:val="00623120"/>
    <w:rsid w:val="0062327B"/>
    <w:rsid w:val="006234F2"/>
    <w:rsid w:val="00623733"/>
    <w:rsid w:val="006240C4"/>
    <w:rsid w:val="00624377"/>
    <w:rsid w:val="00624C69"/>
    <w:rsid w:val="00625473"/>
    <w:rsid w:val="00625EE5"/>
    <w:rsid w:val="0062643C"/>
    <w:rsid w:val="0062653A"/>
    <w:rsid w:val="00626ACC"/>
    <w:rsid w:val="0062799C"/>
    <w:rsid w:val="00627C18"/>
    <w:rsid w:val="00627C8D"/>
    <w:rsid w:val="00627ED3"/>
    <w:rsid w:val="006302D2"/>
    <w:rsid w:val="006303D3"/>
    <w:rsid w:val="00631909"/>
    <w:rsid w:val="00631D95"/>
    <w:rsid w:val="00633044"/>
    <w:rsid w:val="00633102"/>
    <w:rsid w:val="006331AF"/>
    <w:rsid w:val="006332DD"/>
    <w:rsid w:val="00633357"/>
    <w:rsid w:val="00633412"/>
    <w:rsid w:val="00633A79"/>
    <w:rsid w:val="006340AB"/>
    <w:rsid w:val="0063442C"/>
    <w:rsid w:val="00634495"/>
    <w:rsid w:val="006345B4"/>
    <w:rsid w:val="0063487F"/>
    <w:rsid w:val="006352EF"/>
    <w:rsid w:val="00635B19"/>
    <w:rsid w:val="00635D4E"/>
    <w:rsid w:val="00636124"/>
    <w:rsid w:val="0063640B"/>
    <w:rsid w:val="0063663C"/>
    <w:rsid w:val="0063664D"/>
    <w:rsid w:val="00636ACE"/>
    <w:rsid w:val="00636AF0"/>
    <w:rsid w:val="00636C39"/>
    <w:rsid w:val="00636DA3"/>
    <w:rsid w:val="00636FDF"/>
    <w:rsid w:val="00637049"/>
    <w:rsid w:val="00640519"/>
    <w:rsid w:val="0064062A"/>
    <w:rsid w:val="006409D8"/>
    <w:rsid w:val="00640A23"/>
    <w:rsid w:val="00640A62"/>
    <w:rsid w:val="00640E27"/>
    <w:rsid w:val="00640EB5"/>
    <w:rsid w:val="00640F7D"/>
    <w:rsid w:val="0064131D"/>
    <w:rsid w:val="006414CC"/>
    <w:rsid w:val="00641622"/>
    <w:rsid w:val="0064167D"/>
    <w:rsid w:val="0064168E"/>
    <w:rsid w:val="00641805"/>
    <w:rsid w:val="0064198A"/>
    <w:rsid w:val="00641A84"/>
    <w:rsid w:val="00641AE2"/>
    <w:rsid w:val="00641DA3"/>
    <w:rsid w:val="00642455"/>
    <w:rsid w:val="006425E6"/>
    <w:rsid w:val="00642708"/>
    <w:rsid w:val="00642D57"/>
    <w:rsid w:val="00643237"/>
    <w:rsid w:val="006433C5"/>
    <w:rsid w:val="00643917"/>
    <w:rsid w:val="00644D3A"/>
    <w:rsid w:val="00645440"/>
    <w:rsid w:val="00645581"/>
    <w:rsid w:val="006457B8"/>
    <w:rsid w:val="00645830"/>
    <w:rsid w:val="00645854"/>
    <w:rsid w:val="00645BF3"/>
    <w:rsid w:val="00645D75"/>
    <w:rsid w:val="006462DC"/>
    <w:rsid w:val="0064639E"/>
    <w:rsid w:val="006463BD"/>
    <w:rsid w:val="00646416"/>
    <w:rsid w:val="00646780"/>
    <w:rsid w:val="00646805"/>
    <w:rsid w:val="006469DA"/>
    <w:rsid w:val="00646DD9"/>
    <w:rsid w:val="0064712E"/>
    <w:rsid w:val="006471C3"/>
    <w:rsid w:val="00647C0F"/>
    <w:rsid w:val="006501EB"/>
    <w:rsid w:val="00650654"/>
    <w:rsid w:val="006507A5"/>
    <w:rsid w:val="00651208"/>
    <w:rsid w:val="00651A93"/>
    <w:rsid w:val="00651A98"/>
    <w:rsid w:val="00651B33"/>
    <w:rsid w:val="00651B82"/>
    <w:rsid w:val="00651F36"/>
    <w:rsid w:val="00651F63"/>
    <w:rsid w:val="006520BA"/>
    <w:rsid w:val="006521D2"/>
    <w:rsid w:val="00652288"/>
    <w:rsid w:val="00652367"/>
    <w:rsid w:val="00652E6B"/>
    <w:rsid w:val="00652F4B"/>
    <w:rsid w:val="00653161"/>
    <w:rsid w:val="00653498"/>
    <w:rsid w:val="00653EE7"/>
    <w:rsid w:val="0065403D"/>
    <w:rsid w:val="00654134"/>
    <w:rsid w:val="00654216"/>
    <w:rsid w:val="0065443F"/>
    <w:rsid w:val="006548A2"/>
    <w:rsid w:val="00654AD0"/>
    <w:rsid w:val="00654C6E"/>
    <w:rsid w:val="00654F77"/>
    <w:rsid w:val="00655031"/>
    <w:rsid w:val="0065510D"/>
    <w:rsid w:val="0065518B"/>
    <w:rsid w:val="00655201"/>
    <w:rsid w:val="006552B1"/>
    <w:rsid w:val="0065662C"/>
    <w:rsid w:val="00656708"/>
    <w:rsid w:val="00656902"/>
    <w:rsid w:val="006575E5"/>
    <w:rsid w:val="0065795D"/>
    <w:rsid w:val="00657AE2"/>
    <w:rsid w:val="00657FBF"/>
    <w:rsid w:val="00660366"/>
    <w:rsid w:val="00660B95"/>
    <w:rsid w:val="00660C3C"/>
    <w:rsid w:val="0066120A"/>
    <w:rsid w:val="00661AA0"/>
    <w:rsid w:val="00661E4C"/>
    <w:rsid w:val="00662309"/>
    <w:rsid w:val="00662585"/>
    <w:rsid w:val="0066259F"/>
    <w:rsid w:val="00662D41"/>
    <w:rsid w:val="0066326B"/>
    <w:rsid w:val="00663589"/>
    <w:rsid w:val="00663704"/>
    <w:rsid w:val="00663741"/>
    <w:rsid w:val="00663930"/>
    <w:rsid w:val="00663FEC"/>
    <w:rsid w:val="00665108"/>
    <w:rsid w:val="00665233"/>
    <w:rsid w:val="00665614"/>
    <w:rsid w:val="0066574A"/>
    <w:rsid w:val="00665D46"/>
    <w:rsid w:val="00665D4D"/>
    <w:rsid w:val="00666117"/>
    <w:rsid w:val="00666941"/>
    <w:rsid w:val="006669DA"/>
    <w:rsid w:val="00666CBA"/>
    <w:rsid w:val="00667725"/>
    <w:rsid w:val="006677E0"/>
    <w:rsid w:val="00667904"/>
    <w:rsid w:val="00667EFF"/>
    <w:rsid w:val="006700F6"/>
    <w:rsid w:val="0067019A"/>
    <w:rsid w:val="006701B5"/>
    <w:rsid w:val="00670202"/>
    <w:rsid w:val="006702B7"/>
    <w:rsid w:val="0067115E"/>
    <w:rsid w:val="00671275"/>
    <w:rsid w:val="006715DD"/>
    <w:rsid w:val="00671680"/>
    <w:rsid w:val="0067171E"/>
    <w:rsid w:val="00671D8E"/>
    <w:rsid w:val="006727A5"/>
    <w:rsid w:val="006727BE"/>
    <w:rsid w:val="00672C1E"/>
    <w:rsid w:val="00672DE3"/>
    <w:rsid w:val="006730AA"/>
    <w:rsid w:val="006732BB"/>
    <w:rsid w:val="00673EF8"/>
    <w:rsid w:val="00674389"/>
    <w:rsid w:val="00674DBD"/>
    <w:rsid w:val="00674F2C"/>
    <w:rsid w:val="006754B7"/>
    <w:rsid w:val="00675625"/>
    <w:rsid w:val="00675670"/>
    <w:rsid w:val="00675CE7"/>
    <w:rsid w:val="00675EC5"/>
    <w:rsid w:val="00675F58"/>
    <w:rsid w:val="00676214"/>
    <w:rsid w:val="006763DF"/>
    <w:rsid w:val="00676888"/>
    <w:rsid w:val="00676A33"/>
    <w:rsid w:val="00676B58"/>
    <w:rsid w:val="00677109"/>
    <w:rsid w:val="0067725C"/>
    <w:rsid w:val="006772FD"/>
    <w:rsid w:val="00677332"/>
    <w:rsid w:val="00677A0F"/>
    <w:rsid w:val="00677C6B"/>
    <w:rsid w:val="00677D56"/>
    <w:rsid w:val="00680025"/>
    <w:rsid w:val="0068033F"/>
    <w:rsid w:val="00680481"/>
    <w:rsid w:val="00680A54"/>
    <w:rsid w:val="00680DA0"/>
    <w:rsid w:val="00680F01"/>
    <w:rsid w:val="00681019"/>
    <w:rsid w:val="00681151"/>
    <w:rsid w:val="00681C3F"/>
    <w:rsid w:val="00681C98"/>
    <w:rsid w:val="00681D6B"/>
    <w:rsid w:val="006826BA"/>
    <w:rsid w:val="00682B0A"/>
    <w:rsid w:val="00682B8C"/>
    <w:rsid w:val="00682D2C"/>
    <w:rsid w:val="00682F8E"/>
    <w:rsid w:val="00682FF8"/>
    <w:rsid w:val="00683156"/>
    <w:rsid w:val="006834E7"/>
    <w:rsid w:val="006836D8"/>
    <w:rsid w:val="006837B2"/>
    <w:rsid w:val="0068390F"/>
    <w:rsid w:val="00683A15"/>
    <w:rsid w:val="00683A4C"/>
    <w:rsid w:val="00683BB4"/>
    <w:rsid w:val="00683D10"/>
    <w:rsid w:val="00683E8C"/>
    <w:rsid w:val="00683E96"/>
    <w:rsid w:val="006844D9"/>
    <w:rsid w:val="0068475B"/>
    <w:rsid w:val="00684C69"/>
    <w:rsid w:val="00684F5E"/>
    <w:rsid w:val="006853FB"/>
    <w:rsid w:val="0068585E"/>
    <w:rsid w:val="00685A69"/>
    <w:rsid w:val="00685A6C"/>
    <w:rsid w:val="00685B08"/>
    <w:rsid w:val="00685B21"/>
    <w:rsid w:val="00685DC8"/>
    <w:rsid w:val="00685E24"/>
    <w:rsid w:val="00686B23"/>
    <w:rsid w:val="00687462"/>
    <w:rsid w:val="006874F8"/>
    <w:rsid w:val="00687B64"/>
    <w:rsid w:val="00687D89"/>
    <w:rsid w:val="006900ED"/>
    <w:rsid w:val="006902A7"/>
    <w:rsid w:val="00690607"/>
    <w:rsid w:val="0069097C"/>
    <w:rsid w:val="00690A44"/>
    <w:rsid w:val="00690FC3"/>
    <w:rsid w:val="00691A10"/>
    <w:rsid w:val="00691DF1"/>
    <w:rsid w:val="00691FE2"/>
    <w:rsid w:val="0069273D"/>
    <w:rsid w:val="006928A1"/>
    <w:rsid w:val="00692ECE"/>
    <w:rsid w:val="00692ECF"/>
    <w:rsid w:val="0069367C"/>
    <w:rsid w:val="00693682"/>
    <w:rsid w:val="00694225"/>
    <w:rsid w:val="006942B5"/>
    <w:rsid w:val="00694361"/>
    <w:rsid w:val="0069470C"/>
    <w:rsid w:val="006947BB"/>
    <w:rsid w:val="006950E4"/>
    <w:rsid w:val="00695452"/>
    <w:rsid w:val="00695910"/>
    <w:rsid w:val="00696251"/>
    <w:rsid w:val="00696414"/>
    <w:rsid w:val="0069691A"/>
    <w:rsid w:val="00696A9E"/>
    <w:rsid w:val="00696C1C"/>
    <w:rsid w:val="00696E94"/>
    <w:rsid w:val="00696F30"/>
    <w:rsid w:val="006974D5"/>
    <w:rsid w:val="00697B03"/>
    <w:rsid w:val="006A0204"/>
    <w:rsid w:val="006A0860"/>
    <w:rsid w:val="006A0A71"/>
    <w:rsid w:val="006A0B1D"/>
    <w:rsid w:val="006A0D8A"/>
    <w:rsid w:val="006A0DE7"/>
    <w:rsid w:val="006A11AC"/>
    <w:rsid w:val="006A18E9"/>
    <w:rsid w:val="006A2332"/>
    <w:rsid w:val="006A2885"/>
    <w:rsid w:val="006A2C36"/>
    <w:rsid w:val="006A3000"/>
    <w:rsid w:val="006A32ED"/>
    <w:rsid w:val="006A38F9"/>
    <w:rsid w:val="006A3BBE"/>
    <w:rsid w:val="006A3CCF"/>
    <w:rsid w:val="006A3F81"/>
    <w:rsid w:val="006A43F2"/>
    <w:rsid w:val="006A4591"/>
    <w:rsid w:val="006A45A8"/>
    <w:rsid w:val="006A4B5B"/>
    <w:rsid w:val="006A4CEB"/>
    <w:rsid w:val="006A4E9E"/>
    <w:rsid w:val="006A4FE5"/>
    <w:rsid w:val="006A58EF"/>
    <w:rsid w:val="006A5B68"/>
    <w:rsid w:val="006A5DBC"/>
    <w:rsid w:val="006A626D"/>
    <w:rsid w:val="006A67C8"/>
    <w:rsid w:val="006A6BF3"/>
    <w:rsid w:val="006A6C95"/>
    <w:rsid w:val="006A7457"/>
    <w:rsid w:val="006A748F"/>
    <w:rsid w:val="006A7B56"/>
    <w:rsid w:val="006A7CAB"/>
    <w:rsid w:val="006A7D83"/>
    <w:rsid w:val="006A7E51"/>
    <w:rsid w:val="006A7ECC"/>
    <w:rsid w:val="006B039A"/>
    <w:rsid w:val="006B0504"/>
    <w:rsid w:val="006B0540"/>
    <w:rsid w:val="006B07F0"/>
    <w:rsid w:val="006B09A6"/>
    <w:rsid w:val="006B0AF7"/>
    <w:rsid w:val="006B0B08"/>
    <w:rsid w:val="006B115F"/>
    <w:rsid w:val="006B18F6"/>
    <w:rsid w:val="006B1924"/>
    <w:rsid w:val="006B197A"/>
    <w:rsid w:val="006B1BA4"/>
    <w:rsid w:val="006B1F5B"/>
    <w:rsid w:val="006B207D"/>
    <w:rsid w:val="006B2604"/>
    <w:rsid w:val="006B270B"/>
    <w:rsid w:val="006B28D7"/>
    <w:rsid w:val="006B3440"/>
    <w:rsid w:val="006B3782"/>
    <w:rsid w:val="006B379C"/>
    <w:rsid w:val="006B3F3D"/>
    <w:rsid w:val="006B424B"/>
    <w:rsid w:val="006B43F0"/>
    <w:rsid w:val="006B475F"/>
    <w:rsid w:val="006B4957"/>
    <w:rsid w:val="006B4AA1"/>
    <w:rsid w:val="006B4AD1"/>
    <w:rsid w:val="006B4C1B"/>
    <w:rsid w:val="006B4F2B"/>
    <w:rsid w:val="006B4F6A"/>
    <w:rsid w:val="006B53D2"/>
    <w:rsid w:val="006B5848"/>
    <w:rsid w:val="006B5D07"/>
    <w:rsid w:val="006B60E9"/>
    <w:rsid w:val="006B62C7"/>
    <w:rsid w:val="006B66E8"/>
    <w:rsid w:val="006B6CEC"/>
    <w:rsid w:val="006B6D5D"/>
    <w:rsid w:val="006B6FC9"/>
    <w:rsid w:val="006B70DF"/>
    <w:rsid w:val="006B769F"/>
    <w:rsid w:val="006B7A23"/>
    <w:rsid w:val="006B7DE4"/>
    <w:rsid w:val="006B7DF1"/>
    <w:rsid w:val="006C02BB"/>
    <w:rsid w:val="006C0405"/>
    <w:rsid w:val="006C0581"/>
    <w:rsid w:val="006C090B"/>
    <w:rsid w:val="006C0B5E"/>
    <w:rsid w:val="006C0D02"/>
    <w:rsid w:val="006C0EA0"/>
    <w:rsid w:val="006C0ED7"/>
    <w:rsid w:val="006C0FE5"/>
    <w:rsid w:val="006C13B1"/>
    <w:rsid w:val="006C13CB"/>
    <w:rsid w:val="006C153C"/>
    <w:rsid w:val="006C161A"/>
    <w:rsid w:val="006C1D9D"/>
    <w:rsid w:val="006C1E39"/>
    <w:rsid w:val="006C2410"/>
    <w:rsid w:val="006C2627"/>
    <w:rsid w:val="006C269B"/>
    <w:rsid w:val="006C26DB"/>
    <w:rsid w:val="006C281A"/>
    <w:rsid w:val="006C2AC9"/>
    <w:rsid w:val="006C2B03"/>
    <w:rsid w:val="006C2CD3"/>
    <w:rsid w:val="006C341C"/>
    <w:rsid w:val="006C3426"/>
    <w:rsid w:val="006C3811"/>
    <w:rsid w:val="006C3C3D"/>
    <w:rsid w:val="006C3D72"/>
    <w:rsid w:val="006C3DD7"/>
    <w:rsid w:val="006C3FBA"/>
    <w:rsid w:val="006C4025"/>
    <w:rsid w:val="006C4582"/>
    <w:rsid w:val="006C4682"/>
    <w:rsid w:val="006C4CDD"/>
    <w:rsid w:val="006C51C7"/>
    <w:rsid w:val="006C536E"/>
    <w:rsid w:val="006C5478"/>
    <w:rsid w:val="006C552D"/>
    <w:rsid w:val="006C572C"/>
    <w:rsid w:val="006C5E66"/>
    <w:rsid w:val="006C607D"/>
    <w:rsid w:val="006C6221"/>
    <w:rsid w:val="006C695E"/>
    <w:rsid w:val="006C71C5"/>
    <w:rsid w:val="006C7208"/>
    <w:rsid w:val="006C72CC"/>
    <w:rsid w:val="006C7F7E"/>
    <w:rsid w:val="006D05AC"/>
    <w:rsid w:val="006D0B0E"/>
    <w:rsid w:val="006D0C9A"/>
    <w:rsid w:val="006D0FD6"/>
    <w:rsid w:val="006D15D8"/>
    <w:rsid w:val="006D1888"/>
    <w:rsid w:val="006D1A22"/>
    <w:rsid w:val="006D1E6C"/>
    <w:rsid w:val="006D2905"/>
    <w:rsid w:val="006D295D"/>
    <w:rsid w:val="006D2A56"/>
    <w:rsid w:val="006D3060"/>
    <w:rsid w:val="006D3EA7"/>
    <w:rsid w:val="006D41E9"/>
    <w:rsid w:val="006D4C70"/>
    <w:rsid w:val="006D4EB2"/>
    <w:rsid w:val="006D4EBD"/>
    <w:rsid w:val="006D51E6"/>
    <w:rsid w:val="006D537F"/>
    <w:rsid w:val="006D53B1"/>
    <w:rsid w:val="006D546A"/>
    <w:rsid w:val="006D58FD"/>
    <w:rsid w:val="006D5B8B"/>
    <w:rsid w:val="006D5E02"/>
    <w:rsid w:val="006D6054"/>
    <w:rsid w:val="006D60AC"/>
    <w:rsid w:val="006D61F8"/>
    <w:rsid w:val="006D6692"/>
    <w:rsid w:val="006D6BD0"/>
    <w:rsid w:val="006D6D34"/>
    <w:rsid w:val="006D76B5"/>
    <w:rsid w:val="006D7C0A"/>
    <w:rsid w:val="006D7D79"/>
    <w:rsid w:val="006D7E0A"/>
    <w:rsid w:val="006E0042"/>
    <w:rsid w:val="006E00BE"/>
    <w:rsid w:val="006E03BA"/>
    <w:rsid w:val="006E0439"/>
    <w:rsid w:val="006E054E"/>
    <w:rsid w:val="006E06C2"/>
    <w:rsid w:val="006E070C"/>
    <w:rsid w:val="006E07A2"/>
    <w:rsid w:val="006E0962"/>
    <w:rsid w:val="006E0B39"/>
    <w:rsid w:val="006E0CDA"/>
    <w:rsid w:val="006E136B"/>
    <w:rsid w:val="006E174E"/>
    <w:rsid w:val="006E1AE7"/>
    <w:rsid w:val="006E1D71"/>
    <w:rsid w:val="006E1E14"/>
    <w:rsid w:val="006E21E0"/>
    <w:rsid w:val="006E2347"/>
    <w:rsid w:val="006E2586"/>
    <w:rsid w:val="006E261E"/>
    <w:rsid w:val="006E31C5"/>
    <w:rsid w:val="006E3473"/>
    <w:rsid w:val="006E35EC"/>
    <w:rsid w:val="006E38AD"/>
    <w:rsid w:val="006E38B8"/>
    <w:rsid w:val="006E3B93"/>
    <w:rsid w:val="006E3C5D"/>
    <w:rsid w:val="006E3D1F"/>
    <w:rsid w:val="006E438D"/>
    <w:rsid w:val="006E44E7"/>
    <w:rsid w:val="006E496A"/>
    <w:rsid w:val="006E51AE"/>
    <w:rsid w:val="006E542D"/>
    <w:rsid w:val="006E544E"/>
    <w:rsid w:val="006E5AD1"/>
    <w:rsid w:val="006E5AD3"/>
    <w:rsid w:val="006E5C0F"/>
    <w:rsid w:val="006E69FF"/>
    <w:rsid w:val="006E6CE9"/>
    <w:rsid w:val="006E762E"/>
    <w:rsid w:val="006E763C"/>
    <w:rsid w:val="006F017F"/>
    <w:rsid w:val="006F0272"/>
    <w:rsid w:val="006F0515"/>
    <w:rsid w:val="006F0528"/>
    <w:rsid w:val="006F05C3"/>
    <w:rsid w:val="006F0626"/>
    <w:rsid w:val="006F078C"/>
    <w:rsid w:val="006F1AFD"/>
    <w:rsid w:val="006F1C9B"/>
    <w:rsid w:val="006F1EC9"/>
    <w:rsid w:val="006F257B"/>
    <w:rsid w:val="006F2CC1"/>
    <w:rsid w:val="006F345D"/>
    <w:rsid w:val="006F38B8"/>
    <w:rsid w:val="006F3D09"/>
    <w:rsid w:val="006F3D64"/>
    <w:rsid w:val="006F3F57"/>
    <w:rsid w:val="006F4206"/>
    <w:rsid w:val="006F445F"/>
    <w:rsid w:val="006F4C5E"/>
    <w:rsid w:val="006F4F3B"/>
    <w:rsid w:val="006F5A2D"/>
    <w:rsid w:val="006F5B00"/>
    <w:rsid w:val="006F5B2B"/>
    <w:rsid w:val="006F5E6C"/>
    <w:rsid w:val="006F6227"/>
    <w:rsid w:val="006F6248"/>
    <w:rsid w:val="006F64BA"/>
    <w:rsid w:val="006F6521"/>
    <w:rsid w:val="006F6707"/>
    <w:rsid w:val="006F68E4"/>
    <w:rsid w:val="006F7178"/>
    <w:rsid w:val="007008E7"/>
    <w:rsid w:val="00700C0F"/>
    <w:rsid w:val="00700C81"/>
    <w:rsid w:val="0070145B"/>
    <w:rsid w:val="0070158C"/>
    <w:rsid w:val="0070165C"/>
    <w:rsid w:val="007017C0"/>
    <w:rsid w:val="00701E0C"/>
    <w:rsid w:val="00701E60"/>
    <w:rsid w:val="00701FEA"/>
    <w:rsid w:val="007023DC"/>
    <w:rsid w:val="00703131"/>
    <w:rsid w:val="007036D4"/>
    <w:rsid w:val="00703856"/>
    <w:rsid w:val="00703B84"/>
    <w:rsid w:val="00704033"/>
    <w:rsid w:val="007041F9"/>
    <w:rsid w:val="0070436E"/>
    <w:rsid w:val="00705346"/>
    <w:rsid w:val="00705539"/>
    <w:rsid w:val="00705646"/>
    <w:rsid w:val="00706201"/>
    <w:rsid w:val="00706670"/>
    <w:rsid w:val="007073E6"/>
    <w:rsid w:val="00707AD4"/>
    <w:rsid w:val="007100DF"/>
    <w:rsid w:val="00710349"/>
    <w:rsid w:val="0071041C"/>
    <w:rsid w:val="00710597"/>
    <w:rsid w:val="00710D00"/>
    <w:rsid w:val="00710F8B"/>
    <w:rsid w:val="00711732"/>
    <w:rsid w:val="00711743"/>
    <w:rsid w:val="007118D0"/>
    <w:rsid w:val="007119CC"/>
    <w:rsid w:val="007121E2"/>
    <w:rsid w:val="007124D8"/>
    <w:rsid w:val="00712692"/>
    <w:rsid w:val="00712EDE"/>
    <w:rsid w:val="00713B77"/>
    <w:rsid w:val="007140EB"/>
    <w:rsid w:val="00714405"/>
    <w:rsid w:val="00714871"/>
    <w:rsid w:val="00714DD8"/>
    <w:rsid w:val="00715305"/>
    <w:rsid w:val="00715D8A"/>
    <w:rsid w:val="00715F0B"/>
    <w:rsid w:val="007165E8"/>
    <w:rsid w:val="00716B72"/>
    <w:rsid w:val="00716D78"/>
    <w:rsid w:val="00716D82"/>
    <w:rsid w:val="00716F42"/>
    <w:rsid w:val="00717120"/>
    <w:rsid w:val="0071755C"/>
    <w:rsid w:val="00717670"/>
    <w:rsid w:val="0071798D"/>
    <w:rsid w:val="00720116"/>
    <w:rsid w:val="00720B27"/>
    <w:rsid w:val="0072108E"/>
    <w:rsid w:val="007212FB"/>
    <w:rsid w:val="0072202C"/>
    <w:rsid w:val="00722902"/>
    <w:rsid w:val="0072296B"/>
    <w:rsid w:val="00722AF1"/>
    <w:rsid w:val="00722CB3"/>
    <w:rsid w:val="00722D9C"/>
    <w:rsid w:val="007232DD"/>
    <w:rsid w:val="00723566"/>
    <w:rsid w:val="007239FD"/>
    <w:rsid w:val="00723A72"/>
    <w:rsid w:val="00723AD9"/>
    <w:rsid w:val="00723C77"/>
    <w:rsid w:val="00723D05"/>
    <w:rsid w:val="00723FE0"/>
    <w:rsid w:val="00724116"/>
    <w:rsid w:val="00724117"/>
    <w:rsid w:val="007241EA"/>
    <w:rsid w:val="0072464D"/>
    <w:rsid w:val="00724650"/>
    <w:rsid w:val="007249AC"/>
    <w:rsid w:val="00724EB3"/>
    <w:rsid w:val="00724FED"/>
    <w:rsid w:val="007250EC"/>
    <w:rsid w:val="007252B7"/>
    <w:rsid w:val="0072557B"/>
    <w:rsid w:val="007256D7"/>
    <w:rsid w:val="00725888"/>
    <w:rsid w:val="00725F90"/>
    <w:rsid w:val="00726354"/>
    <w:rsid w:val="0072676F"/>
    <w:rsid w:val="0072681C"/>
    <w:rsid w:val="00726C0C"/>
    <w:rsid w:val="00726D13"/>
    <w:rsid w:val="00726D15"/>
    <w:rsid w:val="00726F15"/>
    <w:rsid w:val="00726FA4"/>
    <w:rsid w:val="0072729F"/>
    <w:rsid w:val="00727477"/>
    <w:rsid w:val="0072774D"/>
    <w:rsid w:val="00727A54"/>
    <w:rsid w:val="00727AB3"/>
    <w:rsid w:val="007304D0"/>
    <w:rsid w:val="00730588"/>
    <w:rsid w:val="00730C9A"/>
    <w:rsid w:val="00730E37"/>
    <w:rsid w:val="00730F61"/>
    <w:rsid w:val="0073108D"/>
    <w:rsid w:val="007321B1"/>
    <w:rsid w:val="0073232B"/>
    <w:rsid w:val="0073244C"/>
    <w:rsid w:val="00732610"/>
    <w:rsid w:val="00732F2C"/>
    <w:rsid w:val="00733BD2"/>
    <w:rsid w:val="00733D40"/>
    <w:rsid w:val="00733D8D"/>
    <w:rsid w:val="007349FB"/>
    <w:rsid w:val="00734E60"/>
    <w:rsid w:val="00735F8E"/>
    <w:rsid w:val="007361DA"/>
    <w:rsid w:val="00736371"/>
    <w:rsid w:val="007367F4"/>
    <w:rsid w:val="00736BFD"/>
    <w:rsid w:val="00737194"/>
    <w:rsid w:val="00737568"/>
    <w:rsid w:val="0073760A"/>
    <w:rsid w:val="0073769A"/>
    <w:rsid w:val="0073792D"/>
    <w:rsid w:val="00737ADE"/>
    <w:rsid w:val="00737DA8"/>
    <w:rsid w:val="007403D3"/>
    <w:rsid w:val="0074056C"/>
    <w:rsid w:val="007406C7"/>
    <w:rsid w:val="00740A65"/>
    <w:rsid w:val="00740A76"/>
    <w:rsid w:val="00740B03"/>
    <w:rsid w:val="00740BBE"/>
    <w:rsid w:val="00741D3B"/>
    <w:rsid w:val="00742234"/>
    <w:rsid w:val="00742774"/>
    <w:rsid w:val="00742845"/>
    <w:rsid w:val="00742CAF"/>
    <w:rsid w:val="007430A1"/>
    <w:rsid w:val="007430A7"/>
    <w:rsid w:val="0074336E"/>
    <w:rsid w:val="007435B2"/>
    <w:rsid w:val="00743AB4"/>
    <w:rsid w:val="0074415B"/>
    <w:rsid w:val="007444AF"/>
    <w:rsid w:val="00744580"/>
    <w:rsid w:val="007445CD"/>
    <w:rsid w:val="00744D4A"/>
    <w:rsid w:val="00744E01"/>
    <w:rsid w:val="00745016"/>
    <w:rsid w:val="0074544E"/>
    <w:rsid w:val="00745C8C"/>
    <w:rsid w:val="007466AF"/>
    <w:rsid w:val="00746818"/>
    <w:rsid w:val="00746C95"/>
    <w:rsid w:val="00746CA1"/>
    <w:rsid w:val="00747232"/>
    <w:rsid w:val="007477FA"/>
    <w:rsid w:val="00747815"/>
    <w:rsid w:val="00747955"/>
    <w:rsid w:val="00747968"/>
    <w:rsid w:val="00747CFF"/>
    <w:rsid w:val="00747DA1"/>
    <w:rsid w:val="00750317"/>
    <w:rsid w:val="0075047E"/>
    <w:rsid w:val="00750D94"/>
    <w:rsid w:val="0075162A"/>
    <w:rsid w:val="007518A7"/>
    <w:rsid w:val="00751B64"/>
    <w:rsid w:val="00751CE5"/>
    <w:rsid w:val="0075206B"/>
    <w:rsid w:val="0075246C"/>
    <w:rsid w:val="0075259F"/>
    <w:rsid w:val="007526F3"/>
    <w:rsid w:val="00753058"/>
    <w:rsid w:val="00753A08"/>
    <w:rsid w:val="00754246"/>
    <w:rsid w:val="00754828"/>
    <w:rsid w:val="00754CBC"/>
    <w:rsid w:val="00754EE8"/>
    <w:rsid w:val="0075520B"/>
    <w:rsid w:val="0075537A"/>
    <w:rsid w:val="0075559A"/>
    <w:rsid w:val="00755DD4"/>
    <w:rsid w:val="007560C4"/>
    <w:rsid w:val="007572CB"/>
    <w:rsid w:val="007575D3"/>
    <w:rsid w:val="0075763C"/>
    <w:rsid w:val="00757754"/>
    <w:rsid w:val="00757996"/>
    <w:rsid w:val="00757AB7"/>
    <w:rsid w:val="0076006D"/>
    <w:rsid w:val="007602D6"/>
    <w:rsid w:val="00760485"/>
    <w:rsid w:val="007612AA"/>
    <w:rsid w:val="00761506"/>
    <w:rsid w:val="0076154D"/>
    <w:rsid w:val="00761B2B"/>
    <w:rsid w:val="00761E2D"/>
    <w:rsid w:val="00761E81"/>
    <w:rsid w:val="0076212E"/>
    <w:rsid w:val="0076288D"/>
    <w:rsid w:val="00762EEC"/>
    <w:rsid w:val="00762F58"/>
    <w:rsid w:val="007631FE"/>
    <w:rsid w:val="007632EC"/>
    <w:rsid w:val="0076346B"/>
    <w:rsid w:val="007635F7"/>
    <w:rsid w:val="00763679"/>
    <w:rsid w:val="00763AF3"/>
    <w:rsid w:val="00763EA7"/>
    <w:rsid w:val="00763F0E"/>
    <w:rsid w:val="0076442B"/>
    <w:rsid w:val="007644CF"/>
    <w:rsid w:val="0076474D"/>
    <w:rsid w:val="007648CA"/>
    <w:rsid w:val="00765029"/>
    <w:rsid w:val="00765A6B"/>
    <w:rsid w:val="00765F86"/>
    <w:rsid w:val="00766241"/>
    <w:rsid w:val="00766299"/>
    <w:rsid w:val="00766528"/>
    <w:rsid w:val="0076665B"/>
    <w:rsid w:val="00766E97"/>
    <w:rsid w:val="007675BF"/>
    <w:rsid w:val="00767D93"/>
    <w:rsid w:val="00767FEB"/>
    <w:rsid w:val="00770032"/>
    <w:rsid w:val="00770534"/>
    <w:rsid w:val="007718A0"/>
    <w:rsid w:val="00771A05"/>
    <w:rsid w:val="00771E4E"/>
    <w:rsid w:val="007720AB"/>
    <w:rsid w:val="0077224C"/>
    <w:rsid w:val="00772CAA"/>
    <w:rsid w:val="007737BF"/>
    <w:rsid w:val="00773CF3"/>
    <w:rsid w:val="00773F8C"/>
    <w:rsid w:val="00774B83"/>
    <w:rsid w:val="00774CD6"/>
    <w:rsid w:val="00774CE5"/>
    <w:rsid w:val="00774E16"/>
    <w:rsid w:val="00775DA5"/>
    <w:rsid w:val="00776455"/>
    <w:rsid w:val="00776496"/>
    <w:rsid w:val="007764FC"/>
    <w:rsid w:val="007768C5"/>
    <w:rsid w:val="00776ABA"/>
    <w:rsid w:val="00776BA1"/>
    <w:rsid w:val="00777293"/>
    <w:rsid w:val="007773E3"/>
    <w:rsid w:val="007775D1"/>
    <w:rsid w:val="00777906"/>
    <w:rsid w:val="007802C3"/>
    <w:rsid w:val="0078076A"/>
    <w:rsid w:val="00780861"/>
    <w:rsid w:val="0078098F"/>
    <w:rsid w:val="007810C1"/>
    <w:rsid w:val="0078131A"/>
    <w:rsid w:val="007817D4"/>
    <w:rsid w:val="00781938"/>
    <w:rsid w:val="00781A79"/>
    <w:rsid w:val="007825F0"/>
    <w:rsid w:val="00783127"/>
    <w:rsid w:val="00783239"/>
    <w:rsid w:val="00783756"/>
    <w:rsid w:val="00783B27"/>
    <w:rsid w:val="00783D2B"/>
    <w:rsid w:val="007844F0"/>
    <w:rsid w:val="0078465D"/>
    <w:rsid w:val="007847F8"/>
    <w:rsid w:val="00784A56"/>
    <w:rsid w:val="00785175"/>
    <w:rsid w:val="00785281"/>
    <w:rsid w:val="007852AD"/>
    <w:rsid w:val="00785546"/>
    <w:rsid w:val="00785ABC"/>
    <w:rsid w:val="00785B60"/>
    <w:rsid w:val="00785BD5"/>
    <w:rsid w:val="0078684D"/>
    <w:rsid w:val="00786D35"/>
    <w:rsid w:val="00786F4C"/>
    <w:rsid w:val="00786FF1"/>
    <w:rsid w:val="007875FF"/>
    <w:rsid w:val="007878D4"/>
    <w:rsid w:val="00787954"/>
    <w:rsid w:val="00787A2E"/>
    <w:rsid w:val="00787A4D"/>
    <w:rsid w:val="00787EF0"/>
    <w:rsid w:val="007900B0"/>
    <w:rsid w:val="00790616"/>
    <w:rsid w:val="00790BC8"/>
    <w:rsid w:val="00790F58"/>
    <w:rsid w:val="0079196D"/>
    <w:rsid w:val="00791BFA"/>
    <w:rsid w:val="007922FD"/>
    <w:rsid w:val="00792470"/>
    <w:rsid w:val="00792B43"/>
    <w:rsid w:val="00792CEE"/>
    <w:rsid w:val="00792FDE"/>
    <w:rsid w:val="007931CE"/>
    <w:rsid w:val="007936DA"/>
    <w:rsid w:val="0079373C"/>
    <w:rsid w:val="00793986"/>
    <w:rsid w:val="00793CD7"/>
    <w:rsid w:val="00794186"/>
    <w:rsid w:val="00794486"/>
    <w:rsid w:val="00794604"/>
    <w:rsid w:val="00794631"/>
    <w:rsid w:val="00794674"/>
    <w:rsid w:val="00794957"/>
    <w:rsid w:val="00794A70"/>
    <w:rsid w:val="00794D46"/>
    <w:rsid w:val="00795146"/>
    <w:rsid w:val="007956DC"/>
    <w:rsid w:val="00795B90"/>
    <w:rsid w:val="00796246"/>
    <w:rsid w:val="00796E45"/>
    <w:rsid w:val="00796E97"/>
    <w:rsid w:val="00797194"/>
    <w:rsid w:val="00797383"/>
    <w:rsid w:val="007974AD"/>
    <w:rsid w:val="0079750E"/>
    <w:rsid w:val="00797829"/>
    <w:rsid w:val="00797856"/>
    <w:rsid w:val="00797EF3"/>
    <w:rsid w:val="007A00D2"/>
    <w:rsid w:val="007A059C"/>
    <w:rsid w:val="007A07FB"/>
    <w:rsid w:val="007A0D78"/>
    <w:rsid w:val="007A103C"/>
    <w:rsid w:val="007A1F90"/>
    <w:rsid w:val="007A220E"/>
    <w:rsid w:val="007A255A"/>
    <w:rsid w:val="007A338E"/>
    <w:rsid w:val="007A340F"/>
    <w:rsid w:val="007A3834"/>
    <w:rsid w:val="007A4084"/>
    <w:rsid w:val="007A41AB"/>
    <w:rsid w:val="007A4297"/>
    <w:rsid w:val="007A4366"/>
    <w:rsid w:val="007A50FB"/>
    <w:rsid w:val="007A5A1A"/>
    <w:rsid w:val="007A5B03"/>
    <w:rsid w:val="007A5D2A"/>
    <w:rsid w:val="007A6574"/>
    <w:rsid w:val="007A6AB1"/>
    <w:rsid w:val="007A75CC"/>
    <w:rsid w:val="007A76EA"/>
    <w:rsid w:val="007A793B"/>
    <w:rsid w:val="007B024F"/>
    <w:rsid w:val="007B0793"/>
    <w:rsid w:val="007B0BF9"/>
    <w:rsid w:val="007B0D1E"/>
    <w:rsid w:val="007B0FDB"/>
    <w:rsid w:val="007B1D0D"/>
    <w:rsid w:val="007B24E7"/>
    <w:rsid w:val="007B2BBC"/>
    <w:rsid w:val="007B3458"/>
    <w:rsid w:val="007B3F51"/>
    <w:rsid w:val="007B44E0"/>
    <w:rsid w:val="007B5A9D"/>
    <w:rsid w:val="007B5CEB"/>
    <w:rsid w:val="007B5E8E"/>
    <w:rsid w:val="007B668D"/>
    <w:rsid w:val="007B6693"/>
    <w:rsid w:val="007B69C3"/>
    <w:rsid w:val="007B6B02"/>
    <w:rsid w:val="007B6FBA"/>
    <w:rsid w:val="007B6FFC"/>
    <w:rsid w:val="007B75B0"/>
    <w:rsid w:val="007C0057"/>
    <w:rsid w:val="007C0258"/>
    <w:rsid w:val="007C0298"/>
    <w:rsid w:val="007C03F8"/>
    <w:rsid w:val="007C0432"/>
    <w:rsid w:val="007C1175"/>
    <w:rsid w:val="007C199C"/>
    <w:rsid w:val="007C19AA"/>
    <w:rsid w:val="007C1FF4"/>
    <w:rsid w:val="007C23C4"/>
    <w:rsid w:val="007C25A2"/>
    <w:rsid w:val="007C26B2"/>
    <w:rsid w:val="007C32BA"/>
    <w:rsid w:val="007C3CC7"/>
    <w:rsid w:val="007C4240"/>
    <w:rsid w:val="007C4518"/>
    <w:rsid w:val="007C4A59"/>
    <w:rsid w:val="007C4C41"/>
    <w:rsid w:val="007C4DA1"/>
    <w:rsid w:val="007C5135"/>
    <w:rsid w:val="007C526E"/>
    <w:rsid w:val="007C5B28"/>
    <w:rsid w:val="007C5B74"/>
    <w:rsid w:val="007C5DCF"/>
    <w:rsid w:val="007C6325"/>
    <w:rsid w:val="007C6370"/>
    <w:rsid w:val="007C69B8"/>
    <w:rsid w:val="007C6D8C"/>
    <w:rsid w:val="007C6E34"/>
    <w:rsid w:val="007C79C5"/>
    <w:rsid w:val="007C7D58"/>
    <w:rsid w:val="007C7D5E"/>
    <w:rsid w:val="007C7E6F"/>
    <w:rsid w:val="007C7F37"/>
    <w:rsid w:val="007D03D7"/>
    <w:rsid w:val="007D0E9C"/>
    <w:rsid w:val="007D0EF8"/>
    <w:rsid w:val="007D14DD"/>
    <w:rsid w:val="007D17E3"/>
    <w:rsid w:val="007D1BDA"/>
    <w:rsid w:val="007D1E11"/>
    <w:rsid w:val="007D2473"/>
    <w:rsid w:val="007D26D3"/>
    <w:rsid w:val="007D2CE0"/>
    <w:rsid w:val="007D2DF9"/>
    <w:rsid w:val="007D307B"/>
    <w:rsid w:val="007D30B8"/>
    <w:rsid w:val="007D333A"/>
    <w:rsid w:val="007D3B5C"/>
    <w:rsid w:val="007D3CF3"/>
    <w:rsid w:val="007D4021"/>
    <w:rsid w:val="007D4164"/>
    <w:rsid w:val="007D4542"/>
    <w:rsid w:val="007D46AD"/>
    <w:rsid w:val="007D4A30"/>
    <w:rsid w:val="007D4DF4"/>
    <w:rsid w:val="007D5205"/>
    <w:rsid w:val="007D53B2"/>
    <w:rsid w:val="007D567F"/>
    <w:rsid w:val="007D59E7"/>
    <w:rsid w:val="007D5B39"/>
    <w:rsid w:val="007D60FC"/>
    <w:rsid w:val="007D67E7"/>
    <w:rsid w:val="007D6E12"/>
    <w:rsid w:val="007D6FAD"/>
    <w:rsid w:val="007D7B3F"/>
    <w:rsid w:val="007D7E23"/>
    <w:rsid w:val="007E0014"/>
    <w:rsid w:val="007E02E6"/>
    <w:rsid w:val="007E0352"/>
    <w:rsid w:val="007E067A"/>
    <w:rsid w:val="007E0AE0"/>
    <w:rsid w:val="007E0EE4"/>
    <w:rsid w:val="007E1221"/>
    <w:rsid w:val="007E135C"/>
    <w:rsid w:val="007E14EB"/>
    <w:rsid w:val="007E1625"/>
    <w:rsid w:val="007E1913"/>
    <w:rsid w:val="007E1AC1"/>
    <w:rsid w:val="007E1BB6"/>
    <w:rsid w:val="007E2067"/>
    <w:rsid w:val="007E25F0"/>
    <w:rsid w:val="007E2DC5"/>
    <w:rsid w:val="007E318D"/>
    <w:rsid w:val="007E33DC"/>
    <w:rsid w:val="007E3768"/>
    <w:rsid w:val="007E38DD"/>
    <w:rsid w:val="007E3E18"/>
    <w:rsid w:val="007E3F25"/>
    <w:rsid w:val="007E3F9D"/>
    <w:rsid w:val="007E4596"/>
    <w:rsid w:val="007E4D0B"/>
    <w:rsid w:val="007E4EC2"/>
    <w:rsid w:val="007E526B"/>
    <w:rsid w:val="007E529F"/>
    <w:rsid w:val="007E539C"/>
    <w:rsid w:val="007E5505"/>
    <w:rsid w:val="007E58F5"/>
    <w:rsid w:val="007E750B"/>
    <w:rsid w:val="007E7A0A"/>
    <w:rsid w:val="007E7CD9"/>
    <w:rsid w:val="007E7E5E"/>
    <w:rsid w:val="007F0403"/>
    <w:rsid w:val="007F06BA"/>
    <w:rsid w:val="007F0BD3"/>
    <w:rsid w:val="007F0C09"/>
    <w:rsid w:val="007F17F1"/>
    <w:rsid w:val="007F1A72"/>
    <w:rsid w:val="007F1C22"/>
    <w:rsid w:val="007F1F2B"/>
    <w:rsid w:val="007F29BD"/>
    <w:rsid w:val="007F2EC1"/>
    <w:rsid w:val="007F2FD8"/>
    <w:rsid w:val="007F307E"/>
    <w:rsid w:val="007F30AD"/>
    <w:rsid w:val="007F31B1"/>
    <w:rsid w:val="007F31D7"/>
    <w:rsid w:val="007F384F"/>
    <w:rsid w:val="007F3DE2"/>
    <w:rsid w:val="007F46E0"/>
    <w:rsid w:val="007F4789"/>
    <w:rsid w:val="007F5048"/>
    <w:rsid w:val="007F5100"/>
    <w:rsid w:val="007F518B"/>
    <w:rsid w:val="007F5479"/>
    <w:rsid w:val="007F5A4F"/>
    <w:rsid w:val="007F6036"/>
    <w:rsid w:val="007F64A1"/>
    <w:rsid w:val="007F65BB"/>
    <w:rsid w:val="007F6959"/>
    <w:rsid w:val="007F6B7F"/>
    <w:rsid w:val="007F6B8D"/>
    <w:rsid w:val="007F7417"/>
    <w:rsid w:val="007F7619"/>
    <w:rsid w:val="007F7B83"/>
    <w:rsid w:val="007F7BC1"/>
    <w:rsid w:val="007F7D40"/>
    <w:rsid w:val="007F7E2A"/>
    <w:rsid w:val="008006BA"/>
    <w:rsid w:val="00801546"/>
    <w:rsid w:val="008015A4"/>
    <w:rsid w:val="00801602"/>
    <w:rsid w:val="0080170F"/>
    <w:rsid w:val="00801713"/>
    <w:rsid w:val="00801CDC"/>
    <w:rsid w:val="00801DC1"/>
    <w:rsid w:val="00801E37"/>
    <w:rsid w:val="0080214A"/>
    <w:rsid w:val="00802321"/>
    <w:rsid w:val="00802390"/>
    <w:rsid w:val="008023A7"/>
    <w:rsid w:val="008029E3"/>
    <w:rsid w:val="00802D07"/>
    <w:rsid w:val="008038B2"/>
    <w:rsid w:val="008038C2"/>
    <w:rsid w:val="00803932"/>
    <w:rsid w:val="00803D7A"/>
    <w:rsid w:val="00803DB6"/>
    <w:rsid w:val="00804ED7"/>
    <w:rsid w:val="00805B0E"/>
    <w:rsid w:val="008060B0"/>
    <w:rsid w:val="00806150"/>
    <w:rsid w:val="008061CB"/>
    <w:rsid w:val="008068AE"/>
    <w:rsid w:val="00806BAD"/>
    <w:rsid w:val="00806EB9"/>
    <w:rsid w:val="008073D4"/>
    <w:rsid w:val="008073EA"/>
    <w:rsid w:val="00807530"/>
    <w:rsid w:val="008078C6"/>
    <w:rsid w:val="0080793B"/>
    <w:rsid w:val="00810323"/>
    <w:rsid w:val="0081039A"/>
    <w:rsid w:val="008105B8"/>
    <w:rsid w:val="00810986"/>
    <w:rsid w:val="00810EDC"/>
    <w:rsid w:val="00811433"/>
    <w:rsid w:val="00811AE2"/>
    <w:rsid w:val="00811C75"/>
    <w:rsid w:val="00811F1D"/>
    <w:rsid w:val="0081249F"/>
    <w:rsid w:val="00812E5A"/>
    <w:rsid w:val="00812F74"/>
    <w:rsid w:val="0081340D"/>
    <w:rsid w:val="0081384D"/>
    <w:rsid w:val="00813C5D"/>
    <w:rsid w:val="00814170"/>
    <w:rsid w:val="008147BA"/>
    <w:rsid w:val="0081486B"/>
    <w:rsid w:val="0081494B"/>
    <w:rsid w:val="00814D26"/>
    <w:rsid w:val="00815229"/>
    <w:rsid w:val="00815CD6"/>
    <w:rsid w:val="00815D99"/>
    <w:rsid w:val="008167A5"/>
    <w:rsid w:val="00816A23"/>
    <w:rsid w:val="00816EA8"/>
    <w:rsid w:val="00816F33"/>
    <w:rsid w:val="00817222"/>
    <w:rsid w:val="0081747D"/>
    <w:rsid w:val="008177C1"/>
    <w:rsid w:val="00817A09"/>
    <w:rsid w:val="00820044"/>
    <w:rsid w:val="00820242"/>
    <w:rsid w:val="00820501"/>
    <w:rsid w:val="00820BA8"/>
    <w:rsid w:val="00820D71"/>
    <w:rsid w:val="00821962"/>
    <w:rsid w:val="00821D53"/>
    <w:rsid w:val="008221AF"/>
    <w:rsid w:val="00822C04"/>
    <w:rsid w:val="00822FD5"/>
    <w:rsid w:val="00823532"/>
    <w:rsid w:val="008237C4"/>
    <w:rsid w:val="00823B83"/>
    <w:rsid w:val="00824235"/>
    <w:rsid w:val="00824880"/>
    <w:rsid w:val="008249C6"/>
    <w:rsid w:val="00824A0F"/>
    <w:rsid w:val="00825397"/>
    <w:rsid w:val="00825633"/>
    <w:rsid w:val="0082589C"/>
    <w:rsid w:val="00825B87"/>
    <w:rsid w:val="00825CAB"/>
    <w:rsid w:val="0082681D"/>
    <w:rsid w:val="008268BB"/>
    <w:rsid w:val="00826AC6"/>
    <w:rsid w:val="00827AC3"/>
    <w:rsid w:val="00827F6D"/>
    <w:rsid w:val="00830004"/>
    <w:rsid w:val="00830096"/>
    <w:rsid w:val="0083079F"/>
    <w:rsid w:val="00830F57"/>
    <w:rsid w:val="008313AD"/>
    <w:rsid w:val="00831B97"/>
    <w:rsid w:val="00831CE5"/>
    <w:rsid w:val="00831E5C"/>
    <w:rsid w:val="00831EBD"/>
    <w:rsid w:val="0083249A"/>
    <w:rsid w:val="00832822"/>
    <w:rsid w:val="00832823"/>
    <w:rsid w:val="0083282E"/>
    <w:rsid w:val="00832AD7"/>
    <w:rsid w:val="00832B4B"/>
    <w:rsid w:val="00832D08"/>
    <w:rsid w:val="00832F7E"/>
    <w:rsid w:val="008332B3"/>
    <w:rsid w:val="008334C2"/>
    <w:rsid w:val="00833819"/>
    <w:rsid w:val="00833847"/>
    <w:rsid w:val="00833A15"/>
    <w:rsid w:val="00833CC6"/>
    <w:rsid w:val="008342EE"/>
    <w:rsid w:val="00834FC3"/>
    <w:rsid w:val="00835E88"/>
    <w:rsid w:val="008364C8"/>
    <w:rsid w:val="00836894"/>
    <w:rsid w:val="00836E25"/>
    <w:rsid w:val="008371CB"/>
    <w:rsid w:val="00837296"/>
    <w:rsid w:val="008377EC"/>
    <w:rsid w:val="00837B6B"/>
    <w:rsid w:val="00837BAA"/>
    <w:rsid w:val="00837DB0"/>
    <w:rsid w:val="008402F8"/>
    <w:rsid w:val="00840508"/>
    <w:rsid w:val="00840BCE"/>
    <w:rsid w:val="00840D89"/>
    <w:rsid w:val="00840E1D"/>
    <w:rsid w:val="008413D9"/>
    <w:rsid w:val="00841E8F"/>
    <w:rsid w:val="00842335"/>
    <w:rsid w:val="0084233B"/>
    <w:rsid w:val="00842369"/>
    <w:rsid w:val="00842372"/>
    <w:rsid w:val="008424ED"/>
    <w:rsid w:val="00842594"/>
    <w:rsid w:val="00842CBE"/>
    <w:rsid w:val="00842F09"/>
    <w:rsid w:val="008431F7"/>
    <w:rsid w:val="00843254"/>
    <w:rsid w:val="008433B0"/>
    <w:rsid w:val="008433B2"/>
    <w:rsid w:val="0084363C"/>
    <w:rsid w:val="008436F6"/>
    <w:rsid w:val="00843894"/>
    <w:rsid w:val="00843C04"/>
    <w:rsid w:val="00843F54"/>
    <w:rsid w:val="008446B3"/>
    <w:rsid w:val="00844D19"/>
    <w:rsid w:val="00845090"/>
    <w:rsid w:val="0084521F"/>
    <w:rsid w:val="00845673"/>
    <w:rsid w:val="00845A9C"/>
    <w:rsid w:val="00845D8E"/>
    <w:rsid w:val="0084725B"/>
    <w:rsid w:val="00847DE5"/>
    <w:rsid w:val="00850949"/>
    <w:rsid w:val="008513C2"/>
    <w:rsid w:val="00851453"/>
    <w:rsid w:val="00851550"/>
    <w:rsid w:val="0085241E"/>
    <w:rsid w:val="008526EB"/>
    <w:rsid w:val="00852B86"/>
    <w:rsid w:val="00852BB0"/>
    <w:rsid w:val="00852D49"/>
    <w:rsid w:val="00852DD9"/>
    <w:rsid w:val="0085317C"/>
    <w:rsid w:val="008534BE"/>
    <w:rsid w:val="008537AC"/>
    <w:rsid w:val="00853FD5"/>
    <w:rsid w:val="00854070"/>
    <w:rsid w:val="00854D63"/>
    <w:rsid w:val="00854E2D"/>
    <w:rsid w:val="008551DF"/>
    <w:rsid w:val="0085549C"/>
    <w:rsid w:val="0085601C"/>
    <w:rsid w:val="008563D9"/>
    <w:rsid w:val="008568EE"/>
    <w:rsid w:val="00856DC3"/>
    <w:rsid w:val="00856DCF"/>
    <w:rsid w:val="0085719F"/>
    <w:rsid w:val="00860E3E"/>
    <w:rsid w:val="00860EA2"/>
    <w:rsid w:val="0086116B"/>
    <w:rsid w:val="00861399"/>
    <w:rsid w:val="0086164B"/>
    <w:rsid w:val="00862591"/>
    <w:rsid w:val="008629EB"/>
    <w:rsid w:val="0086314E"/>
    <w:rsid w:val="008631A0"/>
    <w:rsid w:val="008634D4"/>
    <w:rsid w:val="0086394E"/>
    <w:rsid w:val="00863970"/>
    <w:rsid w:val="00863DC3"/>
    <w:rsid w:val="00864117"/>
    <w:rsid w:val="008645AB"/>
    <w:rsid w:val="00864747"/>
    <w:rsid w:val="008648C3"/>
    <w:rsid w:val="00864CFD"/>
    <w:rsid w:val="00864D48"/>
    <w:rsid w:val="00864EC4"/>
    <w:rsid w:val="00865060"/>
    <w:rsid w:val="0086513F"/>
    <w:rsid w:val="00865DEC"/>
    <w:rsid w:val="00866594"/>
    <w:rsid w:val="00866848"/>
    <w:rsid w:val="00866AC3"/>
    <w:rsid w:val="00866D46"/>
    <w:rsid w:val="00866E6A"/>
    <w:rsid w:val="0086710D"/>
    <w:rsid w:val="008673D2"/>
    <w:rsid w:val="00867455"/>
    <w:rsid w:val="00867523"/>
    <w:rsid w:val="00867656"/>
    <w:rsid w:val="008679C6"/>
    <w:rsid w:val="008679DA"/>
    <w:rsid w:val="00867E0C"/>
    <w:rsid w:val="00867F61"/>
    <w:rsid w:val="00870539"/>
    <w:rsid w:val="008710CF"/>
    <w:rsid w:val="0087113B"/>
    <w:rsid w:val="008713E8"/>
    <w:rsid w:val="00871A8F"/>
    <w:rsid w:val="00871BA6"/>
    <w:rsid w:val="00871C5F"/>
    <w:rsid w:val="00871C69"/>
    <w:rsid w:val="00871FF1"/>
    <w:rsid w:val="008720C7"/>
    <w:rsid w:val="00872E9B"/>
    <w:rsid w:val="00873731"/>
    <w:rsid w:val="008737E4"/>
    <w:rsid w:val="0087380F"/>
    <w:rsid w:val="00873AEC"/>
    <w:rsid w:val="00873B3D"/>
    <w:rsid w:val="00874289"/>
    <w:rsid w:val="00874294"/>
    <w:rsid w:val="0087445A"/>
    <w:rsid w:val="00874460"/>
    <w:rsid w:val="0087455A"/>
    <w:rsid w:val="00874CDF"/>
    <w:rsid w:val="00874EE5"/>
    <w:rsid w:val="00874F78"/>
    <w:rsid w:val="00875233"/>
    <w:rsid w:val="008754EC"/>
    <w:rsid w:val="00875A3F"/>
    <w:rsid w:val="00876069"/>
    <w:rsid w:val="00876268"/>
    <w:rsid w:val="00876777"/>
    <w:rsid w:val="00876CFF"/>
    <w:rsid w:val="008775E8"/>
    <w:rsid w:val="00877743"/>
    <w:rsid w:val="00877B51"/>
    <w:rsid w:val="00877EE0"/>
    <w:rsid w:val="00880685"/>
    <w:rsid w:val="00880745"/>
    <w:rsid w:val="00880FBF"/>
    <w:rsid w:val="00881F34"/>
    <w:rsid w:val="00882FDE"/>
    <w:rsid w:val="0088364F"/>
    <w:rsid w:val="008838A2"/>
    <w:rsid w:val="00883BEB"/>
    <w:rsid w:val="00883FD2"/>
    <w:rsid w:val="00884A33"/>
    <w:rsid w:val="00884D18"/>
    <w:rsid w:val="00884DDB"/>
    <w:rsid w:val="00885377"/>
    <w:rsid w:val="00885651"/>
    <w:rsid w:val="008856C4"/>
    <w:rsid w:val="008858A0"/>
    <w:rsid w:val="00885F09"/>
    <w:rsid w:val="008861E3"/>
    <w:rsid w:val="00886645"/>
    <w:rsid w:val="00886727"/>
    <w:rsid w:val="00886B10"/>
    <w:rsid w:val="00886BAC"/>
    <w:rsid w:val="00886C18"/>
    <w:rsid w:val="008870B1"/>
    <w:rsid w:val="008875A3"/>
    <w:rsid w:val="0088778B"/>
    <w:rsid w:val="0089004C"/>
    <w:rsid w:val="00890982"/>
    <w:rsid w:val="00890BB8"/>
    <w:rsid w:val="00891079"/>
    <w:rsid w:val="008912D9"/>
    <w:rsid w:val="008914F5"/>
    <w:rsid w:val="008919AD"/>
    <w:rsid w:val="00891E8F"/>
    <w:rsid w:val="008920F4"/>
    <w:rsid w:val="00892667"/>
    <w:rsid w:val="00892ABB"/>
    <w:rsid w:val="00892D52"/>
    <w:rsid w:val="00892F83"/>
    <w:rsid w:val="008933AE"/>
    <w:rsid w:val="00893956"/>
    <w:rsid w:val="00893B30"/>
    <w:rsid w:val="00893EA1"/>
    <w:rsid w:val="00893F85"/>
    <w:rsid w:val="00894894"/>
    <w:rsid w:val="008948F9"/>
    <w:rsid w:val="00894A2C"/>
    <w:rsid w:val="00894B3A"/>
    <w:rsid w:val="00894E85"/>
    <w:rsid w:val="00894EBB"/>
    <w:rsid w:val="008950B5"/>
    <w:rsid w:val="00895622"/>
    <w:rsid w:val="00895A57"/>
    <w:rsid w:val="00895CB8"/>
    <w:rsid w:val="00895F24"/>
    <w:rsid w:val="00895F7C"/>
    <w:rsid w:val="00896223"/>
    <w:rsid w:val="008966FB"/>
    <w:rsid w:val="00896A7A"/>
    <w:rsid w:val="0089774D"/>
    <w:rsid w:val="00897F85"/>
    <w:rsid w:val="008A063D"/>
    <w:rsid w:val="008A16F3"/>
    <w:rsid w:val="008A191B"/>
    <w:rsid w:val="008A1A3C"/>
    <w:rsid w:val="008A1DCF"/>
    <w:rsid w:val="008A2159"/>
    <w:rsid w:val="008A2CE7"/>
    <w:rsid w:val="008A2E73"/>
    <w:rsid w:val="008A3043"/>
    <w:rsid w:val="008A31B9"/>
    <w:rsid w:val="008A33FC"/>
    <w:rsid w:val="008A3A82"/>
    <w:rsid w:val="008A3B1E"/>
    <w:rsid w:val="008A3FD1"/>
    <w:rsid w:val="008A4316"/>
    <w:rsid w:val="008A4B71"/>
    <w:rsid w:val="008A4EDA"/>
    <w:rsid w:val="008A50B0"/>
    <w:rsid w:val="008A5110"/>
    <w:rsid w:val="008A57F9"/>
    <w:rsid w:val="008A5AA3"/>
    <w:rsid w:val="008A5C9C"/>
    <w:rsid w:val="008A5E41"/>
    <w:rsid w:val="008A5EC8"/>
    <w:rsid w:val="008A5F34"/>
    <w:rsid w:val="008A646B"/>
    <w:rsid w:val="008A652B"/>
    <w:rsid w:val="008A66E5"/>
    <w:rsid w:val="008A6797"/>
    <w:rsid w:val="008A6BBF"/>
    <w:rsid w:val="008A7101"/>
    <w:rsid w:val="008A7722"/>
    <w:rsid w:val="008A7756"/>
    <w:rsid w:val="008B0A5B"/>
    <w:rsid w:val="008B12F3"/>
    <w:rsid w:val="008B1316"/>
    <w:rsid w:val="008B1B52"/>
    <w:rsid w:val="008B1F5F"/>
    <w:rsid w:val="008B1F9E"/>
    <w:rsid w:val="008B24CB"/>
    <w:rsid w:val="008B3290"/>
    <w:rsid w:val="008B34BF"/>
    <w:rsid w:val="008B385B"/>
    <w:rsid w:val="008B429C"/>
    <w:rsid w:val="008B444A"/>
    <w:rsid w:val="008B57D9"/>
    <w:rsid w:val="008B5855"/>
    <w:rsid w:val="008B5E47"/>
    <w:rsid w:val="008B603D"/>
    <w:rsid w:val="008B60B0"/>
    <w:rsid w:val="008B60B1"/>
    <w:rsid w:val="008B6497"/>
    <w:rsid w:val="008B68D6"/>
    <w:rsid w:val="008B6A92"/>
    <w:rsid w:val="008B6D1E"/>
    <w:rsid w:val="008B7297"/>
    <w:rsid w:val="008B72A5"/>
    <w:rsid w:val="008B743A"/>
    <w:rsid w:val="008B76FA"/>
    <w:rsid w:val="008B7A5D"/>
    <w:rsid w:val="008B7BE1"/>
    <w:rsid w:val="008B7C11"/>
    <w:rsid w:val="008C00CB"/>
    <w:rsid w:val="008C055F"/>
    <w:rsid w:val="008C1670"/>
    <w:rsid w:val="008C16BF"/>
    <w:rsid w:val="008C1994"/>
    <w:rsid w:val="008C1AD0"/>
    <w:rsid w:val="008C22D6"/>
    <w:rsid w:val="008C26D9"/>
    <w:rsid w:val="008C29BF"/>
    <w:rsid w:val="008C34E8"/>
    <w:rsid w:val="008C357D"/>
    <w:rsid w:val="008C36A4"/>
    <w:rsid w:val="008C3D59"/>
    <w:rsid w:val="008C407B"/>
    <w:rsid w:val="008C4327"/>
    <w:rsid w:val="008C45B1"/>
    <w:rsid w:val="008C4614"/>
    <w:rsid w:val="008C49B4"/>
    <w:rsid w:val="008C4DC5"/>
    <w:rsid w:val="008C4F75"/>
    <w:rsid w:val="008C5253"/>
    <w:rsid w:val="008C549D"/>
    <w:rsid w:val="008C5A72"/>
    <w:rsid w:val="008C5E77"/>
    <w:rsid w:val="008C6471"/>
    <w:rsid w:val="008C65D8"/>
    <w:rsid w:val="008C67C3"/>
    <w:rsid w:val="008C745D"/>
    <w:rsid w:val="008D01D4"/>
    <w:rsid w:val="008D0315"/>
    <w:rsid w:val="008D0795"/>
    <w:rsid w:val="008D079E"/>
    <w:rsid w:val="008D07F2"/>
    <w:rsid w:val="008D09C1"/>
    <w:rsid w:val="008D125A"/>
    <w:rsid w:val="008D136B"/>
    <w:rsid w:val="008D1CA6"/>
    <w:rsid w:val="008D2296"/>
    <w:rsid w:val="008D2479"/>
    <w:rsid w:val="008D269C"/>
    <w:rsid w:val="008D2850"/>
    <w:rsid w:val="008D3330"/>
    <w:rsid w:val="008D381B"/>
    <w:rsid w:val="008D385C"/>
    <w:rsid w:val="008D3907"/>
    <w:rsid w:val="008D423E"/>
    <w:rsid w:val="008D4269"/>
    <w:rsid w:val="008D46DF"/>
    <w:rsid w:val="008D4747"/>
    <w:rsid w:val="008D4B81"/>
    <w:rsid w:val="008D5112"/>
    <w:rsid w:val="008D639E"/>
    <w:rsid w:val="008D650E"/>
    <w:rsid w:val="008D6A49"/>
    <w:rsid w:val="008D7306"/>
    <w:rsid w:val="008D79C7"/>
    <w:rsid w:val="008D7F7C"/>
    <w:rsid w:val="008E05E4"/>
    <w:rsid w:val="008E0967"/>
    <w:rsid w:val="008E102A"/>
    <w:rsid w:val="008E1180"/>
    <w:rsid w:val="008E17B7"/>
    <w:rsid w:val="008E1FBD"/>
    <w:rsid w:val="008E2044"/>
    <w:rsid w:val="008E25F5"/>
    <w:rsid w:val="008E27D9"/>
    <w:rsid w:val="008E28F3"/>
    <w:rsid w:val="008E32BF"/>
    <w:rsid w:val="008E338E"/>
    <w:rsid w:val="008E400A"/>
    <w:rsid w:val="008E533E"/>
    <w:rsid w:val="008E540F"/>
    <w:rsid w:val="008E56D9"/>
    <w:rsid w:val="008E5B4E"/>
    <w:rsid w:val="008E5B64"/>
    <w:rsid w:val="008E6023"/>
    <w:rsid w:val="008E60B0"/>
    <w:rsid w:val="008E60D1"/>
    <w:rsid w:val="008E62BA"/>
    <w:rsid w:val="008E646A"/>
    <w:rsid w:val="008E6496"/>
    <w:rsid w:val="008E6517"/>
    <w:rsid w:val="008E65A2"/>
    <w:rsid w:val="008E695E"/>
    <w:rsid w:val="008E7948"/>
    <w:rsid w:val="008F0AA4"/>
    <w:rsid w:val="008F0FC5"/>
    <w:rsid w:val="008F0FE3"/>
    <w:rsid w:val="008F13C4"/>
    <w:rsid w:val="008F18A9"/>
    <w:rsid w:val="008F2151"/>
    <w:rsid w:val="008F2386"/>
    <w:rsid w:val="008F243A"/>
    <w:rsid w:val="008F2AE0"/>
    <w:rsid w:val="008F2F63"/>
    <w:rsid w:val="008F31E1"/>
    <w:rsid w:val="008F378F"/>
    <w:rsid w:val="008F39F0"/>
    <w:rsid w:val="008F3A2B"/>
    <w:rsid w:val="008F4238"/>
    <w:rsid w:val="008F456B"/>
    <w:rsid w:val="008F5740"/>
    <w:rsid w:val="008F574F"/>
    <w:rsid w:val="008F5A0C"/>
    <w:rsid w:val="008F6E0C"/>
    <w:rsid w:val="008F6EBE"/>
    <w:rsid w:val="008F737A"/>
    <w:rsid w:val="008F76E8"/>
    <w:rsid w:val="008F7B05"/>
    <w:rsid w:val="00900205"/>
    <w:rsid w:val="00900304"/>
    <w:rsid w:val="00900427"/>
    <w:rsid w:val="009006B4"/>
    <w:rsid w:val="0090095F"/>
    <w:rsid w:val="009009C6"/>
    <w:rsid w:val="00900E0B"/>
    <w:rsid w:val="00900F19"/>
    <w:rsid w:val="00901054"/>
    <w:rsid w:val="009010BA"/>
    <w:rsid w:val="00901A09"/>
    <w:rsid w:val="00901BCA"/>
    <w:rsid w:val="00902CD3"/>
    <w:rsid w:val="00902D2E"/>
    <w:rsid w:val="00903389"/>
    <w:rsid w:val="00903F23"/>
    <w:rsid w:val="00903F37"/>
    <w:rsid w:val="009041F0"/>
    <w:rsid w:val="00904D42"/>
    <w:rsid w:val="00905467"/>
    <w:rsid w:val="009054CB"/>
    <w:rsid w:val="00905637"/>
    <w:rsid w:val="0090582D"/>
    <w:rsid w:val="0090604D"/>
    <w:rsid w:val="00906163"/>
    <w:rsid w:val="00906A06"/>
    <w:rsid w:val="009075A7"/>
    <w:rsid w:val="00910734"/>
    <w:rsid w:val="00910A0D"/>
    <w:rsid w:val="009112A8"/>
    <w:rsid w:val="009112FD"/>
    <w:rsid w:val="009114EF"/>
    <w:rsid w:val="00911760"/>
    <w:rsid w:val="009117BE"/>
    <w:rsid w:val="00911DA9"/>
    <w:rsid w:val="00911F92"/>
    <w:rsid w:val="0091245B"/>
    <w:rsid w:val="009124D7"/>
    <w:rsid w:val="00912648"/>
    <w:rsid w:val="0091271A"/>
    <w:rsid w:val="00912CB8"/>
    <w:rsid w:val="009131A9"/>
    <w:rsid w:val="00913715"/>
    <w:rsid w:val="0091393E"/>
    <w:rsid w:val="00913991"/>
    <w:rsid w:val="00913F80"/>
    <w:rsid w:val="00913FA8"/>
    <w:rsid w:val="0091415A"/>
    <w:rsid w:val="00914316"/>
    <w:rsid w:val="009144E1"/>
    <w:rsid w:val="00914914"/>
    <w:rsid w:val="0091505A"/>
    <w:rsid w:val="0091583E"/>
    <w:rsid w:val="00916239"/>
    <w:rsid w:val="0091623C"/>
    <w:rsid w:val="00916AED"/>
    <w:rsid w:val="009172DC"/>
    <w:rsid w:val="0091759E"/>
    <w:rsid w:val="00917A9D"/>
    <w:rsid w:val="00917BCC"/>
    <w:rsid w:val="00917C20"/>
    <w:rsid w:val="00920566"/>
    <w:rsid w:val="0092071E"/>
    <w:rsid w:val="009207DD"/>
    <w:rsid w:val="0092088C"/>
    <w:rsid w:val="009208D8"/>
    <w:rsid w:val="00920C38"/>
    <w:rsid w:val="00920C43"/>
    <w:rsid w:val="0092178A"/>
    <w:rsid w:val="0092178E"/>
    <w:rsid w:val="00921AC9"/>
    <w:rsid w:val="009221FE"/>
    <w:rsid w:val="009222F1"/>
    <w:rsid w:val="00922494"/>
    <w:rsid w:val="00922561"/>
    <w:rsid w:val="00922F27"/>
    <w:rsid w:val="00923099"/>
    <w:rsid w:val="009230AE"/>
    <w:rsid w:val="009236E0"/>
    <w:rsid w:val="00923B67"/>
    <w:rsid w:val="00924190"/>
    <w:rsid w:val="00924A06"/>
    <w:rsid w:val="00924EC0"/>
    <w:rsid w:val="00925064"/>
    <w:rsid w:val="0092548A"/>
    <w:rsid w:val="0092596E"/>
    <w:rsid w:val="00925A2E"/>
    <w:rsid w:val="00925FB3"/>
    <w:rsid w:val="00926724"/>
    <w:rsid w:val="00926764"/>
    <w:rsid w:val="009269F2"/>
    <w:rsid w:val="00926B08"/>
    <w:rsid w:val="0092732A"/>
    <w:rsid w:val="00927851"/>
    <w:rsid w:val="00930BD4"/>
    <w:rsid w:val="00931008"/>
    <w:rsid w:val="00931088"/>
    <w:rsid w:val="00931894"/>
    <w:rsid w:val="00931D56"/>
    <w:rsid w:val="00932008"/>
    <w:rsid w:val="009320DB"/>
    <w:rsid w:val="009321B2"/>
    <w:rsid w:val="009325EF"/>
    <w:rsid w:val="0093294F"/>
    <w:rsid w:val="00932954"/>
    <w:rsid w:val="00932A9F"/>
    <w:rsid w:val="00932CDB"/>
    <w:rsid w:val="00932D86"/>
    <w:rsid w:val="00932DE5"/>
    <w:rsid w:val="00933109"/>
    <w:rsid w:val="0093364F"/>
    <w:rsid w:val="00933BB4"/>
    <w:rsid w:val="009345F6"/>
    <w:rsid w:val="009346BC"/>
    <w:rsid w:val="00934889"/>
    <w:rsid w:val="00934B9C"/>
    <w:rsid w:val="0093507F"/>
    <w:rsid w:val="00935973"/>
    <w:rsid w:val="00936209"/>
    <w:rsid w:val="009363AD"/>
    <w:rsid w:val="0093653D"/>
    <w:rsid w:val="0093678F"/>
    <w:rsid w:val="00936946"/>
    <w:rsid w:val="00936A1A"/>
    <w:rsid w:val="00936ACE"/>
    <w:rsid w:val="00936B0E"/>
    <w:rsid w:val="00936C66"/>
    <w:rsid w:val="00936DB0"/>
    <w:rsid w:val="00936DB9"/>
    <w:rsid w:val="0093730B"/>
    <w:rsid w:val="00937AF3"/>
    <w:rsid w:val="00937BC1"/>
    <w:rsid w:val="00937E3F"/>
    <w:rsid w:val="00937ED0"/>
    <w:rsid w:val="00937FB7"/>
    <w:rsid w:val="009402A9"/>
    <w:rsid w:val="009403C1"/>
    <w:rsid w:val="00940907"/>
    <w:rsid w:val="00940A28"/>
    <w:rsid w:val="0094115C"/>
    <w:rsid w:val="0094165B"/>
    <w:rsid w:val="0094198A"/>
    <w:rsid w:val="00941C11"/>
    <w:rsid w:val="00941F43"/>
    <w:rsid w:val="00941FBB"/>
    <w:rsid w:val="0094206F"/>
    <w:rsid w:val="00942534"/>
    <w:rsid w:val="009429DE"/>
    <w:rsid w:val="00942C27"/>
    <w:rsid w:val="00943329"/>
    <w:rsid w:val="0094408D"/>
    <w:rsid w:val="0094485B"/>
    <w:rsid w:val="00944FE3"/>
    <w:rsid w:val="0094505C"/>
    <w:rsid w:val="00945847"/>
    <w:rsid w:val="009459A3"/>
    <w:rsid w:val="00945D18"/>
    <w:rsid w:val="00945E9D"/>
    <w:rsid w:val="00946B99"/>
    <w:rsid w:val="00946C0E"/>
    <w:rsid w:val="00946C31"/>
    <w:rsid w:val="0094729F"/>
    <w:rsid w:val="00947DCD"/>
    <w:rsid w:val="00947DD3"/>
    <w:rsid w:val="00947DF2"/>
    <w:rsid w:val="009503E1"/>
    <w:rsid w:val="00950736"/>
    <w:rsid w:val="009508DF"/>
    <w:rsid w:val="00950D3C"/>
    <w:rsid w:val="009511AC"/>
    <w:rsid w:val="009516EA"/>
    <w:rsid w:val="009523C4"/>
    <w:rsid w:val="00952702"/>
    <w:rsid w:val="00952DF9"/>
    <w:rsid w:val="00952E65"/>
    <w:rsid w:val="009533D2"/>
    <w:rsid w:val="0095349E"/>
    <w:rsid w:val="00953620"/>
    <w:rsid w:val="00953B7C"/>
    <w:rsid w:val="00953BF8"/>
    <w:rsid w:val="00953C0F"/>
    <w:rsid w:val="00953F9C"/>
    <w:rsid w:val="009543C0"/>
    <w:rsid w:val="00954419"/>
    <w:rsid w:val="00954F88"/>
    <w:rsid w:val="0095554B"/>
    <w:rsid w:val="00955B60"/>
    <w:rsid w:val="00955D9D"/>
    <w:rsid w:val="00956074"/>
    <w:rsid w:val="0095639A"/>
    <w:rsid w:val="0095683E"/>
    <w:rsid w:val="00956FD7"/>
    <w:rsid w:val="0095711B"/>
    <w:rsid w:val="00957EB8"/>
    <w:rsid w:val="00960302"/>
    <w:rsid w:val="00960AE2"/>
    <w:rsid w:val="009611CC"/>
    <w:rsid w:val="009611ED"/>
    <w:rsid w:val="009616C3"/>
    <w:rsid w:val="00961B85"/>
    <w:rsid w:val="00961D52"/>
    <w:rsid w:val="0096223F"/>
    <w:rsid w:val="00962B30"/>
    <w:rsid w:val="00962CC6"/>
    <w:rsid w:val="00962FE1"/>
    <w:rsid w:val="009637EF"/>
    <w:rsid w:val="00963809"/>
    <w:rsid w:val="009638AC"/>
    <w:rsid w:val="0096391C"/>
    <w:rsid w:val="009639D6"/>
    <w:rsid w:val="00963B70"/>
    <w:rsid w:val="00963D8C"/>
    <w:rsid w:val="00963E30"/>
    <w:rsid w:val="00964095"/>
    <w:rsid w:val="00964790"/>
    <w:rsid w:val="00964CE0"/>
    <w:rsid w:val="00964F1B"/>
    <w:rsid w:val="0096525C"/>
    <w:rsid w:val="00965351"/>
    <w:rsid w:val="00965817"/>
    <w:rsid w:val="00965B53"/>
    <w:rsid w:val="009661B8"/>
    <w:rsid w:val="00966294"/>
    <w:rsid w:val="00966496"/>
    <w:rsid w:val="00966945"/>
    <w:rsid w:val="009670AD"/>
    <w:rsid w:val="009671D8"/>
    <w:rsid w:val="009673FF"/>
    <w:rsid w:val="00967C2F"/>
    <w:rsid w:val="00967E97"/>
    <w:rsid w:val="0097056E"/>
    <w:rsid w:val="00971265"/>
    <w:rsid w:val="009712D9"/>
    <w:rsid w:val="0097190A"/>
    <w:rsid w:val="00971A9E"/>
    <w:rsid w:val="00971BBD"/>
    <w:rsid w:val="0097236E"/>
    <w:rsid w:val="0097267A"/>
    <w:rsid w:val="00972763"/>
    <w:rsid w:val="00972921"/>
    <w:rsid w:val="0097292E"/>
    <w:rsid w:val="00972A7B"/>
    <w:rsid w:val="009735C8"/>
    <w:rsid w:val="00973798"/>
    <w:rsid w:val="00973806"/>
    <w:rsid w:val="00973E66"/>
    <w:rsid w:val="00974278"/>
    <w:rsid w:val="009742A1"/>
    <w:rsid w:val="00974527"/>
    <w:rsid w:val="00974621"/>
    <w:rsid w:val="00974656"/>
    <w:rsid w:val="009746D0"/>
    <w:rsid w:val="00974FCB"/>
    <w:rsid w:val="0097503B"/>
    <w:rsid w:val="00975589"/>
    <w:rsid w:val="00975FCB"/>
    <w:rsid w:val="009761C1"/>
    <w:rsid w:val="009762E1"/>
    <w:rsid w:val="00977155"/>
    <w:rsid w:val="0097719B"/>
    <w:rsid w:val="00977D4B"/>
    <w:rsid w:val="00977E98"/>
    <w:rsid w:val="00977EB1"/>
    <w:rsid w:val="00980151"/>
    <w:rsid w:val="0098102C"/>
    <w:rsid w:val="009813CC"/>
    <w:rsid w:val="00981814"/>
    <w:rsid w:val="0098195D"/>
    <w:rsid w:val="00981DC0"/>
    <w:rsid w:val="00981FD2"/>
    <w:rsid w:val="00982185"/>
    <w:rsid w:val="0098218A"/>
    <w:rsid w:val="0098245F"/>
    <w:rsid w:val="0098270D"/>
    <w:rsid w:val="00982768"/>
    <w:rsid w:val="00982A44"/>
    <w:rsid w:val="00982A79"/>
    <w:rsid w:val="00982DAC"/>
    <w:rsid w:val="00982FDC"/>
    <w:rsid w:val="00983132"/>
    <w:rsid w:val="0098320A"/>
    <w:rsid w:val="00983446"/>
    <w:rsid w:val="00983842"/>
    <w:rsid w:val="00983C66"/>
    <w:rsid w:val="00983D13"/>
    <w:rsid w:val="009843AF"/>
    <w:rsid w:val="00984749"/>
    <w:rsid w:val="0098498E"/>
    <w:rsid w:val="00984A01"/>
    <w:rsid w:val="00985084"/>
    <w:rsid w:val="009855C3"/>
    <w:rsid w:val="009857D2"/>
    <w:rsid w:val="00985AA4"/>
    <w:rsid w:val="00985AAB"/>
    <w:rsid w:val="00985C24"/>
    <w:rsid w:val="00985F79"/>
    <w:rsid w:val="00985FFC"/>
    <w:rsid w:val="009865BB"/>
    <w:rsid w:val="009865DA"/>
    <w:rsid w:val="00986949"/>
    <w:rsid w:val="00986DA2"/>
    <w:rsid w:val="00986FF8"/>
    <w:rsid w:val="009872BF"/>
    <w:rsid w:val="00987624"/>
    <w:rsid w:val="00987903"/>
    <w:rsid w:val="00987F18"/>
    <w:rsid w:val="00987F41"/>
    <w:rsid w:val="00990278"/>
    <w:rsid w:val="009903B8"/>
    <w:rsid w:val="00990CB7"/>
    <w:rsid w:val="00990E8B"/>
    <w:rsid w:val="00990F71"/>
    <w:rsid w:val="009910EB"/>
    <w:rsid w:val="00991328"/>
    <w:rsid w:val="0099147A"/>
    <w:rsid w:val="009917DD"/>
    <w:rsid w:val="00991C4C"/>
    <w:rsid w:val="0099200E"/>
    <w:rsid w:val="0099249D"/>
    <w:rsid w:val="00992761"/>
    <w:rsid w:val="009927C4"/>
    <w:rsid w:val="00992827"/>
    <w:rsid w:val="00992936"/>
    <w:rsid w:val="00992B8E"/>
    <w:rsid w:val="00992D93"/>
    <w:rsid w:val="00993805"/>
    <w:rsid w:val="00993D35"/>
    <w:rsid w:val="009946D2"/>
    <w:rsid w:val="00994872"/>
    <w:rsid w:val="00994AFD"/>
    <w:rsid w:val="00994B29"/>
    <w:rsid w:val="00994E71"/>
    <w:rsid w:val="00994F97"/>
    <w:rsid w:val="00995151"/>
    <w:rsid w:val="009952AF"/>
    <w:rsid w:val="009955A8"/>
    <w:rsid w:val="00995879"/>
    <w:rsid w:val="0099596D"/>
    <w:rsid w:val="00995A4D"/>
    <w:rsid w:val="00995E68"/>
    <w:rsid w:val="0099627A"/>
    <w:rsid w:val="00996556"/>
    <w:rsid w:val="00996563"/>
    <w:rsid w:val="0099661E"/>
    <w:rsid w:val="009968E4"/>
    <w:rsid w:val="00996D6B"/>
    <w:rsid w:val="00997742"/>
    <w:rsid w:val="009978BF"/>
    <w:rsid w:val="00997A5C"/>
    <w:rsid w:val="009A0285"/>
    <w:rsid w:val="009A064E"/>
    <w:rsid w:val="009A0D24"/>
    <w:rsid w:val="009A147D"/>
    <w:rsid w:val="009A1F26"/>
    <w:rsid w:val="009A2293"/>
    <w:rsid w:val="009A2AA4"/>
    <w:rsid w:val="009A2CE8"/>
    <w:rsid w:val="009A343B"/>
    <w:rsid w:val="009A3ACC"/>
    <w:rsid w:val="009A4658"/>
    <w:rsid w:val="009A48E9"/>
    <w:rsid w:val="009A4B1B"/>
    <w:rsid w:val="009A4BC4"/>
    <w:rsid w:val="009A4C93"/>
    <w:rsid w:val="009A5183"/>
    <w:rsid w:val="009A538F"/>
    <w:rsid w:val="009A5587"/>
    <w:rsid w:val="009A58DD"/>
    <w:rsid w:val="009A5C1D"/>
    <w:rsid w:val="009A5C2A"/>
    <w:rsid w:val="009A618B"/>
    <w:rsid w:val="009A6427"/>
    <w:rsid w:val="009A64EA"/>
    <w:rsid w:val="009A6BA5"/>
    <w:rsid w:val="009A705F"/>
    <w:rsid w:val="009A7662"/>
    <w:rsid w:val="009A7756"/>
    <w:rsid w:val="009A77A7"/>
    <w:rsid w:val="009A7A21"/>
    <w:rsid w:val="009A7C7B"/>
    <w:rsid w:val="009A7D76"/>
    <w:rsid w:val="009B013B"/>
    <w:rsid w:val="009B0363"/>
    <w:rsid w:val="009B05FB"/>
    <w:rsid w:val="009B0AEB"/>
    <w:rsid w:val="009B1011"/>
    <w:rsid w:val="009B1087"/>
    <w:rsid w:val="009B16FF"/>
    <w:rsid w:val="009B18CD"/>
    <w:rsid w:val="009B1A0A"/>
    <w:rsid w:val="009B1D30"/>
    <w:rsid w:val="009B2024"/>
    <w:rsid w:val="009B2173"/>
    <w:rsid w:val="009B21C3"/>
    <w:rsid w:val="009B22CB"/>
    <w:rsid w:val="009B2881"/>
    <w:rsid w:val="009B295F"/>
    <w:rsid w:val="009B2A15"/>
    <w:rsid w:val="009B2B51"/>
    <w:rsid w:val="009B30B8"/>
    <w:rsid w:val="009B3154"/>
    <w:rsid w:val="009B322C"/>
    <w:rsid w:val="009B3243"/>
    <w:rsid w:val="009B32DA"/>
    <w:rsid w:val="009B32EF"/>
    <w:rsid w:val="009B3547"/>
    <w:rsid w:val="009B369E"/>
    <w:rsid w:val="009B3A33"/>
    <w:rsid w:val="009B3E99"/>
    <w:rsid w:val="009B43D5"/>
    <w:rsid w:val="009B460B"/>
    <w:rsid w:val="009B46EE"/>
    <w:rsid w:val="009B48D5"/>
    <w:rsid w:val="009B4AF4"/>
    <w:rsid w:val="009B4DA7"/>
    <w:rsid w:val="009B4F0B"/>
    <w:rsid w:val="009B568D"/>
    <w:rsid w:val="009B5B08"/>
    <w:rsid w:val="009B5C54"/>
    <w:rsid w:val="009B6147"/>
    <w:rsid w:val="009B6171"/>
    <w:rsid w:val="009B6184"/>
    <w:rsid w:val="009B699F"/>
    <w:rsid w:val="009B6D7D"/>
    <w:rsid w:val="009B740E"/>
    <w:rsid w:val="009B74DC"/>
    <w:rsid w:val="009B78FB"/>
    <w:rsid w:val="009B7BB0"/>
    <w:rsid w:val="009B7EA5"/>
    <w:rsid w:val="009B7FA9"/>
    <w:rsid w:val="009C0581"/>
    <w:rsid w:val="009C0A7A"/>
    <w:rsid w:val="009C0BF1"/>
    <w:rsid w:val="009C0D89"/>
    <w:rsid w:val="009C0D94"/>
    <w:rsid w:val="009C10CE"/>
    <w:rsid w:val="009C1482"/>
    <w:rsid w:val="009C1EED"/>
    <w:rsid w:val="009C2065"/>
    <w:rsid w:val="009C2091"/>
    <w:rsid w:val="009C23B9"/>
    <w:rsid w:val="009C2877"/>
    <w:rsid w:val="009C2D83"/>
    <w:rsid w:val="009C3076"/>
    <w:rsid w:val="009C3714"/>
    <w:rsid w:val="009C3A57"/>
    <w:rsid w:val="009C3C95"/>
    <w:rsid w:val="009C3EE7"/>
    <w:rsid w:val="009C3EEB"/>
    <w:rsid w:val="009C3FAA"/>
    <w:rsid w:val="009C41DA"/>
    <w:rsid w:val="009C42C8"/>
    <w:rsid w:val="009C44B3"/>
    <w:rsid w:val="009C4BE7"/>
    <w:rsid w:val="009C4DFA"/>
    <w:rsid w:val="009C521F"/>
    <w:rsid w:val="009C52C2"/>
    <w:rsid w:val="009C55B7"/>
    <w:rsid w:val="009C57D2"/>
    <w:rsid w:val="009C5EF5"/>
    <w:rsid w:val="009C6171"/>
    <w:rsid w:val="009C6174"/>
    <w:rsid w:val="009C68EF"/>
    <w:rsid w:val="009C6E8F"/>
    <w:rsid w:val="009C70C4"/>
    <w:rsid w:val="009C71FE"/>
    <w:rsid w:val="009C75F0"/>
    <w:rsid w:val="009C7CE4"/>
    <w:rsid w:val="009C7D08"/>
    <w:rsid w:val="009C7E37"/>
    <w:rsid w:val="009D0588"/>
    <w:rsid w:val="009D0A23"/>
    <w:rsid w:val="009D0DFC"/>
    <w:rsid w:val="009D0EF7"/>
    <w:rsid w:val="009D0FB2"/>
    <w:rsid w:val="009D0FD1"/>
    <w:rsid w:val="009D1224"/>
    <w:rsid w:val="009D1552"/>
    <w:rsid w:val="009D1A94"/>
    <w:rsid w:val="009D1EC0"/>
    <w:rsid w:val="009D22B8"/>
    <w:rsid w:val="009D2505"/>
    <w:rsid w:val="009D27EC"/>
    <w:rsid w:val="009D2B5C"/>
    <w:rsid w:val="009D2F42"/>
    <w:rsid w:val="009D3130"/>
    <w:rsid w:val="009D3139"/>
    <w:rsid w:val="009D3380"/>
    <w:rsid w:val="009D34B0"/>
    <w:rsid w:val="009D34CA"/>
    <w:rsid w:val="009D3A02"/>
    <w:rsid w:val="009D3C26"/>
    <w:rsid w:val="009D40D0"/>
    <w:rsid w:val="009D4144"/>
    <w:rsid w:val="009D4F04"/>
    <w:rsid w:val="009D4FD0"/>
    <w:rsid w:val="009D5359"/>
    <w:rsid w:val="009D5A5E"/>
    <w:rsid w:val="009D60E3"/>
    <w:rsid w:val="009D61E9"/>
    <w:rsid w:val="009D6834"/>
    <w:rsid w:val="009D6C7E"/>
    <w:rsid w:val="009D735C"/>
    <w:rsid w:val="009D79DF"/>
    <w:rsid w:val="009D7E32"/>
    <w:rsid w:val="009E0171"/>
    <w:rsid w:val="009E0B84"/>
    <w:rsid w:val="009E0C2A"/>
    <w:rsid w:val="009E0E2E"/>
    <w:rsid w:val="009E0ECD"/>
    <w:rsid w:val="009E1427"/>
    <w:rsid w:val="009E1565"/>
    <w:rsid w:val="009E20C3"/>
    <w:rsid w:val="009E27DC"/>
    <w:rsid w:val="009E2860"/>
    <w:rsid w:val="009E29E2"/>
    <w:rsid w:val="009E2A9E"/>
    <w:rsid w:val="009E2BE7"/>
    <w:rsid w:val="009E2F45"/>
    <w:rsid w:val="009E2F78"/>
    <w:rsid w:val="009E2FC3"/>
    <w:rsid w:val="009E30CA"/>
    <w:rsid w:val="009E35BE"/>
    <w:rsid w:val="009E3B8B"/>
    <w:rsid w:val="009E3CD2"/>
    <w:rsid w:val="009E3F7E"/>
    <w:rsid w:val="009E4547"/>
    <w:rsid w:val="009E4709"/>
    <w:rsid w:val="009E4DE5"/>
    <w:rsid w:val="009E4FB8"/>
    <w:rsid w:val="009E525F"/>
    <w:rsid w:val="009E555F"/>
    <w:rsid w:val="009E6016"/>
    <w:rsid w:val="009E60BB"/>
    <w:rsid w:val="009E611F"/>
    <w:rsid w:val="009E7D5D"/>
    <w:rsid w:val="009F08AB"/>
    <w:rsid w:val="009F0D2A"/>
    <w:rsid w:val="009F1242"/>
    <w:rsid w:val="009F131D"/>
    <w:rsid w:val="009F17AD"/>
    <w:rsid w:val="009F20FD"/>
    <w:rsid w:val="009F2AC8"/>
    <w:rsid w:val="009F2EA9"/>
    <w:rsid w:val="009F3CBB"/>
    <w:rsid w:val="009F40F0"/>
    <w:rsid w:val="009F42B7"/>
    <w:rsid w:val="009F42D4"/>
    <w:rsid w:val="009F44B3"/>
    <w:rsid w:val="009F489A"/>
    <w:rsid w:val="009F4972"/>
    <w:rsid w:val="009F51DF"/>
    <w:rsid w:val="009F5911"/>
    <w:rsid w:val="009F5A0F"/>
    <w:rsid w:val="009F5A54"/>
    <w:rsid w:val="009F5A75"/>
    <w:rsid w:val="009F5D94"/>
    <w:rsid w:val="009F6260"/>
    <w:rsid w:val="009F642E"/>
    <w:rsid w:val="009F658B"/>
    <w:rsid w:val="009F6642"/>
    <w:rsid w:val="009F68E7"/>
    <w:rsid w:val="009F69AE"/>
    <w:rsid w:val="009F6A02"/>
    <w:rsid w:val="009F74A9"/>
    <w:rsid w:val="009F76CE"/>
    <w:rsid w:val="009F7A26"/>
    <w:rsid w:val="009F7BC8"/>
    <w:rsid w:val="009F7F64"/>
    <w:rsid w:val="00A00309"/>
    <w:rsid w:val="00A010CD"/>
    <w:rsid w:val="00A0119D"/>
    <w:rsid w:val="00A0161F"/>
    <w:rsid w:val="00A0182F"/>
    <w:rsid w:val="00A0198C"/>
    <w:rsid w:val="00A01A17"/>
    <w:rsid w:val="00A01A37"/>
    <w:rsid w:val="00A01BF9"/>
    <w:rsid w:val="00A01EA3"/>
    <w:rsid w:val="00A01EE6"/>
    <w:rsid w:val="00A0216E"/>
    <w:rsid w:val="00A0253F"/>
    <w:rsid w:val="00A02BB8"/>
    <w:rsid w:val="00A02DE2"/>
    <w:rsid w:val="00A02E7D"/>
    <w:rsid w:val="00A03072"/>
    <w:rsid w:val="00A0319D"/>
    <w:rsid w:val="00A03E1D"/>
    <w:rsid w:val="00A03E4A"/>
    <w:rsid w:val="00A043E6"/>
    <w:rsid w:val="00A04459"/>
    <w:rsid w:val="00A046A1"/>
    <w:rsid w:val="00A047B2"/>
    <w:rsid w:val="00A04A9E"/>
    <w:rsid w:val="00A04B50"/>
    <w:rsid w:val="00A04EE7"/>
    <w:rsid w:val="00A05B48"/>
    <w:rsid w:val="00A05DA7"/>
    <w:rsid w:val="00A06229"/>
    <w:rsid w:val="00A0644F"/>
    <w:rsid w:val="00A06469"/>
    <w:rsid w:val="00A06B6E"/>
    <w:rsid w:val="00A06D0F"/>
    <w:rsid w:val="00A06E4D"/>
    <w:rsid w:val="00A0718B"/>
    <w:rsid w:val="00A07FC3"/>
    <w:rsid w:val="00A1093D"/>
    <w:rsid w:val="00A10D22"/>
    <w:rsid w:val="00A1168C"/>
    <w:rsid w:val="00A11A4E"/>
    <w:rsid w:val="00A11D5C"/>
    <w:rsid w:val="00A1289D"/>
    <w:rsid w:val="00A12B8A"/>
    <w:rsid w:val="00A12E59"/>
    <w:rsid w:val="00A13064"/>
    <w:rsid w:val="00A136C7"/>
    <w:rsid w:val="00A13A49"/>
    <w:rsid w:val="00A14101"/>
    <w:rsid w:val="00A14198"/>
    <w:rsid w:val="00A142C4"/>
    <w:rsid w:val="00A149E5"/>
    <w:rsid w:val="00A14E9E"/>
    <w:rsid w:val="00A151C6"/>
    <w:rsid w:val="00A1545E"/>
    <w:rsid w:val="00A15FDE"/>
    <w:rsid w:val="00A16106"/>
    <w:rsid w:val="00A16726"/>
    <w:rsid w:val="00A167FB"/>
    <w:rsid w:val="00A16A5D"/>
    <w:rsid w:val="00A16D26"/>
    <w:rsid w:val="00A16EC9"/>
    <w:rsid w:val="00A16F21"/>
    <w:rsid w:val="00A17202"/>
    <w:rsid w:val="00A17214"/>
    <w:rsid w:val="00A200A8"/>
    <w:rsid w:val="00A200BC"/>
    <w:rsid w:val="00A2036B"/>
    <w:rsid w:val="00A203A9"/>
    <w:rsid w:val="00A204B9"/>
    <w:rsid w:val="00A21803"/>
    <w:rsid w:val="00A2269E"/>
    <w:rsid w:val="00A229B1"/>
    <w:rsid w:val="00A22DB3"/>
    <w:rsid w:val="00A23188"/>
    <w:rsid w:val="00A236A3"/>
    <w:rsid w:val="00A23802"/>
    <w:rsid w:val="00A23856"/>
    <w:rsid w:val="00A23E52"/>
    <w:rsid w:val="00A24940"/>
    <w:rsid w:val="00A24A1B"/>
    <w:rsid w:val="00A2502A"/>
    <w:rsid w:val="00A26041"/>
    <w:rsid w:val="00A26192"/>
    <w:rsid w:val="00A262AA"/>
    <w:rsid w:val="00A26734"/>
    <w:rsid w:val="00A26ACF"/>
    <w:rsid w:val="00A26D00"/>
    <w:rsid w:val="00A271AB"/>
    <w:rsid w:val="00A27A0E"/>
    <w:rsid w:val="00A30128"/>
    <w:rsid w:val="00A3044C"/>
    <w:rsid w:val="00A31943"/>
    <w:rsid w:val="00A32299"/>
    <w:rsid w:val="00A32506"/>
    <w:rsid w:val="00A32584"/>
    <w:rsid w:val="00A326B4"/>
    <w:rsid w:val="00A32A69"/>
    <w:rsid w:val="00A32B3A"/>
    <w:rsid w:val="00A32E8A"/>
    <w:rsid w:val="00A33072"/>
    <w:rsid w:val="00A3347E"/>
    <w:rsid w:val="00A3369C"/>
    <w:rsid w:val="00A33813"/>
    <w:rsid w:val="00A342D4"/>
    <w:rsid w:val="00A3477D"/>
    <w:rsid w:val="00A3508B"/>
    <w:rsid w:val="00A35490"/>
    <w:rsid w:val="00A35CE4"/>
    <w:rsid w:val="00A35F15"/>
    <w:rsid w:val="00A36680"/>
    <w:rsid w:val="00A3696F"/>
    <w:rsid w:val="00A36A80"/>
    <w:rsid w:val="00A37528"/>
    <w:rsid w:val="00A37807"/>
    <w:rsid w:val="00A378C0"/>
    <w:rsid w:val="00A40572"/>
    <w:rsid w:val="00A40A60"/>
    <w:rsid w:val="00A40AA7"/>
    <w:rsid w:val="00A40B3C"/>
    <w:rsid w:val="00A40D5E"/>
    <w:rsid w:val="00A410CB"/>
    <w:rsid w:val="00A414A2"/>
    <w:rsid w:val="00A415CF"/>
    <w:rsid w:val="00A4166E"/>
    <w:rsid w:val="00A41C7B"/>
    <w:rsid w:val="00A41F80"/>
    <w:rsid w:val="00A42322"/>
    <w:rsid w:val="00A425D2"/>
    <w:rsid w:val="00A427A5"/>
    <w:rsid w:val="00A428AC"/>
    <w:rsid w:val="00A428BE"/>
    <w:rsid w:val="00A43750"/>
    <w:rsid w:val="00A4406B"/>
    <w:rsid w:val="00A44947"/>
    <w:rsid w:val="00A44A36"/>
    <w:rsid w:val="00A45019"/>
    <w:rsid w:val="00A451CA"/>
    <w:rsid w:val="00A45B9B"/>
    <w:rsid w:val="00A45CF4"/>
    <w:rsid w:val="00A45DB2"/>
    <w:rsid w:val="00A45FFD"/>
    <w:rsid w:val="00A46029"/>
    <w:rsid w:val="00A46495"/>
    <w:rsid w:val="00A464C1"/>
    <w:rsid w:val="00A4692B"/>
    <w:rsid w:val="00A46A64"/>
    <w:rsid w:val="00A46D02"/>
    <w:rsid w:val="00A47A1A"/>
    <w:rsid w:val="00A47FBC"/>
    <w:rsid w:val="00A50097"/>
    <w:rsid w:val="00A50BC8"/>
    <w:rsid w:val="00A50D7D"/>
    <w:rsid w:val="00A50E3E"/>
    <w:rsid w:val="00A50F29"/>
    <w:rsid w:val="00A51505"/>
    <w:rsid w:val="00A51EDE"/>
    <w:rsid w:val="00A521C3"/>
    <w:rsid w:val="00A526D9"/>
    <w:rsid w:val="00A52DC4"/>
    <w:rsid w:val="00A52E33"/>
    <w:rsid w:val="00A52F07"/>
    <w:rsid w:val="00A52FBB"/>
    <w:rsid w:val="00A53DD2"/>
    <w:rsid w:val="00A543B6"/>
    <w:rsid w:val="00A54425"/>
    <w:rsid w:val="00A5467B"/>
    <w:rsid w:val="00A551F6"/>
    <w:rsid w:val="00A55514"/>
    <w:rsid w:val="00A555DA"/>
    <w:rsid w:val="00A555F5"/>
    <w:rsid w:val="00A5578D"/>
    <w:rsid w:val="00A55CE9"/>
    <w:rsid w:val="00A55D4E"/>
    <w:rsid w:val="00A56070"/>
    <w:rsid w:val="00A56E14"/>
    <w:rsid w:val="00A57049"/>
    <w:rsid w:val="00A574A5"/>
    <w:rsid w:val="00A57A4A"/>
    <w:rsid w:val="00A57A8F"/>
    <w:rsid w:val="00A57BE4"/>
    <w:rsid w:val="00A60159"/>
    <w:rsid w:val="00A60E18"/>
    <w:rsid w:val="00A60F92"/>
    <w:rsid w:val="00A612FD"/>
    <w:rsid w:val="00A615A2"/>
    <w:rsid w:val="00A61902"/>
    <w:rsid w:val="00A61A4D"/>
    <w:rsid w:val="00A61C17"/>
    <w:rsid w:val="00A628D0"/>
    <w:rsid w:val="00A6390C"/>
    <w:rsid w:val="00A63CBF"/>
    <w:rsid w:val="00A643B0"/>
    <w:rsid w:val="00A64CF9"/>
    <w:rsid w:val="00A657AA"/>
    <w:rsid w:val="00A65872"/>
    <w:rsid w:val="00A662BD"/>
    <w:rsid w:val="00A664A7"/>
    <w:rsid w:val="00A667B7"/>
    <w:rsid w:val="00A6698A"/>
    <w:rsid w:val="00A669D5"/>
    <w:rsid w:val="00A66ACD"/>
    <w:rsid w:val="00A66BB1"/>
    <w:rsid w:val="00A6746E"/>
    <w:rsid w:val="00A6748B"/>
    <w:rsid w:val="00A67553"/>
    <w:rsid w:val="00A67BEC"/>
    <w:rsid w:val="00A7003F"/>
    <w:rsid w:val="00A70115"/>
    <w:rsid w:val="00A7039F"/>
    <w:rsid w:val="00A703D1"/>
    <w:rsid w:val="00A708B8"/>
    <w:rsid w:val="00A70AD8"/>
    <w:rsid w:val="00A70BF2"/>
    <w:rsid w:val="00A70D36"/>
    <w:rsid w:val="00A71259"/>
    <w:rsid w:val="00A7129C"/>
    <w:rsid w:val="00A7168D"/>
    <w:rsid w:val="00A7169B"/>
    <w:rsid w:val="00A7171A"/>
    <w:rsid w:val="00A71BCE"/>
    <w:rsid w:val="00A72317"/>
    <w:rsid w:val="00A72430"/>
    <w:rsid w:val="00A72714"/>
    <w:rsid w:val="00A72729"/>
    <w:rsid w:val="00A728DD"/>
    <w:rsid w:val="00A72E9C"/>
    <w:rsid w:val="00A7367A"/>
    <w:rsid w:val="00A739C9"/>
    <w:rsid w:val="00A73D39"/>
    <w:rsid w:val="00A73E99"/>
    <w:rsid w:val="00A743BA"/>
    <w:rsid w:val="00A744E5"/>
    <w:rsid w:val="00A74C17"/>
    <w:rsid w:val="00A7561F"/>
    <w:rsid w:val="00A75ACB"/>
    <w:rsid w:val="00A75B61"/>
    <w:rsid w:val="00A75B88"/>
    <w:rsid w:val="00A75BF6"/>
    <w:rsid w:val="00A75BFC"/>
    <w:rsid w:val="00A75D6D"/>
    <w:rsid w:val="00A76513"/>
    <w:rsid w:val="00A7686A"/>
    <w:rsid w:val="00A7687B"/>
    <w:rsid w:val="00A7689E"/>
    <w:rsid w:val="00A768C2"/>
    <w:rsid w:val="00A768C3"/>
    <w:rsid w:val="00A7699F"/>
    <w:rsid w:val="00A76A27"/>
    <w:rsid w:val="00A76AFB"/>
    <w:rsid w:val="00A76FF9"/>
    <w:rsid w:val="00A7716C"/>
    <w:rsid w:val="00A77174"/>
    <w:rsid w:val="00A77617"/>
    <w:rsid w:val="00A77BA5"/>
    <w:rsid w:val="00A77F7D"/>
    <w:rsid w:val="00A8033A"/>
    <w:rsid w:val="00A803B5"/>
    <w:rsid w:val="00A805AE"/>
    <w:rsid w:val="00A80DE9"/>
    <w:rsid w:val="00A80F66"/>
    <w:rsid w:val="00A80F6C"/>
    <w:rsid w:val="00A80F80"/>
    <w:rsid w:val="00A81085"/>
    <w:rsid w:val="00A8178B"/>
    <w:rsid w:val="00A819A9"/>
    <w:rsid w:val="00A828E8"/>
    <w:rsid w:val="00A82BE3"/>
    <w:rsid w:val="00A82FBF"/>
    <w:rsid w:val="00A83128"/>
    <w:rsid w:val="00A83EC7"/>
    <w:rsid w:val="00A83F2A"/>
    <w:rsid w:val="00A8446B"/>
    <w:rsid w:val="00A847F9"/>
    <w:rsid w:val="00A8490B"/>
    <w:rsid w:val="00A84A9E"/>
    <w:rsid w:val="00A85476"/>
    <w:rsid w:val="00A85C91"/>
    <w:rsid w:val="00A85F60"/>
    <w:rsid w:val="00A863DF"/>
    <w:rsid w:val="00A869CE"/>
    <w:rsid w:val="00A87094"/>
    <w:rsid w:val="00A87A89"/>
    <w:rsid w:val="00A87A97"/>
    <w:rsid w:val="00A87FCD"/>
    <w:rsid w:val="00A90479"/>
    <w:rsid w:val="00A9048D"/>
    <w:rsid w:val="00A908AC"/>
    <w:rsid w:val="00A90C18"/>
    <w:rsid w:val="00A90E3C"/>
    <w:rsid w:val="00A91114"/>
    <w:rsid w:val="00A91521"/>
    <w:rsid w:val="00A91C75"/>
    <w:rsid w:val="00A9207B"/>
    <w:rsid w:val="00A9227B"/>
    <w:rsid w:val="00A9252A"/>
    <w:rsid w:val="00A9256A"/>
    <w:rsid w:val="00A92615"/>
    <w:rsid w:val="00A92CBA"/>
    <w:rsid w:val="00A93BD2"/>
    <w:rsid w:val="00A93DA6"/>
    <w:rsid w:val="00A93FD2"/>
    <w:rsid w:val="00A943EE"/>
    <w:rsid w:val="00A94A67"/>
    <w:rsid w:val="00A94C02"/>
    <w:rsid w:val="00A94F6F"/>
    <w:rsid w:val="00A95267"/>
    <w:rsid w:val="00A95662"/>
    <w:rsid w:val="00A956C7"/>
    <w:rsid w:val="00A95A5B"/>
    <w:rsid w:val="00A962F0"/>
    <w:rsid w:val="00A96373"/>
    <w:rsid w:val="00A96393"/>
    <w:rsid w:val="00A96A23"/>
    <w:rsid w:val="00A96B8B"/>
    <w:rsid w:val="00A96BE8"/>
    <w:rsid w:val="00A975FD"/>
    <w:rsid w:val="00A97BC8"/>
    <w:rsid w:val="00A97D56"/>
    <w:rsid w:val="00AA1599"/>
    <w:rsid w:val="00AA1BCB"/>
    <w:rsid w:val="00AA23DB"/>
    <w:rsid w:val="00AA2E14"/>
    <w:rsid w:val="00AA3223"/>
    <w:rsid w:val="00AA32D8"/>
    <w:rsid w:val="00AA34CD"/>
    <w:rsid w:val="00AA35E4"/>
    <w:rsid w:val="00AA3758"/>
    <w:rsid w:val="00AA3C05"/>
    <w:rsid w:val="00AA3EC9"/>
    <w:rsid w:val="00AA41DE"/>
    <w:rsid w:val="00AA4548"/>
    <w:rsid w:val="00AA4665"/>
    <w:rsid w:val="00AA497B"/>
    <w:rsid w:val="00AA4D93"/>
    <w:rsid w:val="00AA4F8F"/>
    <w:rsid w:val="00AA5681"/>
    <w:rsid w:val="00AA56A8"/>
    <w:rsid w:val="00AA617F"/>
    <w:rsid w:val="00AA6360"/>
    <w:rsid w:val="00AA64B6"/>
    <w:rsid w:val="00AA6689"/>
    <w:rsid w:val="00AA67C1"/>
    <w:rsid w:val="00AA6B2F"/>
    <w:rsid w:val="00AA6FE9"/>
    <w:rsid w:val="00AA7B10"/>
    <w:rsid w:val="00AA7B39"/>
    <w:rsid w:val="00AA7B60"/>
    <w:rsid w:val="00AA7E2B"/>
    <w:rsid w:val="00AB017B"/>
    <w:rsid w:val="00AB033A"/>
    <w:rsid w:val="00AB0360"/>
    <w:rsid w:val="00AB03E9"/>
    <w:rsid w:val="00AB0ABC"/>
    <w:rsid w:val="00AB0DFB"/>
    <w:rsid w:val="00AB0E75"/>
    <w:rsid w:val="00AB1151"/>
    <w:rsid w:val="00AB12F6"/>
    <w:rsid w:val="00AB1934"/>
    <w:rsid w:val="00AB1E66"/>
    <w:rsid w:val="00AB2299"/>
    <w:rsid w:val="00AB2507"/>
    <w:rsid w:val="00AB2C37"/>
    <w:rsid w:val="00AB3398"/>
    <w:rsid w:val="00AB3632"/>
    <w:rsid w:val="00AB3690"/>
    <w:rsid w:val="00AB36B1"/>
    <w:rsid w:val="00AB3DB9"/>
    <w:rsid w:val="00AB3EB4"/>
    <w:rsid w:val="00AB4D5A"/>
    <w:rsid w:val="00AB520D"/>
    <w:rsid w:val="00AB5AB9"/>
    <w:rsid w:val="00AB621A"/>
    <w:rsid w:val="00AB63B2"/>
    <w:rsid w:val="00AB6D87"/>
    <w:rsid w:val="00AB74C1"/>
    <w:rsid w:val="00AB7F6B"/>
    <w:rsid w:val="00AC0049"/>
    <w:rsid w:val="00AC02DC"/>
    <w:rsid w:val="00AC030B"/>
    <w:rsid w:val="00AC0AEA"/>
    <w:rsid w:val="00AC138A"/>
    <w:rsid w:val="00AC15E6"/>
    <w:rsid w:val="00AC1749"/>
    <w:rsid w:val="00AC180C"/>
    <w:rsid w:val="00AC1BEE"/>
    <w:rsid w:val="00AC1C6B"/>
    <w:rsid w:val="00AC21F9"/>
    <w:rsid w:val="00AC22BD"/>
    <w:rsid w:val="00AC2474"/>
    <w:rsid w:val="00AC25AA"/>
    <w:rsid w:val="00AC2861"/>
    <w:rsid w:val="00AC28BB"/>
    <w:rsid w:val="00AC38BE"/>
    <w:rsid w:val="00AC3D04"/>
    <w:rsid w:val="00AC41F3"/>
    <w:rsid w:val="00AC4463"/>
    <w:rsid w:val="00AC4960"/>
    <w:rsid w:val="00AC4A92"/>
    <w:rsid w:val="00AC4B24"/>
    <w:rsid w:val="00AC54E3"/>
    <w:rsid w:val="00AC561B"/>
    <w:rsid w:val="00AC579C"/>
    <w:rsid w:val="00AC581C"/>
    <w:rsid w:val="00AC5B48"/>
    <w:rsid w:val="00AC5D18"/>
    <w:rsid w:val="00AC5D5A"/>
    <w:rsid w:val="00AC5E36"/>
    <w:rsid w:val="00AC61AD"/>
    <w:rsid w:val="00AC61B5"/>
    <w:rsid w:val="00AC6858"/>
    <w:rsid w:val="00AC6DA1"/>
    <w:rsid w:val="00AC7788"/>
    <w:rsid w:val="00AC7E35"/>
    <w:rsid w:val="00AD0108"/>
    <w:rsid w:val="00AD0530"/>
    <w:rsid w:val="00AD058F"/>
    <w:rsid w:val="00AD07F4"/>
    <w:rsid w:val="00AD0802"/>
    <w:rsid w:val="00AD14D0"/>
    <w:rsid w:val="00AD17C6"/>
    <w:rsid w:val="00AD221E"/>
    <w:rsid w:val="00AD2510"/>
    <w:rsid w:val="00AD251B"/>
    <w:rsid w:val="00AD254A"/>
    <w:rsid w:val="00AD3B7F"/>
    <w:rsid w:val="00AD3F0F"/>
    <w:rsid w:val="00AD429A"/>
    <w:rsid w:val="00AD42DE"/>
    <w:rsid w:val="00AD4455"/>
    <w:rsid w:val="00AD480D"/>
    <w:rsid w:val="00AD4D2C"/>
    <w:rsid w:val="00AD4E4B"/>
    <w:rsid w:val="00AD56A4"/>
    <w:rsid w:val="00AD585C"/>
    <w:rsid w:val="00AD5C81"/>
    <w:rsid w:val="00AD5CF7"/>
    <w:rsid w:val="00AD5FBC"/>
    <w:rsid w:val="00AD6600"/>
    <w:rsid w:val="00AD67D2"/>
    <w:rsid w:val="00AD6D56"/>
    <w:rsid w:val="00AD753C"/>
    <w:rsid w:val="00AE0206"/>
    <w:rsid w:val="00AE0523"/>
    <w:rsid w:val="00AE15F5"/>
    <w:rsid w:val="00AE1BBE"/>
    <w:rsid w:val="00AE1BC2"/>
    <w:rsid w:val="00AE1D39"/>
    <w:rsid w:val="00AE2069"/>
    <w:rsid w:val="00AE2318"/>
    <w:rsid w:val="00AE2330"/>
    <w:rsid w:val="00AE23CF"/>
    <w:rsid w:val="00AE27BE"/>
    <w:rsid w:val="00AE2814"/>
    <w:rsid w:val="00AE285A"/>
    <w:rsid w:val="00AE2E15"/>
    <w:rsid w:val="00AE37B0"/>
    <w:rsid w:val="00AE39C5"/>
    <w:rsid w:val="00AE39CD"/>
    <w:rsid w:val="00AE3AAF"/>
    <w:rsid w:val="00AE3D1C"/>
    <w:rsid w:val="00AE460B"/>
    <w:rsid w:val="00AE461A"/>
    <w:rsid w:val="00AE4733"/>
    <w:rsid w:val="00AE48E2"/>
    <w:rsid w:val="00AE4B2F"/>
    <w:rsid w:val="00AE4B3C"/>
    <w:rsid w:val="00AE4DB8"/>
    <w:rsid w:val="00AE57E9"/>
    <w:rsid w:val="00AE58A6"/>
    <w:rsid w:val="00AE646B"/>
    <w:rsid w:val="00AE677D"/>
    <w:rsid w:val="00AE6979"/>
    <w:rsid w:val="00AE7A88"/>
    <w:rsid w:val="00AE7EEB"/>
    <w:rsid w:val="00AF0451"/>
    <w:rsid w:val="00AF0531"/>
    <w:rsid w:val="00AF07B0"/>
    <w:rsid w:val="00AF07CA"/>
    <w:rsid w:val="00AF0881"/>
    <w:rsid w:val="00AF0C4C"/>
    <w:rsid w:val="00AF0D43"/>
    <w:rsid w:val="00AF10FE"/>
    <w:rsid w:val="00AF127F"/>
    <w:rsid w:val="00AF152D"/>
    <w:rsid w:val="00AF165F"/>
    <w:rsid w:val="00AF2334"/>
    <w:rsid w:val="00AF2600"/>
    <w:rsid w:val="00AF2AFE"/>
    <w:rsid w:val="00AF2B61"/>
    <w:rsid w:val="00AF34E8"/>
    <w:rsid w:val="00AF3561"/>
    <w:rsid w:val="00AF36FE"/>
    <w:rsid w:val="00AF389C"/>
    <w:rsid w:val="00AF3FDD"/>
    <w:rsid w:val="00AF4B15"/>
    <w:rsid w:val="00AF4D4C"/>
    <w:rsid w:val="00AF5012"/>
    <w:rsid w:val="00AF506F"/>
    <w:rsid w:val="00AF554B"/>
    <w:rsid w:val="00AF55AF"/>
    <w:rsid w:val="00AF5621"/>
    <w:rsid w:val="00AF56A6"/>
    <w:rsid w:val="00AF5B95"/>
    <w:rsid w:val="00AF5DB5"/>
    <w:rsid w:val="00AF61AB"/>
    <w:rsid w:val="00AF66B7"/>
    <w:rsid w:val="00AF66DE"/>
    <w:rsid w:val="00AF68D7"/>
    <w:rsid w:val="00AF701E"/>
    <w:rsid w:val="00AF7645"/>
    <w:rsid w:val="00AF78F6"/>
    <w:rsid w:val="00AF7E86"/>
    <w:rsid w:val="00B00287"/>
    <w:rsid w:val="00B0062E"/>
    <w:rsid w:val="00B00DB5"/>
    <w:rsid w:val="00B01036"/>
    <w:rsid w:val="00B0199A"/>
    <w:rsid w:val="00B021C1"/>
    <w:rsid w:val="00B02248"/>
    <w:rsid w:val="00B027E0"/>
    <w:rsid w:val="00B02B54"/>
    <w:rsid w:val="00B02D60"/>
    <w:rsid w:val="00B0311C"/>
    <w:rsid w:val="00B03565"/>
    <w:rsid w:val="00B0366E"/>
    <w:rsid w:val="00B03953"/>
    <w:rsid w:val="00B03A68"/>
    <w:rsid w:val="00B03BCB"/>
    <w:rsid w:val="00B03FC7"/>
    <w:rsid w:val="00B04034"/>
    <w:rsid w:val="00B04230"/>
    <w:rsid w:val="00B04965"/>
    <w:rsid w:val="00B05086"/>
    <w:rsid w:val="00B0525E"/>
    <w:rsid w:val="00B054D6"/>
    <w:rsid w:val="00B05CF1"/>
    <w:rsid w:val="00B05E01"/>
    <w:rsid w:val="00B05E6D"/>
    <w:rsid w:val="00B06B11"/>
    <w:rsid w:val="00B0735F"/>
    <w:rsid w:val="00B074DF"/>
    <w:rsid w:val="00B0778B"/>
    <w:rsid w:val="00B07847"/>
    <w:rsid w:val="00B0793B"/>
    <w:rsid w:val="00B07CF5"/>
    <w:rsid w:val="00B1038F"/>
    <w:rsid w:val="00B10B99"/>
    <w:rsid w:val="00B11191"/>
    <w:rsid w:val="00B11971"/>
    <w:rsid w:val="00B11C3E"/>
    <w:rsid w:val="00B11E3A"/>
    <w:rsid w:val="00B127C1"/>
    <w:rsid w:val="00B12D7A"/>
    <w:rsid w:val="00B1373E"/>
    <w:rsid w:val="00B13886"/>
    <w:rsid w:val="00B138FF"/>
    <w:rsid w:val="00B139DF"/>
    <w:rsid w:val="00B14143"/>
    <w:rsid w:val="00B147EB"/>
    <w:rsid w:val="00B14C45"/>
    <w:rsid w:val="00B14C7F"/>
    <w:rsid w:val="00B14D52"/>
    <w:rsid w:val="00B150EB"/>
    <w:rsid w:val="00B150F1"/>
    <w:rsid w:val="00B15A88"/>
    <w:rsid w:val="00B164EB"/>
    <w:rsid w:val="00B16579"/>
    <w:rsid w:val="00B16B5D"/>
    <w:rsid w:val="00B16D49"/>
    <w:rsid w:val="00B17028"/>
    <w:rsid w:val="00B171D4"/>
    <w:rsid w:val="00B174D2"/>
    <w:rsid w:val="00B17988"/>
    <w:rsid w:val="00B17A46"/>
    <w:rsid w:val="00B17D4C"/>
    <w:rsid w:val="00B201B8"/>
    <w:rsid w:val="00B20564"/>
    <w:rsid w:val="00B207DD"/>
    <w:rsid w:val="00B209C4"/>
    <w:rsid w:val="00B211A1"/>
    <w:rsid w:val="00B2128C"/>
    <w:rsid w:val="00B21291"/>
    <w:rsid w:val="00B21B65"/>
    <w:rsid w:val="00B21CE3"/>
    <w:rsid w:val="00B22B1D"/>
    <w:rsid w:val="00B22E95"/>
    <w:rsid w:val="00B22EDE"/>
    <w:rsid w:val="00B23667"/>
    <w:rsid w:val="00B23866"/>
    <w:rsid w:val="00B2452B"/>
    <w:rsid w:val="00B24569"/>
    <w:rsid w:val="00B24B6C"/>
    <w:rsid w:val="00B24D78"/>
    <w:rsid w:val="00B24E68"/>
    <w:rsid w:val="00B25923"/>
    <w:rsid w:val="00B25D74"/>
    <w:rsid w:val="00B25FB1"/>
    <w:rsid w:val="00B260DF"/>
    <w:rsid w:val="00B2626C"/>
    <w:rsid w:val="00B262AD"/>
    <w:rsid w:val="00B26349"/>
    <w:rsid w:val="00B26ABD"/>
    <w:rsid w:val="00B26FEE"/>
    <w:rsid w:val="00B2756F"/>
    <w:rsid w:val="00B279A4"/>
    <w:rsid w:val="00B27A11"/>
    <w:rsid w:val="00B27B28"/>
    <w:rsid w:val="00B27E98"/>
    <w:rsid w:val="00B30284"/>
    <w:rsid w:val="00B3028B"/>
    <w:rsid w:val="00B3045A"/>
    <w:rsid w:val="00B30487"/>
    <w:rsid w:val="00B30935"/>
    <w:rsid w:val="00B30A79"/>
    <w:rsid w:val="00B30AD5"/>
    <w:rsid w:val="00B30D56"/>
    <w:rsid w:val="00B3115D"/>
    <w:rsid w:val="00B311CB"/>
    <w:rsid w:val="00B31E8D"/>
    <w:rsid w:val="00B31EB2"/>
    <w:rsid w:val="00B31FD0"/>
    <w:rsid w:val="00B3210B"/>
    <w:rsid w:val="00B32349"/>
    <w:rsid w:val="00B32B5F"/>
    <w:rsid w:val="00B32C30"/>
    <w:rsid w:val="00B32FAD"/>
    <w:rsid w:val="00B33F0B"/>
    <w:rsid w:val="00B34118"/>
    <w:rsid w:val="00B349A0"/>
    <w:rsid w:val="00B34E4A"/>
    <w:rsid w:val="00B35144"/>
    <w:rsid w:val="00B3580C"/>
    <w:rsid w:val="00B35865"/>
    <w:rsid w:val="00B3602D"/>
    <w:rsid w:val="00B36354"/>
    <w:rsid w:val="00B364A7"/>
    <w:rsid w:val="00B364DC"/>
    <w:rsid w:val="00B3665F"/>
    <w:rsid w:val="00B36E09"/>
    <w:rsid w:val="00B37048"/>
    <w:rsid w:val="00B371BC"/>
    <w:rsid w:val="00B37399"/>
    <w:rsid w:val="00B37825"/>
    <w:rsid w:val="00B37BF6"/>
    <w:rsid w:val="00B37C98"/>
    <w:rsid w:val="00B401C0"/>
    <w:rsid w:val="00B40214"/>
    <w:rsid w:val="00B4084A"/>
    <w:rsid w:val="00B409CD"/>
    <w:rsid w:val="00B409E0"/>
    <w:rsid w:val="00B40B51"/>
    <w:rsid w:val="00B41770"/>
    <w:rsid w:val="00B4191F"/>
    <w:rsid w:val="00B41BBF"/>
    <w:rsid w:val="00B425A5"/>
    <w:rsid w:val="00B4294C"/>
    <w:rsid w:val="00B4297F"/>
    <w:rsid w:val="00B42AD8"/>
    <w:rsid w:val="00B42BEC"/>
    <w:rsid w:val="00B42CAA"/>
    <w:rsid w:val="00B42E33"/>
    <w:rsid w:val="00B43001"/>
    <w:rsid w:val="00B430F1"/>
    <w:rsid w:val="00B43416"/>
    <w:rsid w:val="00B43563"/>
    <w:rsid w:val="00B43A6F"/>
    <w:rsid w:val="00B43EC6"/>
    <w:rsid w:val="00B43FD5"/>
    <w:rsid w:val="00B4409D"/>
    <w:rsid w:val="00B44F2E"/>
    <w:rsid w:val="00B452F1"/>
    <w:rsid w:val="00B45430"/>
    <w:rsid w:val="00B45855"/>
    <w:rsid w:val="00B45B08"/>
    <w:rsid w:val="00B45BD8"/>
    <w:rsid w:val="00B460A2"/>
    <w:rsid w:val="00B4635C"/>
    <w:rsid w:val="00B469E5"/>
    <w:rsid w:val="00B46B70"/>
    <w:rsid w:val="00B46D4B"/>
    <w:rsid w:val="00B4700A"/>
    <w:rsid w:val="00B47047"/>
    <w:rsid w:val="00B47089"/>
    <w:rsid w:val="00B4735B"/>
    <w:rsid w:val="00B47469"/>
    <w:rsid w:val="00B479D5"/>
    <w:rsid w:val="00B47C62"/>
    <w:rsid w:val="00B5012C"/>
    <w:rsid w:val="00B508F5"/>
    <w:rsid w:val="00B50902"/>
    <w:rsid w:val="00B50A83"/>
    <w:rsid w:val="00B50AF5"/>
    <w:rsid w:val="00B50B13"/>
    <w:rsid w:val="00B50E85"/>
    <w:rsid w:val="00B519B2"/>
    <w:rsid w:val="00B51A2A"/>
    <w:rsid w:val="00B51E00"/>
    <w:rsid w:val="00B523FC"/>
    <w:rsid w:val="00B529D3"/>
    <w:rsid w:val="00B52C25"/>
    <w:rsid w:val="00B52C65"/>
    <w:rsid w:val="00B52D2E"/>
    <w:rsid w:val="00B52EF6"/>
    <w:rsid w:val="00B531B5"/>
    <w:rsid w:val="00B533AD"/>
    <w:rsid w:val="00B53547"/>
    <w:rsid w:val="00B53616"/>
    <w:rsid w:val="00B537F5"/>
    <w:rsid w:val="00B53A46"/>
    <w:rsid w:val="00B54039"/>
    <w:rsid w:val="00B5481F"/>
    <w:rsid w:val="00B54846"/>
    <w:rsid w:val="00B54995"/>
    <w:rsid w:val="00B54B2F"/>
    <w:rsid w:val="00B54BC0"/>
    <w:rsid w:val="00B55487"/>
    <w:rsid w:val="00B5567F"/>
    <w:rsid w:val="00B55B4E"/>
    <w:rsid w:val="00B55C92"/>
    <w:rsid w:val="00B56180"/>
    <w:rsid w:val="00B5645B"/>
    <w:rsid w:val="00B56874"/>
    <w:rsid w:val="00B56C52"/>
    <w:rsid w:val="00B56D46"/>
    <w:rsid w:val="00B56F5D"/>
    <w:rsid w:val="00B572C4"/>
    <w:rsid w:val="00B5773F"/>
    <w:rsid w:val="00B579A6"/>
    <w:rsid w:val="00B579E1"/>
    <w:rsid w:val="00B57A7A"/>
    <w:rsid w:val="00B57EAE"/>
    <w:rsid w:val="00B60905"/>
    <w:rsid w:val="00B60E3E"/>
    <w:rsid w:val="00B612B5"/>
    <w:rsid w:val="00B61E92"/>
    <w:rsid w:val="00B62807"/>
    <w:rsid w:val="00B62EB4"/>
    <w:rsid w:val="00B62F8E"/>
    <w:rsid w:val="00B630B3"/>
    <w:rsid w:val="00B63343"/>
    <w:rsid w:val="00B633A8"/>
    <w:rsid w:val="00B6340D"/>
    <w:rsid w:val="00B63ADD"/>
    <w:rsid w:val="00B63B9D"/>
    <w:rsid w:val="00B63F3D"/>
    <w:rsid w:val="00B64389"/>
    <w:rsid w:val="00B649C7"/>
    <w:rsid w:val="00B64A68"/>
    <w:rsid w:val="00B64CDE"/>
    <w:rsid w:val="00B65522"/>
    <w:rsid w:val="00B65903"/>
    <w:rsid w:val="00B659B7"/>
    <w:rsid w:val="00B65A98"/>
    <w:rsid w:val="00B660B3"/>
    <w:rsid w:val="00B66621"/>
    <w:rsid w:val="00B66A6E"/>
    <w:rsid w:val="00B66C52"/>
    <w:rsid w:val="00B66F09"/>
    <w:rsid w:val="00B67424"/>
    <w:rsid w:val="00B67A41"/>
    <w:rsid w:val="00B67CDB"/>
    <w:rsid w:val="00B67E76"/>
    <w:rsid w:val="00B7068D"/>
    <w:rsid w:val="00B708EC"/>
    <w:rsid w:val="00B71624"/>
    <w:rsid w:val="00B72345"/>
    <w:rsid w:val="00B7323E"/>
    <w:rsid w:val="00B7349D"/>
    <w:rsid w:val="00B734EA"/>
    <w:rsid w:val="00B739AA"/>
    <w:rsid w:val="00B74216"/>
    <w:rsid w:val="00B74885"/>
    <w:rsid w:val="00B749B9"/>
    <w:rsid w:val="00B74A0C"/>
    <w:rsid w:val="00B74EA3"/>
    <w:rsid w:val="00B74F34"/>
    <w:rsid w:val="00B761B1"/>
    <w:rsid w:val="00B76298"/>
    <w:rsid w:val="00B76315"/>
    <w:rsid w:val="00B76571"/>
    <w:rsid w:val="00B7698A"/>
    <w:rsid w:val="00B76A51"/>
    <w:rsid w:val="00B76C38"/>
    <w:rsid w:val="00B772CD"/>
    <w:rsid w:val="00B77380"/>
    <w:rsid w:val="00B77AD8"/>
    <w:rsid w:val="00B803EF"/>
    <w:rsid w:val="00B810F1"/>
    <w:rsid w:val="00B82013"/>
    <w:rsid w:val="00B823D9"/>
    <w:rsid w:val="00B8262D"/>
    <w:rsid w:val="00B826D3"/>
    <w:rsid w:val="00B82F33"/>
    <w:rsid w:val="00B8345A"/>
    <w:rsid w:val="00B83B7C"/>
    <w:rsid w:val="00B83EBC"/>
    <w:rsid w:val="00B83F5F"/>
    <w:rsid w:val="00B83F7F"/>
    <w:rsid w:val="00B83FDA"/>
    <w:rsid w:val="00B84001"/>
    <w:rsid w:val="00B847E1"/>
    <w:rsid w:val="00B84C00"/>
    <w:rsid w:val="00B84C49"/>
    <w:rsid w:val="00B84CA0"/>
    <w:rsid w:val="00B8551B"/>
    <w:rsid w:val="00B85BE9"/>
    <w:rsid w:val="00B85C85"/>
    <w:rsid w:val="00B85D53"/>
    <w:rsid w:val="00B85DED"/>
    <w:rsid w:val="00B86499"/>
    <w:rsid w:val="00B872C5"/>
    <w:rsid w:val="00B876F6"/>
    <w:rsid w:val="00B87A1D"/>
    <w:rsid w:val="00B87A87"/>
    <w:rsid w:val="00B87ACC"/>
    <w:rsid w:val="00B87DED"/>
    <w:rsid w:val="00B87E8B"/>
    <w:rsid w:val="00B900AE"/>
    <w:rsid w:val="00B9046D"/>
    <w:rsid w:val="00B90611"/>
    <w:rsid w:val="00B9070E"/>
    <w:rsid w:val="00B90D32"/>
    <w:rsid w:val="00B90F12"/>
    <w:rsid w:val="00B90F89"/>
    <w:rsid w:val="00B91D35"/>
    <w:rsid w:val="00B91EAD"/>
    <w:rsid w:val="00B9221B"/>
    <w:rsid w:val="00B92252"/>
    <w:rsid w:val="00B9225A"/>
    <w:rsid w:val="00B923AE"/>
    <w:rsid w:val="00B924F7"/>
    <w:rsid w:val="00B92525"/>
    <w:rsid w:val="00B92536"/>
    <w:rsid w:val="00B925B6"/>
    <w:rsid w:val="00B92789"/>
    <w:rsid w:val="00B92CF1"/>
    <w:rsid w:val="00B92FD8"/>
    <w:rsid w:val="00B931A7"/>
    <w:rsid w:val="00B9353F"/>
    <w:rsid w:val="00B936EB"/>
    <w:rsid w:val="00B93C95"/>
    <w:rsid w:val="00B93D41"/>
    <w:rsid w:val="00B94027"/>
    <w:rsid w:val="00B940E1"/>
    <w:rsid w:val="00B94526"/>
    <w:rsid w:val="00B946BD"/>
    <w:rsid w:val="00B9471C"/>
    <w:rsid w:val="00B94D4A"/>
    <w:rsid w:val="00B9500B"/>
    <w:rsid w:val="00B9551E"/>
    <w:rsid w:val="00B9553C"/>
    <w:rsid w:val="00B95957"/>
    <w:rsid w:val="00B970EC"/>
    <w:rsid w:val="00B97AFC"/>
    <w:rsid w:val="00B97E17"/>
    <w:rsid w:val="00B97F8C"/>
    <w:rsid w:val="00BA032F"/>
    <w:rsid w:val="00BA09E1"/>
    <w:rsid w:val="00BA0C03"/>
    <w:rsid w:val="00BA0C0C"/>
    <w:rsid w:val="00BA0F41"/>
    <w:rsid w:val="00BA104A"/>
    <w:rsid w:val="00BA1254"/>
    <w:rsid w:val="00BA1343"/>
    <w:rsid w:val="00BA1A39"/>
    <w:rsid w:val="00BA1BC1"/>
    <w:rsid w:val="00BA1EEE"/>
    <w:rsid w:val="00BA2764"/>
    <w:rsid w:val="00BA2BD1"/>
    <w:rsid w:val="00BA2C03"/>
    <w:rsid w:val="00BA32D1"/>
    <w:rsid w:val="00BA4010"/>
    <w:rsid w:val="00BA40F1"/>
    <w:rsid w:val="00BA4144"/>
    <w:rsid w:val="00BA4629"/>
    <w:rsid w:val="00BA4727"/>
    <w:rsid w:val="00BA480F"/>
    <w:rsid w:val="00BA488E"/>
    <w:rsid w:val="00BA4EBD"/>
    <w:rsid w:val="00BA5A4F"/>
    <w:rsid w:val="00BA6301"/>
    <w:rsid w:val="00BA68D0"/>
    <w:rsid w:val="00BA703C"/>
    <w:rsid w:val="00BA7091"/>
    <w:rsid w:val="00BA7BEF"/>
    <w:rsid w:val="00BB048E"/>
    <w:rsid w:val="00BB0B68"/>
    <w:rsid w:val="00BB0DD8"/>
    <w:rsid w:val="00BB14DE"/>
    <w:rsid w:val="00BB14E8"/>
    <w:rsid w:val="00BB1A36"/>
    <w:rsid w:val="00BB1B57"/>
    <w:rsid w:val="00BB1BFC"/>
    <w:rsid w:val="00BB2045"/>
    <w:rsid w:val="00BB26CC"/>
    <w:rsid w:val="00BB26EB"/>
    <w:rsid w:val="00BB28EA"/>
    <w:rsid w:val="00BB2999"/>
    <w:rsid w:val="00BB29D8"/>
    <w:rsid w:val="00BB325C"/>
    <w:rsid w:val="00BB394F"/>
    <w:rsid w:val="00BB3D25"/>
    <w:rsid w:val="00BB3E75"/>
    <w:rsid w:val="00BB47E4"/>
    <w:rsid w:val="00BB4B11"/>
    <w:rsid w:val="00BB5843"/>
    <w:rsid w:val="00BB58EA"/>
    <w:rsid w:val="00BB5E11"/>
    <w:rsid w:val="00BB61F4"/>
    <w:rsid w:val="00BB65D9"/>
    <w:rsid w:val="00BB6A21"/>
    <w:rsid w:val="00BB737A"/>
    <w:rsid w:val="00BB7521"/>
    <w:rsid w:val="00BB7704"/>
    <w:rsid w:val="00BB7F2F"/>
    <w:rsid w:val="00BC04F1"/>
    <w:rsid w:val="00BC0831"/>
    <w:rsid w:val="00BC0A93"/>
    <w:rsid w:val="00BC0ACE"/>
    <w:rsid w:val="00BC1014"/>
    <w:rsid w:val="00BC130B"/>
    <w:rsid w:val="00BC177E"/>
    <w:rsid w:val="00BC1C37"/>
    <w:rsid w:val="00BC1D55"/>
    <w:rsid w:val="00BC1EE6"/>
    <w:rsid w:val="00BC1FE0"/>
    <w:rsid w:val="00BC2025"/>
    <w:rsid w:val="00BC24C9"/>
    <w:rsid w:val="00BC2590"/>
    <w:rsid w:val="00BC2603"/>
    <w:rsid w:val="00BC26ED"/>
    <w:rsid w:val="00BC2C64"/>
    <w:rsid w:val="00BC3135"/>
    <w:rsid w:val="00BC31D5"/>
    <w:rsid w:val="00BC3A15"/>
    <w:rsid w:val="00BC3B6B"/>
    <w:rsid w:val="00BC3CAC"/>
    <w:rsid w:val="00BC3F16"/>
    <w:rsid w:val="00BC4196"/>
    <w:rsid w:val="00BC4A98"/>
    <w:rsid w:val="00BC4C93"/>
    <w:rsid w:val="00BC4DF9"/>
    <w:rsid w:val="00BC51F8"/>
    <w:rsid w:val="00BC54DB"/>
    <w:rsid w:val="00BC5FCE"/>
    <w:rsid w:val="00BC60C6"/>
    <w:rsid w:val="00BC61AD"/>
    <w:rsid w:val="00BC63B1"/>
    <w:rsid w:val="00BC689A"/>
    <w:rsid w:val="00BC6A12"/>
    <w:rsid w:val="00BC6D14"/>
    <w:rsid w:val="00BC6F63"/>
    <w:rsid w:val="00BC71C0"/>
    <w:rsid w:val="00BD03BA"/>
    <w:rsid w:val="00BD06D2"/>
    <w:rsid w:val="00BD0990"/>
    <w:rsid w:val="00BD131E"/>
    <w:rsid w:val="00BD1471"/>
    <w:rsid w:val="00BD18A3"/>
    <w:rsid w:val="00BD1C5A"/>
    <w:rsid w:val="00BD1F61"/>
    <w:rsid w:val="00BD2013"/>
    <w:rsid w:val="00BD203D"/>
    <w:rsid w:val="00BD20D8"/>
    <w:rsid w:val="00BD2182"/>
    <w:rsid w:val="00BD321C"/>
    <w:rsid w:val="00BD32F4"/>
    <w:rsid w:val="00BD3640"/>
    <w:rsid w:val="00BD3974"/>
    <w:rsid w:val="00BD3C47"/>
    <w:rsid w:val="00BD3DEB"/>
    <w:rsid w:val="00BD3FCB"/>
    <w:rsid w:val="00BD492E"/>
    <w:rsid w:val="00BD4F14"/>
    <w:rsid w:val="00BD574B"/>
    <w:rsid w:val="00BD576C"/>
    <w:rsid w:val="00BD59CD"/>
    <w:rsid w:val="00BD5B5C"/>
    <w:rsid w:val="00BD62BD"/>
    <w:rsid w:val="00BD6921"/>
    <w:rsid w:val="00BD6BEE"/>
    <w:rsid w:val="00BD6E9E"/>
    <w:rsid w:val="00BD7649"/>
    <w:rsid w:val="00BD7BBE"/>
    <w:rsid w:val="00BD7C96"/>
    <w:rsid w:val="00BD7CAC"/>
    <w:rsid w:val="00BD7D36"/>
    <w:rsid w:val="00BE040D"/>
    <w:rsid w:val="00BE0588"/>
    <w:rsid w:val="00BE0924"/>
    <w:rsid w:val="00BE0A59"/>
    <w:rsid w:val="00BE0E00"/>
    <w:rsid w:val="00BE13ED"/>
    <w:rsid w:val="00BE20F1"/>
    <w:rsid w:val="00BE2100"/>
    <w:rsid w:val="00BE2139"/>
    <w:rsid w:val="00BE214A"/>
    <w:rsid w:val="00BE23EC"/>
    <w:rsid w:val="00BE272F"/>
    <w:rsid w:val="00BE287D"/>
    <w:rsid w:val="00BE29FE"/>
    <w:rsid w:val="00BE2AAC"/>
    <w:rsid w:val="00BE2FFC"/>
    <w:rsid w:val="00BE339B"/>
    <w:rsid w:val="00BE3930"/>
    <w:rsid w:val="00BE3A2C"/>
    <w:rsid w:val="00BE44C3"/>
    <w:rsid w:val="00BE4710"/>
    <w:rsid w:val="00BE47A8"/>
    <w:rsid w:val="00BE48FB"/>
    <w:rsid w:val="00BE4AD2"/>
    <w:rsid w:val="00BE4C36"/>
    <w:rsid w:val="00BE4CC9"/>
    <w:rsid w:val="00BE4EE3"/>
    <w:rsid w:val="00BE5FA6"/>
    <w:rsid w:val="00BE6883"/>
    <w:rsid w:val="00BE6973"/>
    <w:rsid w:val="00BE6B15"/>
    <w:rsid w:val="00BE6D01"/>
    <w:rsid w:val="00BE6EEF"/>
    <w:rsid w:val="00BE6F6F"/>
    <w:rsid w:val="00BE77D7"/>
    <w:rsid w:val="00BE799D"/>
    <w:rsid w:val="00BE7DD1"/>
    <w:rsid w:val="00BE7E8E"/>
    <w:rsid w:val="00BE7EB8"/>
    <w:rsid w:val="00BF07D7"/>
    <w:rsid w:val="00BF0AB9"/>
    <w:rsid w:val="00BF0F5E"/>
    <w:rsid w:val="00BF0F7E"/>
    <w:rsid w:val="00BF1177"/>
    <w:rsid w:val="00BF16DB"/>
    <w:rsid w:val="00BF188F"/>
    <w:rsid w:val="00BF199C"/>
    <w:rsid w:val="00BF1AAD"/>
    <w:rsid w:val="00BF22BB"/>
    <w:rsid w:val="00BF23DA"/>
    <w:rsid w:val="00BF2571"/>
    <w:rsid w:val="00BF280D"/>
    <w:rsid w:val="00BF2CCD"/>
    <w:rsid w:val="00BF2D87"/>
    <w:rsid w:val="00BF3D2D"/>
    <w:rsid w:val="00BF44D2"/>
    <w:rsid w:val="00BF4510"/>
    <w:rsid w:val="00BF466B"/>
    <w:rsid w:val="00BF493B"/>
    <w:rsid w:val="00BF4E53"/>
    <w:rsid w:val="00BF5A93"/>
    <w:rsid w:val="00BF6481"/>
    <w:rsid w:val="00BF6A4E"/>
    <w:rsid w:val="00BF6C3E"/>
    <w:rsid w:val="00BF6D13"/>
    <w:rsid w:val="00BF6FAC"/>
    <w:rsid w:val="00BF7D2A"/>
    <w:rsid w:val="00C00667"/>
    <w:rsid w:val="00C007D1"/>
    <w:rsid w:val="00C00BFC"/>
    <w:rsid w:val="00C00C8B"/>
    <w:rsid w:val="00C01524"/>
    <w:rsid w:val="00C0160D"/>
    <w:rsid w:val="00C01795"/>
    <w:rsid w:val="00C0248A"/>
    <w:rsid w:val="00C02DA9"/>
    <w:rsid w:val="00C02E0B"/>
    <w:rsid w:val="00C0305C"/>
    <w:rsid w:val="00C03358"/>
    <w:rsid w:val="00C03501"/>
    <w:rsid w:val="00C0361C"/>
    <w:rsid w:val="00C0393E"/>
    <w:rsid w:val="00C03969"/>
    <w:rsid w:val="00C039B9"/>
    <w:rsid w:val="00C03C9A"/>
    <w:rsid w:val="00C03D06"/>
    <w:rsid w:val="00C0402B"/>
    <w:rsid w:val="00C0437D"/>
    <w:rsid w:val="00C04AC7"/>
    <w:rsid w:val="00C054BA"/>
    <w:rsid w:val="00C05789"/>
    <w:rsid w:val="00C0625C"/>
    <w:rsid w:val="00C066BD"/>
    <w:rsid w:val="00C068CC"/>
    <w:rsid w:val="00C068DC"/>
    <w:rsid w:val="00C0691B"/>
    <w:rsid w:val="00C06D33"/>
    <w:rsid w:val="00C06E46"/>
    <w:rsid w:val="00C0726F"/>
    <w:rsid w:val="00C074B3"/>
    <w:rsid w:val="00C0752B"/>
    <w:rsid w:val="00C079E0"/>
    <w:rsid w:val="00C07EC2"/>
    <w:rsid w:val="00C100D2"/>
    <w:rsid w:val="00C10116"/>
    <w:rsid w:val="00C10AEE"/>
    <w:rsid w:val="00C10BDF"/>
    <w:rsid w:val="00C10E1C"/>
    <w:rsid w:val="00C10FFF"/>
    <w:rsid w:val="00C110A4"/>
    <w:rsid w:val="00C114A8"/>
    <w:rsid w:val="00C116D4"/>
    <w:rsid w:val="00C11897"/>
    <w:rsid w:val="00C11B73"/>
    <w:rsid w:val="00C11F3C"/>
    <w:rsid w:val="00C12AC8"/>
    <w:rsid w:val="00C132F4"/>
    <w:rsid w:val="00C1342E"/>
    <w:rsid w:val="00C1355C"/>
    <w:rsid w:val="00C13756"/>
    <w:rsid w:val="00C13AB1"/>
    <w:rsid w:val="00C13BF2"/>
    <w:rsid w:val="00C1444D"/>
    <w:rsid w:val="00C146E2"/>
    <w:rsid w:val="00C15443"/>
    <w:rsid w:val="00C154F7"/>
    <w:rsid w:val="00C1577E"/>
    <w:rsid w:val="00C15C2B"/>
    <w:rsid w:val="00C15E99"/>
    <w:rsid w:val="00C162BC"/>
    <w:rsid w:val="00C16402"/>
    <w:rsid w:val="00C16798"/>
    <w:rsid w:val="00C16D7F"/>
    <w:rsid w:val="00C172E1"/>
    <w:rsid w:val="00C17798"/>
    <w:rsid w:val="00C17A53"/>
    <w:rsid w:val="00C17E4B"/>
    <w:rsid w:val="00C20009"/>
    <w:rsid w:val="00C20237"/>
    <w:rsid w:val="00C203F1"/>
    <w:rsid w:val="00C204F0"/>
    <w:rsid w:val="00C20B9E"/>
    <w:rsid w:val="00C20F49"/>
    <w:rsid w:val="00C224AB"/>
    <w:rsid w:val="00C22A96"/>
    <w:rsid w:val="00C22E0E"/>
    <w:rsid w:val="00C23565"/>
    <w:rsid w:val="00C238BC"/>
    <w:rsid w:val="00C2442A"/>
    <w:rsid w:val="00C251F9"/>
    <w:rsid w:val="00C25380"/>
    <w:rsid w:val="00C25510"/>
    <w:rsid w:val="00C25702"/>
    <w:rsid w:val="00C25DA0"/>
    <w:rsid w:val="00C25EF0"/>
    <w:rsid w:val="00C26224"/>
    <w:rsid w:val="00C2646C"/>
    <w:rsid w:val="00C264C7"/>
    <w:rsid w:val="00C26963"/>
    <w:rsid w:val="00C26A15"/>
    <w:rsid w:val="00C26B03"/>
    <w:rsid w:val="00C26DAA"/>
    <w:rsid w:val="00C27381"/>
    <w:rsid w:val="00C27BDC"/>
    <w:rsid w:val="00C30545"/>
    <w:rsid w:val="00C30B6A"/>
    <w:rsid w:val="00C312F7"/>
    <w:rsid w:val="00C319F9"/>
    <w:rsid w:val="00C31AB6"/>
    <w:rsid w:val="00C31C35"/>
    <w:rsid w:val="00C31D50"/>
    <w:rsid w:val="00C31E18"/>
    <w:rsid w:val="00C32255"/>
    <w:rsid w:val="00C32495"/>
    <w:rsid w:val="00C32C47"/>
    <w:rsid w:val="00C32D00"/>
    <w:rsid w:val="00C32EB6"/>
    <w:rsid w:val="00C32F5E"/>
    <w:rsid w:val="00C33222"/>
    <w:rsid w:val="00C332C0"/>
    <w:rsid w:val="00C338FF"/>
    <w:rsid w:val="00C33FA0"/>
    <w:rsid w:val="00C34605"/>
    <w:rsid w:val="00C34A97"/>
    <w:rsid w:val="00C34ABF"/>
    <w:rsid w:val="00C34C62"/>
    <w:rsid w:val="00C3513A"/>
    <w:rsid w:val="00C35891"/>
    <w:rsid w:val="00C35BE0"/>
    <w:rsid w:val="00C35FE5"/>
    <w:rsid w:val="00C369B4"/>
    <w:rsid w:val="00C36BC8"/>
    <w:rsid w:val="00C36E7C"/>
    <w:rsid w:val="00C3700D"/>
    <w:rsid w:val="00C3767D"/>
    <w:rsid w:val="00C37875"/>
    <w:rsid w:val="00C379F3"/>
    <w:rsid w:val="00C37A05"/>
    <w:rsid w:val="00C37D6A"/>
    <w:rsid w:val="00C40440"/>
    <w:rsid w:val="00C40597"/>
    <w:rsid w:val="00C40682"/>
    <w:rsid w:val="00C40B3B"/>
    <w:rsid w:val="00C40EAA"/>
    <w:rsid w:val="00C41701"/>
    <w:rsid w:val="00C41A95"/>
    <w:rsid w:val="00C41CC3"/>
    <w:rsid w:val="00C41F23"/>
    <w:rsid w:val="00C42038"/>
    <w:rsid w:val="00C42041"/>
    <w:rsid w:val="00C42BC0"/>
    <w:rsid w:val="00C42BCD"/>
    <w:rsid w:val="00C42D11"/>
    <w:rsid w:val="00C42DBE"/>
    <w:rsid w:val="00C42F54"/>
    <w:rsid w:val="00C4361E"/>
    <w:rsid w:val="00C4364A"/>
    <w:rsid w:val="00C44169"/>
    <w:rsid w:val="00C444FA"/>
    <w:rsid w:val="00C44872"/>
    <w:rsid w:val="00C449C2"/>
    <w:rsid w:val="00C449F1"/>
    <w:rsid w:val="00C44B59"/>
    <w:rsid w:val="00C44BBF"/>
    <w:rsid w:val="00C45110"/>
    <w:rsid w:val="00C45173"/>
    <w:rsid w:val="00C45553"/>
    <w:rsid w:val="00C45952"/>
    <w:rsid w:val="00C45B72"/>
    <w:rsid w:val="00C45DE3"/>
    <w:rsid w:val="00C461A1"/>
    <w:rsid w:val="00C46536"/>
    <w:rsid w:val="00C46BF4"/>
    <w:rsid w:val="00C4719B"/>
    <w:rsid w:val="00C47949"/>
    <w:rsid w:val="00C47B07"/>
    <w:rsid w:val="00C47FF0"/>
    <w:rsid w:val="00C501AC"/>
    <w:rsid w:val="00C501FE"/>
    <w:rsid w:val="00C5044E"/>
    <w:rsid w:val="00C50668"/>
    <w:rsid w:val="00C50847"/>
    <w:rsid w:val="00C51143"/>
    <w:rsid w:val="00C51A48"/>
    <w:rsid w:val="00C51C39"/>
    <w:rsid w:val="00C51DA1"/>
    <w:rsid w:val="00C51E12"/>
    <w:rsid w:val="00C5224F"/>
    <w:rsid w:val="00C526F1"/>
    <w:rsid w:val="00C52A2C"/>
    <w:rsid w:val="00C52AED"/>
    <w:rsid w:val="00C5315D"/>
    <w:rsid w:val="00C5335A"/>
    <w:rsid w:val="00C54168"/>
    <w:rsid w:val="00C54487"/>
    <w:rsid w:val="00C54ADB"/>
    <w:rsid w:val="00C55006"/>
    <w:rsid w:val="00C550DD"/>
    <w:rsid w:val="00C55C76"/>
    <w:rsid w:val="00C55E20"/>
    <w:rsid w:val="00C57259"/>
    <w:rsid w:val="00C5746C"/>
    <w:rsid w:val="00C57546"/>
    <w:rsid w:val="00C57C2E"/>
    <w:rsid w:val="00C57D5D"/>
    <w:rsid w:val="00C57FA0"/>
    <w:rsid w:val="00C602C1"/>
    <w:rsid w:val="00C603AE"/>
    <w:rsid w:val="00C60575"/>
    <w:rsid w:val="00C60917"/>
    <w:rsid w:val="00C61885"/>
    <w:rsid w:val="00C61AC4"/>
    <w:rsid w:val="00C61C10"/>
    <w:rsid w:val="00C61DB6"/>
    <w:rsid w:val="00C6200A"/>
    <w:rsid w:val="00C620B9"/>
    <w:rsid w:val="00C625B9"/>
    <w:rsid w:val="00C625BA"/>
    <w:rsid w:val="00C62871"/>
    <w:rsid w:val="00C62920"/>
    <w:rsid w:val="00C62CA6"/>
    <w:rsid w:val="00C631EE"/>
    <w:rsid w:val="00C6323E"/>
    <w:rsid w:val="00C63F5C"/>
    <w:rsid w:val="00C64653"/>
    <w:rsid w:val="00C650E3"/>
    <w:rsid w:val="00C6567D"/>
    <w:rsid w:val="00C65B97"/>
    <w:rsid w:val="00C65EEC"/>
    <w:rsid w:val="00C663D7"/>
    <w:rsid w:val="00C66465"/>
    <w:rsid w:val="00C665B2"/>
    <w:rsid w:val="00C666AB"/>
    <w:rsid w:val="00C669DE"/>
    <w:rsid w:val="00C67105"/>
    <w:rsid w:val="00C6728E"/>
    <w:rsid w:val="00C679E6"/>
    <w:rsid w:val="00C67A6A"/>
    <w:rsid w:val="00C67AEA"/>
    <w:rsid w:val="00C6A8CA"/>
    <w:rsid w:val="00C70528"/>
    <w:rsid w:val="00C70536"/>
    <w:rsid w:val="00C70AEC"/>
    <w:rsid w:val="00C70B17"/>
    <w:rsid w:val="00C71982"/>
    <w:rsid w:val="00C71C5B"/>
    <w:rsid w:val="00C722D0"/>
    <w:rsid w:val="00C7296E"/>
    <w:rsid w:val="00C73309"/>
    <w:rsid w:val="00C7337C"/>
    <w:rsid w:val="00C737BF"/>
    <w:rsid w:val="00C738D8"/>
    <w:rsid w:val="00C73B0D"/>
    <w:rsid w:val="00C73ED8"/>
    <w:rsid w:val="00C73F2E"/>
    <w:rsid w:val="00C73FD6"/>
    <w:rsid w:val="00C74012"/>
    <w:rsid w:val="00C7463B"/>
    <w:rsid w:val="00C7488E"/>
    <w:rsid w:val="00C749C2"/>
    <w:rsid w:val="00C749C6"/>
    <w:rsid w:val="00C7530A"/>
    <w:rsid w:val="00C75572"/>
    <w:rsid w:val="00C75616"/>
    <w:rsid w:val="00C7577E"/>
    <w:rsid w:val="00C75D0E"/>
    <w:rsid w:val="00C76131"/>
    <w:rsid w:val="00C766A2"/>
    <w:rsid w:val="00C76A2D"/>
    <w:rsid w:val="00C76CDC"/>
    <w:rsid w:val="00C7701B"/>
    <w:rsid w:val="00C77385"/>
    <w:rsid w:val="00C77ABE"/>
    <w:rsid w:val="00C77C3D"/>
    <w:rsid w:val="00C77F93"/>
    <w:rsid w:val="00C77FAD"/>
    <w:rsid w:val="00C80198"/>
    <w:rsid w:val="00C80546"/>
    <w:rsid w:val="00C805A9"/>
    <w:rsid w:val="00C811B4"/>
    <w:rsid w:val="00C81351"/>
    <w:rsid w:val="00C81439"/>
    <w:rsid w:val="00C81608"/>
    <w:rsid w:val="00C81A75"/>
    <w:rsid w:val="00C822CB"/>
    <w:rsid w:val="00C82650"/>
    <w:rsid w:val="00C827D3"/>
    <w:rsid w:val="00C83DDB"/>
    <w:rsid w:val="00C84192"/>
    <w:rsid w:val="00C843D6"/>
    <w:rsid w:val="00C844DB"/>
    <w:rsid w:val="00C84B5B"/>
    <w:rsid w:val="00C84E1A"/>
    <w:rsid w:val="00C850AF"/>
    <w:rsid w:val="00C85992"/>
    <w:rsid w:val="00C86698"/>
    <w:rsid w:val="00C86C0E"/>
    <w:rsid w:val="00C87012"/>
    <w:rsid w:val="00C87048"/>
    <w:rsid w:val="00C87647"/>
    <w:rsid w:val="00C87CF4"/>
    <w:rsid w:val="00C87D07"/>
    <w:rsid w:val="00C87E29"/>
    <w:rsid w:val="00C90B33"/>
    <w:rsid w:val="00C90C01"/>
    <w:rsid w:val="00C90D0B"/>
    <w:rsid w:val="00C90F9C"/>
    <w:rsid w:val="00C91721"/>
    <w:rsid w:val="00C91A09"/>
    <w:rsid w:val="00C91D6E"/>
    <w:rsid w:val="00C91E03"/>
    <w:rsid w:val="00C91F1A"/>
    <w:rsid w:val="00C9224B"/>
    <w:rsid w:val="00C9290B"/>
    <w:rsid w:val="00C92C0C"/>
    <w:rsid w:val="00C92DAE"/>
    <w:rsid w:val="00C93085"/>
    <w:rsid w:val="00C9308E"/>
    <w:rsid w:val="00C93344"/>
    <w:rsid w:val="00C9346C"/>
    <w:rsid w:val="00C938BE"/>
    <w:rsid w:val="00C93C04"/>
    <w:rsid w:val="00C93FC9"/>
    <w:rsid w:val="00C94305"/>
    <w:rsid w:val="00C94714"/>
    <w:rsid w:val="00C950FF"/>
    <w:rsid w:val="00C951E3"/>
    <w:rsid w:val="00C95B47"/>
    <w:rsid w:val="00C9660E"/>
    <w:rsid w:val="00C96AEA"/>
    <w:rsid w:val="00C96B86"/>
    <w:rsid w:val="00C96C37"/>
    <w:rsid w:val="00C97302"/>
    <w:rsid w:val="00C975EE"/>
    <w:rsid w:val="00C97AA2"/>
    <w:rsid w:val="00C97C22"/>
    <w:rsid w:val="00C97D22"/>
    <w:rsid w:val="00CA0012"/>
    <w:rsid w:val="00CA0053"/>
    <w:rsid w:val="00CA0184"/>
    <w:rsid w:val="00CA1772"/>
    <w:rsid w:val="00CA1A1D"/>
    <w:rsid w:val="00CA1ABD"/>
    <w:rsid w:val="00CA1B5C"/>
    <w:rsid w:val="00CA1C18"/>
    <w:rsid w:val="00CA1CA2"/>
    <w:rsid w:val="00CA1E21"/>
    <w:rsid w:val="00CA247A"/>
    <w:rsid w:val="00CA277A"/>
    <w:rsid w:val="00CA2FB8"/>
    <w:rsid w:val="00CA304A"/>
    <w:rsid w:val="00CA336B"/>
    <w:rsid w:val="00CA35D6"/>
    <w:rsid w:val="00CA3614"/>
    <w:rsid w:val="00CA3769"/>
    <w:rsid w:val="00CA3950"/>
    <w:rsid w:val="00CA3FFC"/>
    <w:rsid w:val="00CA4065"/>
    <w:rsid w:val="00CA49FC"/>
    <w:rsid w:val="00CA5342"/>
    <w:rsid w:val="00CA53A2"/>
    <w:rsid w:val="00CA54E8"/>
    <w:rsid w:val="00CA5582"/>
    <w:rsid w:val="00CA5627"/>
    <w:rsid w:val="00CA563B"/>
    <w:rsid w:val="00CA5CF5"/>
    <w:rsid w:val="00CA5D00"/>
    <w:rsid w:val="00CA5DC3"/>
    <w:rsid w:val="00CA5E51"/>
    <w:rsid w:val="00CA6029"/>
    <w:rsid w:val="00CA6539"/>
    <w:rsid w:val="00CA6891"/>
    <w:rsid w:val="00CA6F17"/>
    <w:rsid w:val="00CA6FC0"/>
    <w:rsid w:val="00CA708A"/>
    <w:rsid w:val="00CA7A73"/>
    <w:rsid w:val="00CA7BE8"/>
    <w:rsid w:val="00CA7E8E"/>
    <w:rsid w:val="00CA7EBA"/>
    <w:rsid w:val="00CA7EDA"/>
    <w:rsid w:val="00CA7FD5"/>
    <w:rsid w:val="00CB0414"/>
    <w:rsid w:val="00CB0D32"/>
    <w:rsid w:val="00CB120D"/>
    <w:rsid w:val="00CB18F9"/>
    <w:rsid w:val="00CB1C9E"/>
    <w:rsid w:val="00CB1CA6"/>
    <w:rsid w:val="00CB2432"/>
    <w:rsid w:val="00CB258D"/>
    <w:rsid w:val="00CB2663"/>
    <w:rsid w:val="00CB2841"/>
    <w:rsid w:val="00CB2D8E"/>
    <w:rsid w:val="00CB2F7D"/>
    <w:rsid w:val="00CB327D"/>
    <w:rsid w:val="00CB3526"/>
    <w:rsid w:val="00CB36FE"/>
    <w:rsid w:val="00CB470D"/>
    <w:rsid w:val="00CB4B56"/>
    <w:rsid w:val="00CB50FA"/>
    <w:rsid w:val="00CB5F06"/>
    <w:rsid w:val="00CB6469"/>
    <w:rsid w:val="00CB657B"/>
    <w:rsid w:val="00CB6893"/>
    <w:rsid w:val="00CB78DB"/>
    <w:rsid w:val="00CB7B82"/>
    <w:rsid w:val="00CB7CA3"/>
    <w:rsid w:val="00CB7D51"/>
    <w:rsid w:val="00CC0421"/>
    <w:rsid w:val="00CC050B"/>
    <w:rsid w:val="00CC0A20"/>
    <w:rsid w:val="00CC0EF7"/>
    <w:rsid w:val="00CC106F"/>
    <w:rsid w:val="00CC1F59"/>
    <w:rsid w:val="00CC2353"/>
    <w:rsid w:val="00CC2568"/>
    <w:rsid w:val="00CC2623"/>
    <w:rsid w:val="00CC27B5"/>
    <w:rsid w:val="00CC2C8A"/>
    <w:rsid w:val="00CC33A4"/>
    <w:rsid w:val="00CC35C7"/>
    <w:rsid w:val="00CC3621"/>
    <w:rsid w:val="00CC3AFE"/>
    <w:rsid w:val="00CC405C"/>
    <w:rsid w:val="00CC40E3"/>
    <w:rsid w:val="00CC45CA"/>
    <w:rsid w:val="00CC461D"/>
    <w:rsid w:val="00CC4A89"/>
    <w:rsid w:val="00CC50A2"/>
    <w:rsid w:val="00CC5192"/>
    <w:rsid w:val="00CC51B6"/>
    <w:rsid w:val="00CC5990"/>
    <w:rsid w:val="00CC6255"/>
    <w:rsid w:val="00CC6316"/>
    <w:rsid w:val="00CC63D1"/>
    <w:rsid w:val="00CC64A5"/>
    <w:rsid w:val="00CC6773"/>
    <w:rsid w:val="00CC6897"/>
    <w:rsid w:val="00CC6BB9"/>
    <w:rsid w:val="00CC6CDC"/>
    <w:rsid w:val="00CC6EF9"/>
    <w:rsid w:val="00CC73E2"/>
    <w:rsid w:val="00CD01F6"/>
    <w:rsid w:val="00CD0402"/>
    <w:rsid w:val="00CD0654"/>
    <w:rsid w:val="00CD0BEB"/>
    <w:rsid w:val="00CD0C3A"/>
    <w:rsid w:val="00CD0D5E"/>
    <w:rsid w:val="00CD1002"/>
    <w:rsid w:val="00CD102D"/>
    <w:rsid w:val="00CD12CA"/>
    <w:rsid w:val="00CD1812"/>
    <w:rsid w:val="00CD1B5E"/>
    <w:rsid w:val="00CD1CD4"/>
    <w:rsid w:val="00CD2004"/>
    <w:rsid w:val="00CD206B"/>
    <w:rsid w:val="00CD23D5"/>
    <w:rsid w:val="00CD2721"/>
    <w:rsid w:val="00CD28C2"/>
    <w:rsid w:val="00CD29D9"/>
    <w:rsid w:val="00CD2D08"/>
    <w:rsid w:val="00CD3176"/>
    <w:rsid w:val="00CD3F60"/>
    <w:rsid w:val="00CD499A"/>
    <w:rsid w:val="00CD4EF8"/>
    <w:rsid w:val="00CD4FED"/>
    <w:rsid w:val="00CD5D69"/>
    <w:rsid w:val="00CD5DF3"/>
    <w:rsid w:val="00CD5E45"/>
    <w:rsid w:val="00CD61F5"/>
    <w:rsid w:val="00CD655F"/>
    <w:rsid w:val="00CD6976"/>
    <w:rsid w:val="00CD69C0"/>
    <w:rsid w:val="00CD6A3C"/>
    <w:rsid w:val="00CD6E62"/>
    <w:rsid w:val="00CD718B"/>
    <w:rsid w:val="00CD7190"/>
    <w:rsid w:val="00CD7232"/>
    <w:rsid w:val="00CD7C7F"/>
    <w:rsid w:val="00CD7CB2"/>
    <w:rsid w:val="00CE006F"/>
    <w:rsid w:val="00CE01C0"/>
    <w:rsid w:val="00CE0716"/>
    <w:rsid w:val="00CE0FF8"/>
    <w:rsid w:val="00CE1338"/>
    <w:rsid w:val="00CE133A"/>
    <w:rsid w:val="00CE1A45"/>
    <w:rsid w:val="00CE1A78"/>
    <w:rsid w:val="00CE2231"/>
    <w:rsid w:val="00CE235B"/>
    <w:rsid w:val="00CE2783"/>
    <w:rsid w:val="00CE3C62"/>
    <w:rsid w:val="00CE3D58"/>
    <w:rsid w:val="00CE3E30"/>
    <w:rsid w:val="00CE4749"/>
    <w:rsid w:val="00CE4B5E"/>
    <w:rsid w:val="00CE4D45"/>
    <w:rsid w:val="00CE502F"/>
    <w:rsid w:val="00CE5275"/>
    <w:rsid w:val="00CE5B67"/>
    <w:rsid w:val="00CE5C2D"/>
    <w:rsid w:val="00CE61B7"/>
    <w:rsid w:val="00CE62C1"/>
    <w:rsid w:val="00CE654B"/>
    <w:rsid w:val="00CE6B50"/>
    <w:rsid w:val="00CE7495"/>
    <w:rsid w:val="00CE7BA5"/>
    <w:rsid w:val="00CF00E3"/>
    <w:rsid w:val="00CF0178"/>
    <w:rsid w:val="00CF02CB"/>
    <w:rsid w:val="00CF0403"/>
    <w:rsid w:val="00CF1247"/>
    <w:rsid w:val="00CF13F9"/>
    <w:rsid w:val="00CF1C5F"/>
    <w:rsid w:val="00CF20CA"/>
    <w:rsid w:val="00CF2111"/>
    <w:rsid w:val="00CF26F4"/>
    <w:rsid w:val="00CF2B3B"/>
    <w:rsid w:val="00CF3224"/>
    <w:rsid w:val="00CF332A"/>
    <w:rsid w:val="00CF35A9"/>
    <w:rsid w:val="00CF3A2F"/>
    <w:rsid w:val="00CF3C2A"/>
    <w:rsid w:val="00CF3DB3"/>
    <w:rsid w:val="00CF43FC"/>
    <w:rsid w:val="00CF464B"/>
    <w:rsid w:val="00CF4B16"/>
    <w:rsid w:val="00CF4EC6"/>
    <w:rsid w:val="00CF50F4"/>
    <w:rsid w:val="00CF52D1"/>
    <w:rsid w:val="00CF57D8"/>
    <w:rsid w:val="00CF5D7E"/>
    <w:rsid w:val="00CF664B"/>
    <w:rsid w:val="00CF6680"/>
    <w:rsid w:val="00CF6BC4"/>
    <w:rsid w:val="00CF6F3F"/>
    <w:rsid w:val="00CF7CA3"/>
    <w:rsid w:val="00D0051D"/>
    <w:rsid w:val="00D00586"/>
    <w:rsid w:val="00D00975"/>
    <w:rsid w:val="00D00B83"/>
    <w:rsid w:val="00D00D24"/>
    <w:rsid w:val="00D01C2A"/>
    <w:rsid w:val="00D02817"/>
    <w:rsid w:val="00D0284B"/>
    <w:rsid w:val="00D028A5"/>
    <w:rsid w:val="00D02E82"/>
    <w:rsid w:val="00D0331E"/>
    <w:rsid w:val="00D035FE"/>
    <w:rsid w:val="00D037EB"/>
    <w:rsid w:val="00D03B48"/>
    <w:rsid w:val="00D03DA0"/>
    <w:rsid w:val="00D03E0D"/>
    <w:rsid w:val="00D03E6E"/>
    <w:rsid w:val="00D042E7"/>
    <w:rsid w:val="00D046D4"/>
    <w:rsid w:val="00D04ABD"/>
    <w:rsid w:val="00D05097"/>
    <w:rsid w:val="00D05ACB"/>
    <w:rsid w:val="00D05AF8"/>
    <w:rsid w:val="00D05C8F"/>
    <w:rsid w:val="00D05CDD"/>
    <w:rsid w:val="00D06382"/>
    <w:rsid w:val="00D063DF"/>
    <w:rsid w:val="00D06BC3"/>
    <w:rsid w:val="00D06C7C"/>
    <w:rsid w:val="00D071FF"/>
    <w:rsid w:val="00D07964"/>
    <w:rsid w:val="00D100DF"/>
    <w:rsid w:val="00D107DE"/>
    <w:rsid w:val="00D10E18"/>
    <w:rsid w:val="00D11097"/>
    <w:rsid w:val="00D110CE"/>
    <w:rsid w:val="00D11427"/>
    <w:rsid w:val="00D11612"/>
    <w:rsid w:val="00D11AB7"/>
    <w:rsid w:val="00D11B80"/>
    <w:rsid w:val="00D12082"/>
    <w:rsid w:val="00D12A10"/>
    <w:rsid w:val="00D12CDA"/>
    <w:rsid w:val="00D12E64"/>
    <w:rsid w:val="00D12F12"/>
    <w:rsid w:val="00D13414"/>
    <w:rsid w:val="00D141FF"/>
    <w:rsid w:val="00D142AD"/>
    <w:rsid w:val="00D144D9"/>
    <w:rsid w:val="00D14643"/>
    <w:rsid w:val="00D14CE4"/>
    <w:rsid w:val="00D14E25"/>
    <w:rsid w:val="00D15B51"/>
    <w:rsid w:val="00D15B72"/>
    <w:rsid w:val="00D15C1E"/>
    <w:rsid w:val="00D15CD6"/>
    <w:rsid w:val="00D15D08"/>
    <w:rsid w:val="00D16097"/>
    <w:rsid w:val="00D16224"/>
    <w:rsid w:val="00D16518"/>
    <w:rsid w:val="00D166D0"/>
    <w:rsid w:val="00D167B9"/>
    <w:rsid w:val="00D17704"/>
    <w:rsid w:val="00D1773A"/>
    <w:rsid w:val="00D17907"/>
    <w:rsid w:val="00D179AF"/>
    <w:rsid w:val="00D17B75"/>
    <w:rsid w:val="00D17BC6"/>
    <w:rsid w:val="00D2011B"/>
    <w:rsid w:val="00D202B8"/>
    <w:rsid w:val="00D20B50"/>
    <w:rsid w:val="00D20BDB"/>
    <w:rsid w:val="00D20DA5"/>
    <w:rsid w:val="00D20F7A"/>
    <w:rsid w:val="00D210A1"/>
    <w:rsid w:val="00D21217"/>
    <w:rsid w:val="00D21BEA"/>
    <w:rsid w:val="00D21ECB"/>
    <w:rsid w:val="00D220F7"/>
    <w:rsid w:val="00D225EE"/>
    <w:rsid w:val="00D2273F"/>
    <w:rsid w:val="00D22F9D"/>
    <w:rsid w:val="00D23166"/>
    <w:rsid w:val="00D23871"/>
    <w:rsid w:val="00D23B08"/>
    <w:rsid w:val="00D241A1"/>
    <w:rsid w:val="00D24234"/>
    <w:rsid w:val="00D24274"/>
    <w:rsid w:val="00D24477"/>
    <w:rsid w:val="00D24827"/>
    <w:rsid w:val="00D24854"/>
    <w:rsid w:val="00D24FD8"/>
    <w:rsid w:val="00D25303"/>
    <w:rsid w:val="00D2548F"/>
    <w:rsid w:val="00D254C6"/>
    <w:rsid w:val="00D258C5"/>
    <w:rsid w:val="00D25A87"/>
    <w:rsid w:val="00D263DC"/>
    <w:rsid w:val="00D26853"/>
    <w:rsid w:val="00D269BC"/>
    <w:rsid w:val="00D26E0D"/>
    <w:rsid w:val="00D26E56"/>
    <w:rsid w:val="00D271B9"/>
    <w:rsid w:val="00D27477"/>
    <w:rsid w:val="00D2749C"/>
    <w:rsid w:val="00D276E1"/>
    <w:rsid w:val="00D2775F"/>
    <w:rsid w:val="00D27A19"/>
    <w:rsid w:val="00D27B01"/>
    <w:rsid w:val="00D27BA6"/>
    <w:rsid w:val="00D27CDF"/>
    <w:rsid w:val="00D27EAF"/>
    <w:rsid w:val="00D27FCF"/>
    <w:rsid w:val="00D30073"/>
    <w:rsid w:val="00D307E2"/>
    <w:rsid w:val="00D31092"/>
    <w:rsid w:val="00D31374"/>
    <w:rsid w:val="00D3159D"/>
    <w:rsid w:val="00D319B8"/>
    <w:rsid w:val="00D319F2"/>
    <w:rsid w:val="00D31D67"/>
    <w:rsid w:val="00D3202D"/>
    <w:rsid w:val="00D336D9"/>
    <w:rsid w:val="00D33A84"/>
    <w:rsid w:val="00D33AB4"/>
    <w:rsid w:val="00D33BFF"/>
    <w:rsid w:val="00D33D57"/>
    <w:rsid w:val="00D341C9"/>
    <w:rsid w:val="00D34305"/>
    <w:rsid w:val="00D347D1"/>
    <w:rsid w:val="00D3499C"/>
    <w:rsid w:val="00D34B4B"/>
    <w:rsid w:val="00D34E57"/>
    <w:rsid w:val="00D3502B"/>
    <w:rsid w:val="00D35086"/>
    <w:rsid w:val="00D354A3"/>
    <w:rsid w:val="00D3551E"/>
    <w:rsid w:val="00D357A5"/>
    <w:rsid w:val="00D357BA"/>
    <w:rsid w:val="00D35A13"/>
    <w:rsid w:val="00D360F2"/>
    <w:rsid w:val="00D36142"/>
    <w:rsid w:val="00D366EB"/>
    <w:rsid w:val="00D36738"/>
    <w:rsid w:val="00D3689F"/>
    <w:rsid w:val="00D3690E"/>
    <w:rsid w:val="00D36EAE"/>
    <w:rsid w:val="00D36EC2"/>
    <w:rsid w:val="00D36F30"/>
    <w:rsid w:val="00D370DF"/>
    <w:rsid w:val="00D3734A"/>
    <w:rsid w:val="00D37376"/>
    <w:rsid w:val="00D375D5"/>
    <w:rsid w:val="00D37AB5"/>
    <w:rsid w:val="00D4024A"/>
    <w:rsid w:val="00D40381"/>
    <w:rsid w:val="00D40A77"/>
    <w:rsid w:val="00D41022"/>
    <w:rsid w:val="00D41338"/>
    <w:rsid w:val="00D41A40"/>
    <w:rsid w:val="00D41AA7"/>
    <w:rsid w:val="00D41FC1"/>
    <w:rsid w:val="00D427AE"/>
    <w:rsid w:val="00D42B2A"/>
    <w:rsid w:val="00D42C73"/>
    <w:rsid w:val="00D42EAC"/>
    <w:rsid w:val="00D43349"/>
    <w:rsid w:val="00D4358C"/>
    <w:rsid w:val="00D43979"/>
    <w:rsid w:val="00D43BA0"/>
    <w:rsid w:val="00D441EF"/>
    <w:rsid w:val="00D4437D"/>
    <w:rsid w:val="00D4459E"/>
    <w:rsid w:val="00D44CFB"/>
    <w:rsid w:val="00D44D30"/>
    <w:rsid w:val="00D44E7D"/>
    <w:rsid w:val="00D4554E"/>
    <w:rsid w:val="00D4573D"/>
    <w:rsid w:val="00D46AB5"/>
    <w:rsid w:val="00D46ECE"/>
    <w:rsid w:val="00D4758D"/>
    <w:rsid w:val="00D47C0E"/>
    <w:rsid w:val="00D50A08"/>
    <w:rsid w:val="00D50BF3"/>
    <w:rsid w:val="00D50D57"/>
    <w:rsid w:val="00D510BB"/>
    <w:rsid w:val="00D51817"/>
    <w:rsid w:val="00D51F99"/>
    <w:rsid w:val="00D522F6"/>
    <w:rsid w:val="00D5243B"/>
    <w:rsid w:val="00D52875"/>
    <w:rsid w:val="00D52D26"/>
    <w:rsid w:val="00D52EFC"/>
    <w:rsid w:val="00D532FA"/>
    <w:rsid w:val="00D5333B"/>
    <w:rsid w:val="00D5406B"/>
    <w:rsid w:val="00D54A71"/>
    <w:rsid w:val="00D54D3B"/>
    <w:rsid w:val="00D54F75"/>
    <w:rsid w:val="00D55C15"/>
    <w:rsid w:val="00D55C38"/>
    <w:rsid w:val="00D55E9A"/>
    <w:rsid w:val="00D56011"/>
    <w:rsid w:val="00D56089"/>
    <w:rsid w:val="00D560C6"/>
    <w:rsid w:val="00D562DA"/>
    <w:rsid w:val="00D562EE"/>
    <w:rsid w:val="00D56396"/>
    <w:rsid w:val="00D56416"/>
    <w:rsid w:val="00D56489"/>
    <w:rsid w:val="00D56DB8"/>
    <w:rsid w:val="00D570A8"/>
    <w:rsid w:val="00D57DA7"/>
    <w:rsid w:val="00D57F20"/>
    <w:rsid w:val="00D60259"/>
    <w:rsid w:val="00D60496"/>
    <w:rsid w:val="00D6087C"/>
    <w:rsid w:val="00D60DF1"/>
    <w:rsid w:val="00D60E6D"/>
    <w:rsid w:val="00D61193"/>
    <w:rsid w:val="00D6121B"/>
    <w:rsid w:val="00D612FE"/>
    <w:rsid w:val="00D61741"/>
    <w:rsid w:val="00D617E9"/>
    <w:rsid w:val="00D61B82"/>
    <w:rsid w:val="00D61D72"/>
    <w:rsid w:val="00D61D75"/>
    <w:rsid w:val="00D622E2"/>
    <w:rsid w:val="00D62570"/>
    <w:rsid w:val="00D629FB"/>
    <w:rsid w:val="00D62A22"/>
    <w:rsid w:val="00D62C82"/>
    <w:rsid w:val="00D63623"/>
    <w:rsid w:val="00D63FDD"/>
    <w:rsid w:val="00D641D4"/>
    <w:rsid w:val="00D6462C"/>
    <w:rsid w:val="00D6535C"/>
    <w:rsid w:val="00D65FBC"/>
    <w:rsid w:val="00D6664B"/>
    <w:rsid w:val="00D6698D"/>
    <w:rsid w:val="00D66AA4"/>
    <w:rsid w:val="00D66F98"/>
    <w:rsid w:val="00D66FA1"/>
    <w:rsid w:val="00D670B1"/>
    <w:rsid w:val="00D674DC"/>
    <w:rsid w:val="00D67AAC"/>
    <w:rsid w:val="00D70187"/>
    <w:rsid w:val="00D7023D"/>
    <w:rsid w:val="00D70418"/>
    <w:rsid w:val="00D705D6"/>
    <w:rsid w:val="00D7076B"/>
    <w:rsid w:val="00D70C63"/>
    <w:rsid w:val="00D71BA7"/>
    <w:rsid w:val="00D71D00"/>
    <w:rsid w:val="00D71E83"/>
    <w:rsid w:val="00D7200D"/>
    <w:rsid w:val="00D72026"/>
    <w:rsid w:val="00D72665"/>
    <w:rsid w:val="00D7277E"/>
    <w:rsid w:val="00D72B0E"/>
    <w:rsid w:val="00D72DCB"/>
    <w:rsid w:val="00D7364A"/>
    <w:rsid w:val="00D74010"/>
    <w:rsid w:val="00D74337"/>
    <w:rsid w:val="00D747CE"/>
    <w:rsid w:val="00D74890"/>
    <w:rsid w:val="00D74B6E"/>
    <w:rsid w:val="00D75336"/>
    <w:rsid w:val="00D75392"/>
    <w:rsid w:val="00D754B6"/>
    <w:rsid w:val="00D756B6"/>
    <w:rsid w:val="00D759B6"/>
    <w:rsid w:val="00D75E12"/>
    <w:rsid w:val="00D75F1A"/>
    <w:rsid w:val="00D76A85"/>
    <w:rsid w:val="00D76AD4"/>
    <w:rsid w:val="00D7730D"/>
    <w:rsid w:val="00D77564"/>
    <w:rsid w:val="00D77790"/>
    <w:rsid w:val="00D77F09"/>
    <w:rsid w:val="00D8144C"/>
    <w:rsid w:val="00D819D7"/>
    <w:rsid w:val="00D81D3C"/>
    <w:rsid w:val="00D81FC6"/>
    <w:rsid w:val="00D82097"/>
    <w:rsid w:val="00D8217C"/>
    <w:rsid w:val="00D826A8"/>
    <w:rsid w:val="00D82BF8"/>
    <w:rsid w:val="00D82D0B"/>
    <w:rsid w:val="00D82F8F"/>
    <w:rsid w:val="00D832EA"/>
    <w:rsid w:val="00D83C92"/>
    <w:rsid w:val="00D8406F"/>
    <w:rsid w:val="00D84104"/>
    <w:rsid w:val="00D84239"/>
    <w:rsid w:val="00D8436A"/>
    <w:rsid w:val="00D84443"/>
    <w:rsid w:val="00D845FF"/>
    <w:rsid w:val="00D849E9"/>
    <w:rsid w:val="00D84C23"/>
    <w:rsid w:val="00D85858"/>
    <w:rsid w:val="00D85B2E"/>
    <w:rsid w:val="00D85C46"/>
    <w:rsid w:val="00D85D84"/>
    <w:rsid w:val="00D8695E"/>
    <w:rsid w:val="00D8699F"/>
    <w:rsid w:val="00D86CC2"/>
    <w:rsid w:val="00D87230"/>
    <w:rsid w:val="00D87C6A"/>
    <w:rsid w:val="00D90551"/>
    <w:rsid w:val="00D909D5"/>
    <w:rsid w:val="00D90A97"/>
    <w:rsid w:val="00D90EEB"/>
    <w:rsid w:val="00D916A2"/>
    <w:rsid w:val="00D919C3"/>
    <w:rsid w:val="00D922A0"/>
    <w:rsid w:val="00D9231C"/>
    <w:rsid w:val="00D924ED"/>
    <w:rsid w:val="00D92856"/>
    <w:rsid w:val="00D94510"/>
    <w:rsid w:val="00D94783"/>
    <w:rsid w:val="00D94A1D"/>
    <w:rsid w:val="00D94F17"/>
    <w:rsid w:val="00D950FE"/>
    <w:rsid w:val="00D9527E"/>
    <w:rsid w:val="00D96156"/>
    <w:rsid w:val="00D96298"/>
    <w:rsid w:val="00D963BB"/>
    <w:rsid w:val="00D96490"/>
    <w:rsid w:val="00D96511"/>
    <w:rsid w:val="00D9696A"/>
    <w:rsid w:val="00D96AB5"/>
    <w:rsid w:val="00D96EA3"/>
    <w:rsid w:val="00D97B00"/>
    <w:rsid w:val="00D97B5C"/>
    <w:rsid w:val="00D97F57"/>
    <w:rsid w:val="00D97F61"/>
    <w:rsid w:val="00DA0325"/>
    <w:rsid w:val="00DA04BF"/>
    <w:rsid w:val="00DA050F"/>
    <w:rsid w:val="00DA0530"/>
    <w:rsid w:val="00DA05C8"/>
    <w:rsid w:val="00DA077D"/>
    <w:rsid w:val="00DA0EEB"/>
    <w:rsid w:val="00DA15E6"/>
    <w:rsid w:val="00DA1805"/>
    <w:rsid w:val="00DA1B05"/>
    <w:rsid w:val="00DA208A"/>
    <w:rsid w:val="00DA2217"/>
    <w:rsid w:val="00DA2632"/>
    <w:rsid w:val="00DA2695"/>
    <w:rsid w:val="00DA26B0"/>
    <w:rsid w:val="00DA298E"/>
    <w:rsid w:val="00DA3120"/>
    <w:rsid w:val="00DA3311"/>
    <w:rsid w:val="00DA3691"/>
    <w:rsid w:val="00DA372B"/>
    <w:rsid w:val="00DA374F"/>
    <w:rsid w:val="00DA3A25"/>
    <w:rsid w:val="00DA43AE"/>
    <w:rsid w:val="00DA4653"/>
    <w:rsid w:val="00DA48A4"/>
    <w:rsid w:val="00DA4C19"/>
    <w:rsid w:val="00DA4FAF"/>
    <w:rsid w:val="00DA5350"/>
    <w:rsid w:val="00DA5398"/>
    <w:rsid w:val="00DA5477"/>
    <w:rsid w:val="00DA5AFB"/>
    <w:rsid w:val="00DA5E55"/>
    <w:rsid w:val="00DA5EF4"/>
    <w:rsid w:val="00DA6175"/>
    <w:rsid w:val="00DA65D8"/>
    <w:rsid w:val="00DA676F"/>
    <w:rsid w:val="00DA6817"/>
    <w:rsid w:val="00DA6B96"/>
    <w:rsid w:val="00DA6D99"/>
    <w:rsid w:val="00DA6FCA"/>
    <w:rsid w:val="00DB055A"/>
    <w:rsid w:val="00DB093C"/>
    <w:rsid w:val="00DB0C16"/>
    <w:rsid w:val="00DB0E3B"/>
    <w:rsid w:val="00DB1DA1"/>
    <w:rsid w:val="00DB2001"/>
    <w:rsid w:val="00DB26B8"/>
    <w:rsid w:val="00DB2BD7"/>
    <w:rsid w:val="00DB2E01"/>
    <w:rsid w:val="00DB2FD4"/>
    <w:rsid w:val="00DB334D"/>
    <w:rsid w:val="00DB3A11"/>
    <w:rsid w:val="00DB3AA2"/>
    <w:rsid w:val="00DB4261"/>
    <w:rsid w:val="00DB4521"/>
    <w:rsid w:val="00DB48C3"/>
    <w:rsid w:val="00DB4B74"/>
    <w:rsid w:val="00DB50C1"/>
    <w:rsid w:val="00DB575D"/>
    <w:rsid w:val="00DB5865"/>
    <w:rsid w:val="00DB5EBF"/>
    <w:rsid w:val="00DB6C65"/>
    <w:rsid w:val="00DB6E2E"/>
    <w:rsid w:val="00DB73DF"/>
    <w:rsid w:val="00DB79EC"/>
    <w:rsid w:val="00DC025E"/>
    <w:rsid w:val="00DC0639"/>
    <w:rsid w:val="00DC096F"/>
    <w:rsid w:val="00DC0D9A"/>
    <w:rsid w:val="00DC122F"/>
    <w:rsid w:val="00DC12C9"/>
    <w:rsid w:val="00DC1779"/>
    <w:rsid w:val="00DC191D"/>
    <w:rsid w:val="00DC1ABD"/>
    <w:rsid w:val="00DC1F0D"/>
    <w:rsid w:val="00DC2534"/>
    <w:rsid w:val="00DC282C"/>
    <w:rsid w:val="00DC2CFE"/>
    <w:rsid w:val="00DC3064"/>
    <w:rsid w:val="00DC3444"/>
    <w:rsid w:val="00DC35D2"/>
    <w:rsid w:val="00DC3CA5"/>
    <w:rsid w:val="00DC3F0A"/>
    <w:rsid w:val="00DC44E0"/>
    <w:rsid w:val="00DC4751"/>
    <w:rsid w:val="00DC4B9B"/>
    <w:rsid w:val="00DC4EBB"/>
    <w:rsid w:val="00DC51DA"/>
    <w:rsid w:val="00DC5241"/>
    <w:rsid w:val="00DC568D"/>
    <w:rsid w:val="00DC619A"/>
    <w:rsid w:val="00DC62BF"/>
    <w:rsid w:val="00DC6433"/>
    <w:rsid w:val="00DC65F0"/>
    <w:rsid w:val="00DC6922"/>
    <w:rsid w:val="00DC6A3B"/>
    <w:rsid w:val="00DC72B4"/>
    <w:rsid w:val="00DC76CA"/>
    <w:rsid w:val="00DC771D"/>
    <w:rsid w:val="00DD0004"/>
    <w:rsid w:val="00DD02E1"/>
    <w:rsid w:val="00DD0584"/>
    <w:rsid w:val="00DD0627"/>
    <w:rsid w:val="00DD0689"/>
    <w:rsid w:val="00DD080C"/>
    <w:rsid w:val="00DD0B71"/>
    <w:rsid w:val="00DD0CBF"/>
    <w:rsid w:val="00DD0CFE"/>
    <w:rsid w:val="00DD17E8"/>
    <w:rsid w:val="00DD1904"/>
    <w:rsid w:val="00DD252B"/>
    <w:rsid w:val="00DD25EC"/>
    <w:rsid w:val="00DD26F0"/>
    <w:rsid w:val="00DD2713"/>
    <w:rsid w:val="00DD281C"/>
    <w:rsid w:val="00DD30EE"/>
    <w:rsid w:val="00DD32D2"/>
    <w:rsid w:val="00DD35C0"/>
    <w:rsid w:val="00DD3627"/>
    <w:rsid w:val="00DD38B7"/>
    <w:rsid w:val="00DD39E8"/>
    <w:rsid w:val="00DD3ABC"/>
    <w:rsid w:val="00DD3AF3"/>
    <w:rsid w:val="00DD4242"/>
    <w:rsid w:val="00DD4A7F"/>
    <w:rsid w:val="00DD51BE"/>
    <w:rsid w:val="00DD5822"/>
    <w:rsid w:val="00DD59A2"/>
    <w:rsid w:val="00DD5B56"/>
    <w:rsid w:val="00DD6367"/>
    <w:rsid w:val="00DD6436"/>
    <w:rsid w:val="00DD6B0F"/>
    <w:rsid w:val="00DD76C1"/>
    <w:rsid w:val="00DD79BE"/>
    <w:rsid w:val="00DD7D21"/>
    <w:rsid w:val="00DE0246"/>
    <w:rsid w:val="00DE0310"/>
    <w:rsid w:val="00DE0332"/>
    <w:rsid w:val="00DE0C4F"/>
    <w:rsid w:val="00DE0FA5"/>
    <w:rsid w:val="00DE10A1"/>
    <w:rsid w:val="00DE10FE"/>
    <w:rsid w:val="00DE1275"/>
    <w:rsid w:val="00DE17A3"/>
    <w:rsid w:val="00DE1DA8"/>
    <w:rsid w:val="00DE1DCC"/>
    <w:rsid w:val="00DE26FD"/>
    <w:rsid w:val="00DE27A7"/>
    <w:rsid w:val="00DE28D8"/>
    <w:rsid w:val="00DE3067"/>
    <w:rsid w:val="00DE321A"/>
    <w:rsid w:val="00DE367B"/>
    <w:rsid w:val="00DE3871"/>
    <w:rsid w:val="00DE398F"/>
    <w:rsid w:val="00DE39D2"/>
    <w:rsid w:val="00DE3BAD"/>
    <w:rsid w:val="00DE3BFA"/>
    <w:rsid w:val="00DE3D5C"/>
    <w:rsid w:val="00DE46B0"/>
    <w:rsid w:val="00DE47DE"/>
    <w:rsid w:val="00DE4BA2"/>
    <w:rsid w:val="00DE4C4F"/>
    <w:rsid w:val="00DE4D6E"/>
    <w:rsid w:val="00DE4EAD"/>
    <w:rsid w:val="00DE54DD"/>
    <w:rsid w:val="00DE58D0"/>
    <w:rsid w:val="00DE5B8E"/>
    <w:rsid w:val="00DE5BDB"/>
    <w:rsid w:val="00DE5F3C"/>
    <w:rsid w:val="00DE5F91"/>
    <w:rsid w:val="00DE6206"/>
    <w:rsid w:val="00DE663E"/>
    <w:rsid w:val="00DE699B"/>
    <w:rsid w:val="00DE6E54"/>
    <w:rsid w:val="00DE7A39"/>
    <w:rsid w:val="00DE7A7E"/>
    <w:rsid w:val="00DE7B3C"/>
    <w:rsid w:val="00DE7EA1"/>
    <w:rsid w:val="00DF08F7"/>
    <w:rsid w:val="00DF09F9"/>
    <w:rsid w:val="00DF0D91"/>
    <w:rsid w:val="00DF0E3D"/>
    <w:rsid w:val="00DF0EBD"/>
    <w:rsid w:val="00DF11C3"/>
    <w:rsid w:val="00DF1745"/>
    <w:rsid w:val="00DF1D20"/>
    <w:rsid w:val="00DF1DDA"/>
    <w:rsid w:val="00DF2653"/>
    <w:rsid w:val="00DF270A"/>
    <w:rsid w:val="00DF2C94"/>
    <w:rsid w:val="00DF2D72"/>
    <w:rsid w:val="00DF2FA1"/>
    <w:rsid w:val="00DF3347"/>
    <w:rsid w:val="00DF358E"/>
    <w:rsid w:val="00DF367C"/>
    <w:rsid w:val="00DF36C8"/>
    <w:rsid w:val="00DF42B7"/>
    <w:rsid w:val="00DF44B1"/>
    <w:rsid w:val="00DF471D"/>
    <w:rsid w:val="00DF4B9F"/>
    <w:rsid w:val="00DF4F52"/>
    <w:rsid w:val="00DF5309"/>
    <w:rsid w:val="00DF53F4"/>
    <w:rsid w:val="00DF57A8"/>
    <w:rsid w:val="00DF57CD"/>
    <w:rsid w:val="00DF5888"/>
    <w:rsid w:val="00DF598A"/>
    <w:rsid w:val="00DF6118"/>
    <w:rsid w:val="00DF62A1"/>
    <w:rsid w:val="00DF6543"/>
    <w:rsid w:val="00DF6565"/>
    <w:rsid w:val="00DF77EA"/>
    <w:rsid w:val="00DF77ED"/>
    <w:rsid w:val="00DF7C3C"/>
    <w:rsid w:val="00DF7CA3"/>
    <w:rsid w:val="00E002A3"/>
    <w:rsid w:val="00E00339"/>
    <w:rsid w:val="00E00606"/>
    <w:rsid w:val="00E009AE"/>
    <w:rsid w:val="00E00A40"/>
    <w:rsid w:val="00E00A4C"/>
    <w:rsid w:val="00E00F57"/>
    <w:rsid w:val="00E01316"/>
    <w:rsid w:val="00E0132B"/>
    <w:rsid w:val="00E013D8"/>
    <w:rsid w:val="00E016F6"/>
    <w:rsid w:val="00E018D4"/>
    <w:rsid w:val="00E01A47"/>
    <w:rsid w:val="00E01A49"/>
    <w:rsid w:val="00E01F6D"/>
    <w:rsid w:val="00E022DD"/>
    <w:rsid w:val="00E024C6"/>
    <w:rsid w:val="00E02A90"/>
    <w:rsid w:val="00E02D4B"/>
    <w:rsid w:val="00E031B6"/>
    <w:rsid w:val="00E032F7"/>
    <w:rsid w:val="00E03BB4"/>
    <w:rsid w:val="00E0495A"/>
    <w:rsid w:val="00E04FBA"/>
    <w:rsid w:val="00E05742"/>
    <w:rsid w:val="00E05D35"/>
    <w:rsid w:val="00E05F07"/>
    <w:rsid w:val="00E06178"/>
    <w:rsid w:val="00E064FA"/>
    <w:rsid w:val="00E0663F"/>
    <w:rsid w:val="00E0736A"/>
    <w:rsid w:val="00E0781D"/>
    <w:rsid w:val="00E07AFB"/>
    <w:rsid w:val="00E07E2E"/>
    <w:rsid w:val="00E07ECA"/>
    <w:rsid w:val="00E100DC"/>
    <w:rsid w:val="00E10445"/>
    <w:rsid w:val="00E1057B"/>
    <w:rsid w:val="00E108DE"/>
    <w:rsid w:val="00E10B24"/>
    <w:rsid w:val="00E10DA3"/>
    <w:rsid w:val="00E111C5"/>
    <w:rsid w:val="00E119D4"/>
    <w:rsid w:val="00E11E93"/>
    <w:rsid w:val="00E11EB1"/>
    <w:rsid w:val="00E12218"/>
    <w:rsid w:val="00E131FE"/>
    <w:rsid w:val="00E13481"/>
    <w:rsid w:val="00E138BE"/>
    <w:rsid w:val="00E138F9"/>
    <w:rsid w:val="00E13FDB"/>
    <w:rsid w:val="00E14000"/>
    <w:rsid w:val="00E14783"/>
    <w:rsid w:val="00E14BFA"/>
    <w:rsid w:val="00E14C6F"/>
    <w:rsid w:val="00E14D19"/>
    <w:rsid w:val="00E152B5"/>
    <w:rsid w:val="00E15475"/>
    <w:rsid w:val="00E15950"/>
    <w:rsid w:val="00E15BC5"/>
    <w:rsid w:val="00E15C21"/>
    <w:rsid w:val="00E15D9B"/>
    <w:rsid w:val="00E164AA"/>
    <w:rsid w:val="00E164F1"/>
    <w:rsid w:val="00E1661B"/>
    <w:rsid w:val="00E169A6"/>
    <w:rsid w:val="00E169C4"/>
    <w:rsid w:val="00E16AF3"/>
    <w:rsid w:val="00E16FB8"/>
    <w:rsid w:val="00E17268"/>
    <w:rsid w:val="00E178A6"/>
    <w:rsid w:val="00E17ACE"/>
    <w:rsid w:val="00E17E97"/>
    <w:rsid w:val="00E2004B"/>
    <w:rsid w:val="00E20460"/>
    <w:rsid w:val="00E2180D"/>
    <w:rsid w:val="00E21997"/>
    <w:rsid w:val="00E21AC2"/>
    <w:rsid w:val="00E21E03"/>
    <w:rsid w:val="00E21FB2"/>
    <w:rsid w:val="00E22159"/>
    <w:rsid w:val="00E2266D"/>
    <w:rsid w:val="00E22892"/>
    <w:rsid w:val="00E22A3A"/>
    <w:rsid w:val="00E22EAC"/>
    <w:rsid w:val="00E22EF8"/>
    <w:rsid w:val="00E22F42"/>
    <w:rsid w:val="00E23C61"/>
    <w:rsid w:val="00E246B4"/>
    <w:rsid w:val="00E24BFD"/>
    <w:rsid w:val="00E2500A"/>
    <w:rsid w:val="00E25549"/>
    <w:rsid w:val="00E25839"/>
    <w:rsid w:val="00E25D8C"/>
    <w:rsid w:val="00E26053"/>
    <w:rsid w:val="00E26E3F"/>
    <w:rsid w:val="00E27053"/>
    <w:rsid w:val="00E2718A"/>
    <w:rsid w:val="00E272B2"/>
    <w:rsid w:val="00E2750F"/>
    <w:rsid w:val="00E278AC"/>
    <w:rsid w:val="00E27B66"/>
    <w:rsid w:val="00E27B8D"/>
    <w:rsid w:val="00E27FA3"/>
    <w:rsid w:val="00E30742"/>
    <w:rsid w:val="00E308C6"/>
    <w:rsid w:val="00E309BF"/>
    <w:rsid w:val="00E311C6"/>
    <w:rsid w:val="00E32043"/>
    <w:rsid w:val="00E322DD"/>
    <w:rsid w:val="00E3245C"/>
    <w:rsid w:val="00E327C7"/>
    <w:rsid w:val="00E329E8"/>
    <w:rsid w:val="00E32C08"/>
    <w:rsid w:val="00E32C5B"/>
    <w:rsid w:val="00E32DF1"/>
    <w:rsid w:val="00E33244"/>
    <w:rsid w:val="00E332AC"/>
    <w:rsid w:val="00E3391B"/>
    <w:rsid w:val="00E33A85"/>
    <w:rsid w:val="00E33CCE"/>
    <w:rsid w:val="00E34657"/>
    <w:rsid w:val="00E34A72"/>
    <w:rsid w:val="00E34FAD"/>
    <w:rsid w:val="00E35394"/>
    <w:rsid w:val="00E357AD"/>
    <w:rsid w:val="00E35B19"/>
    <w:rsid w:val="00E360E7"/>
    <w:rsid w:val="00E36C5D"/>
    <w:rsid w:val="00E36E7E"/>
    <w:rsid w:val="00E370D9"/>
    <w:rsid w:val="00E37821"/>
    <w:rsid w:val="00E37DF2"/>
    <w:rsid w:val="00E37E9F"/>
    <w:rsid w:val="00E400A4"/>
    <w:rsid w:val="00E40378"/>
    <w:rsid w:val="00E403EE"/>
    <w:rsid w:val="00E40416"/>
    <w:rsid w:val="00E406E5"/>
    <w:rsid w:val="00E40BD2"/>
    <w:rsid w:val="00E40C91"/>
    <w:rsid w:val="00E40ED0"/>
    <w:rsid w:val="00E40F58"/>
    <w:rsid w:val="00E4111C"/>
    <w:rsid w:val="00E413EF"/>
    <w:rsid w:val="00E4143D"/>
    <w:rsid w:val="00E415D4"/>
    <w:rsid w:val="00E417DA"/>
    <w:rsid w:val="00E41CFB"/>
    <w:rsid w:val="00E41D1D"/>
    <w:rsid w:val="00E4235E"/>
    <w:rsid w:val="00E4238B"/>
    <w:rsid w:val="00E4238F"/>
    <w:rsid w:val="00E423ED"/>
    <w:rsid w:val="00E427BA"/>
    <w:rsid w:val="00E42B0D"/>
    <w:rsid w:val="00E43751"/>
    <w:rsid w:val="00E43868"/>
    <w:rsid w:val="00E44108"/>
    <w:rsid w:val="00E44609"/>
    <w:rsid w:val="00E446C2"/>
    <w:rsid w:val="00E448D5"/>
    <w:rsid w:val="00E44A26"/>
    <w:rsid w:val="00E44AD7"/>
    <w:rsid w:val="00E451C6"/>
    <w:rsid w:val="00E45CEC"/>
    <w:rsid w:val="00E464CD"/>
    <w:rsid w:val="00E46A0D"/>
    <w:rsid w:val="00E46BD6"/>
    <w:rsid w:val="00E4751D"/>
    <w:rsid w:val="00E4755C"/>
    <w:rsid w:val="00E475E6"/>
    <w:rsid w:val="00E4770F"/>
    <w:rsid w:val="00E47AF3"/>
    <w:rsid w:val="00E502AF"/>
    <w:rsid w:val="00E50369"/>
    <w:rsid w:val="00E5053D"/>
    <w:rsid w:val="00E5066B"/>
    <w:rsid w:val="00E50BC2"/>
    <w:rsid w:val="00E50D50"/>
    <w:rsid w:val="00E50F0B"/>
    <w:rsid w:val="00E50FBB"/>
    <w:rsid w:val="00E512BD"/>
    <w:rsid w:val="00E51F1A"/>
    <w:rsid w:val="00E51F48"/>
    <w:rsid w:val="00E52383"/>
    <w:rsid w:val="00E52849"/>
    <w:rsid w:val="00E53044"/>
    <w:rsid w:val="00E53045"/>
    <w:rsid w:val="00E534DD"/>
    <w:rsid w:val="00E536A7"/>
    <w:rsid w:val="00E54106"/>
    <w:rsid w:val="00E54A39"/>
    <w:rsid w:val="00E555D9"/>
    <w:rsid w:val="00E55B62"/>
    <w:rsid w:val="00E5652E"/>
    <w:rsid w:val="00E56A64"/>
    <w:rsid w:val="00E56A82"/>
    <w:rsid w:val="00E5766E"/>
    <w:rsid w:val="00E5776E"/>
    <w:rsid w:val="00E57BB4"/>
    <w:rsid w:val="00E57F44"/>
    <w:rsid w:val="00E60156"/>
    <w:rsid w:val="00E60377"/>
    <w:rsid w:val="00E60C02"/>
    <w:rsid w:val="00E61033"/>
    <w:rsid w:val="00E61225"/>
    <w:rsid w:val="00E614ED"/>
    <w:rsid w:val="00E616F0"/>
    <w:rsid w:val="00E61876"/>
    <w:rsid w:val="00E618E6"/>
    <w:rsid w:val="00E61A26"/>
    <w:rsid w:val="00E61FE0"/>
    <w:rsid w:val="00E6200C"/>
    <w:rsid w:val="00E62AB3"/>
    <w:rsid w:val="00E62BB4"/>
    <w:rsid w:val="00E631AF"/>
    <w:rsid w:val="00E63585"/>
    <w:rsid w:val="00E64264"/>
    <w:rsid w:val="00E643B9"/>
    <w:rsid w:val="00E644DB"/>
    <w:rsid w:val="00E64609"/>
    <w:rsid w:val="00E648A9"/>
    <w:rsid w:val="00E64945"/>
    <w:rsid w:val="00E64A51"/>
    <w:rsid w:val="00E64AD4"/>
    <w:rsid w:val="00E64F96"/>
    <w:rsid w:val="00E650C6"/>
    <w:rsid w:val="00E654ED"/>
    <w:rsid w:val="00E66028"/>
    <w:rsid w:val="00E660C1"/>
    <w:rsid w:val="00E66195"/>
    <w:rsid w:val="00E66244"/>
    <w:rsid w:val="00E66337"/>
    <w:rsid w:val="00E663D5"/>
    <w:rsid w:val="00E66811"/>
    <w:rsid w:val="00E67097"/>
    <w:rsid w:val="00E700F5"/>
    <w:rsid w:val="00E701CB"/>
    <w:rsid w:val="00E70C79"/>
    <w:rsid w:val="00E70D1C"/>
    <w:rsid w:val="00E70E45"/>
    <w:rsid w:val="00E710C8"/>
    <w:rsid w:val="00E712BC"/>
    <w:rsid w:val="00E7146B"/>
    <w:rsid w:val="00E71A51"/>
    <w:rsid w:val="00E71F86"/>
    <w:rsid w:val="00E71FB5"/>
    <w:rsid w:val="00E722EF"/>
    <w:rsid w:val="00E7250A"/>
    <w:rsid w:val="00E7255E"/>
    <w:rsid w:val="00E72AD8"/>
    <w:rsid w:val="00E72DC2"/>
    <w:rsid w:val="00E731D3"/>
    <w:rsid w:val="00E7410B"/>
    <w:rsid w:val="00E748CF"/>
    <w:rsid w:val="00E74E8C"/>
    <w:rsid w:val="00E7501F"/>
    <w:rsid w:val="00E752C3"/>
    <w:rsid w:val="00E75375"/>
    <w:rsid w:val="00E75A3C"/>
    <w:rsid w:val="00E75D4E"/>
    <w:rsid w:val="00E75F21"/>
    <w:rsid w:val="00E7619B"/>
    <w:rsid w:val="00E7673B"/>
    <w:rsid w:val="00E7686A"/>
    <w:rsid w:val="00E76DDD"/>
    <w:rsid w:val="00E76E67"/>
    <w:rsid w:val="00E77648"/>
    <w:rsid w:val="00E77735"/>
    <w:rsid w:val="00E77B18"/>
    <w:rsid w:val="00E77ED4"/>
    <w:rsid w:val="00E802D1"/>
    <w:rsid w:val="00E8075C"/>
    <w:rsid w:val="00E812B2"/>
    <w:rsid w:val="00E81A73"/>
    <w:rsid w:val="00E81D71"/>
    <w:rsid w:val="00E82391"/>
    <w:rsid w:val="00E8250C"/>
    <w:rsid w:val="00E825EB"/>
    <w:rsid w:val="00E82EA0"/>
    <w:rsid w:val="00E82EBD"/>
    <w:rsid w:val="00E8344E"/>
    <w:rsid w:val="00E83B3A"/>
    <w:rsid w:val="00E83C99"/>
    <w:rsid w:val="00E84481"/>
    <w:rsid w:val="00E8456F"/>
    <w:rsid w:val="00E849BB"/>
    <w:rsid w:val="00E84DB7"/>
    <w:rsid w:val="00E85568"/>
    <w:rsid w:val="00E858F0"/>
    <w:rsid w:val="00E85ACA"/>
    <w:rsid w:val="00E85B74"/>
    <w:rsid w:val="00E85C3A"/>
    <w:rsid w:val="00E86678"/>
    <w:rsid w:val="00E86943"/>
    <w:rsid w:val="00E870B3"/>
    <w:rsid w:val="00E871BF"/>
    <w:rsid w:val="00E87567"/>
    <w:rsid w:val="00E87832"/>
    <w:rsid w:val="00E87896"/>
    <w:rsid w:val="00E87D2F"/>
    <w:rsid w:val="00E9006B"/>
    <w:rsid w:val="00E90933"/>
    <w:rsid w:val="00E90C0F"/>
    <w:rsid w:val="00E90F56"/>
    <w:rsid w:val="00E9101B"/>
    <w:rsid w:val="00E9105F"/>
    <w:rsid w:val="00E9163B"/>
    <w:rsid w:val="00E91892"/>
    <w:rsid w:val="00E91A26"/>
    <w:rsid w:val="00E91DA6"/>
    <w:rsid w:val="00E91DD1"/>
    <w:rsid w:val="00E921F1"/>
    <w:rsid w:val="00E92259"/>
    <w:rsid w:val="00E9243B"/>
    <w:rsid w:val="00E92AF4"/>
    <w:rsid w:val="00E92B68"/>
    <w:rsid w:val="00E92D3A"/>
    <w:rsid w:val="00E92DC9"/>
    <w:rsid w:val="00E932EB"/>
    <w:rsid w:val="00E93819"/>
    <w:rsid w:val="00E93937"/>
    <w:rsid w:val="00E93BE5"/>
    <w:rsid w:val="00E93D20"/>
    <w:rsid w:val="00E9479D"/>
    <w:rsid w:val="00E94C8B"/>
    <w:rsid w:val="00E94DEA"/>
    <w:rsid w:val="00E9570A"/>
    <w:rsid w:val="00E95890"/>
    <w:rsid w:val="00E958EF"/>
    <w:rsid w:val="00E959CC"/>
    <w:rsid w:val="00E95A1F"/>
    <w:rsid w:val="00E95AB0"/>
    <w:rsid w:val="00E9647C"/>
    <w:rsid w:val="00E966E0"/>
    <w:rsid w:val="00E96848"/>
    <w:rsid w:val="00E96AFA"/>
    <w:rsid w:val="00E978D5"/>
    <w:rsid w:val="00E97C65"/>
    <w:rsid w:val="00EA1266"/>
    <w:rsid w:val="00EA1338"/>
    <w:rsid w:val="00EA1490"/>
    <w:rsid w:val="00EA15F7"/>
    <w:rsid w:val="00EA2195"/>
    <w:rsid w:val="00EA2549"/>
    <w:rsid w:val="00EA2681"/>
    <w:rsid w:val="00EA2B7A"/>
    <w:rsid w:val="00EA2CF9"/>
    <w:rsid w:val="00EA377A"/>
    <w:rsid w:val="00EA45B3"/>
    <w:rsid w:val="00EA480A"/>
    <w:rsid w:val="00EA4B8A"/>
    <w:rsid w:val="00EA6209"/>
    <w:rsid w:val="00EA64EE"/>
    <w:rsid w:val="00EA6BED"/>
    <w:rsid w:val="00EA755E"/>
    <w:rsid w:val="00EA777C"/>
    <w:rsid w:val="00EA78E8"/>
    <w:rsid w:val="00EA7A59"/>
    <w:rsid w:val="00EA7F86"/>
    <w:rsid w:val="00EB02B3"/>
    <w:rsid w:val="00EB0480"/>
    <w:rsid w:val="00EB0A0E"/>
    <w:rsid w:val="00EB130F"/>
    <w:rsid w:val="00EB156D"/>
    <w:rsid w:val="00EB18F7"/>
    <w:rsid w:val="00EB1AF8"/>
    <w:rsid w:val="00EB1FF6"/>
    <w:rsid w:val="00EB22BD"/>
    <w:rsid w:val="00EB2FC5"/>
    <w:rsid w:val="00EB30AB"/>
    <w:rsid w:val="00EB32D2"/>
    <w:rsid w:val="00EB34F1"/>
    <w:rsid w:val="00EB3850"/>
    <w:rsid w:val="00EB3BDA"/>
    <w:rsid w:val="00EB4614"/>
    <w:rsid w:val="00EB4CD2"/>
    <w:rsid w:val="00EB4D90"/>
    <w:rsid w:val="00EB4DC7"/>
    <w:rsid w:val="00EB55DF"/>
    <w:rsid w:val="00EB58E2"/>
    <w:rsid w:val="00EB5AD6"/>
    <w:rsid w:val="00EB6335"/>
    <w:rsid w:val="00EB69B6"/>
    <w:rsid w:val="00EB6B55"/>
    <w:rsid w:val="00EB7086"/>
    <w:rsid w:val="00EB7A33"/>
    <w:rsid w:val="00EB7A9B"/>
    <w:rsid w:val="00EB7F90"/>
    <w:rsid w:val="00EC0292"/>
    <w:rsid w:val="00EC035D"/>
    <w:rsid w:val="00EC0732"/>
    <w:rsid w:val="00EC0CB5"/>
    <w:rsid w:val="00EC0E37"/>
    <w:rsid w:val="00EC0EE6"/>
    <w:rsid w:val="00EC12DE"/>
    <w:rsid w:val="00EC13D2"/>
    <w:rsid w:val="00EC1546"/>
    <w:rsid w:val="00EC1586"/>
    <w:rsid w:val="00EC162F"/>
    <w:rsid w:val="00EC182D"/>
    <w:rsid w:val="00EC1F01"/>
    <w:rsid w:val="00EC2570"/>
    <w:rsid w:val="00EC26F0"/>
    <w:rsid w:val="00EC2A17"/>
    <w:rsid w:val="00EC2D50"/>
    <w:rsid w:val="00EC2EAB"/>
    <w:rsid w:val="00EC3364"/>
    <w:rsid w:val="00EC362B"/>
    <w:rsid w:val="00EC40B8"/>
    <w:rsid w:val="00EC4524"/>
    <w:rsid w:val="00EC4729"/>
    <w:rsid w:val="00EC4782"/>
    <w:rsid w:val="00EC481C"/>
    <w:rsid w:val="00EC49DF"/>
    <w:rsid w:val="00EC4C78"/>
    <w:rsid w:val="00EC558F"/>
    <w:rsid w:val="00EC56FE"/>
    <w:rsid w:val="00EC57A5"/>
    <w:rsid w:val="00EC59DB"/>
    <w:rsid w:val="00EC6027"/>
    <w:rsid w:val="00EC6282"/>
    <w:rsid w:val="00EC62A3"/>
    <w:rsid w:val="00EC6383"/>
    <w:rsid w:val="00EC7BC3"/>
    <w:rsid w:val="00EC7ED4"/>
    <w:rsid w:val="00EC7F21"/>
    <w:rsid w:val="00ED04E0"/>
    <w:rsid w:val="00ED04EC"/>
    <w:rsid w:val="00ED0D89"/>
    <w:rsid w:val="00ED0F41"/>
    <w:rsid w:val="00ED18A3"/>
    <w:rsid w:val="00ED1E03"/>
    <w:rsid w:val="00ED212F"/>
    <w:rsid w:val="00ED2306"/>
    <w:rsid w:val="00ED2625"/>
    <w:rsid w:val="00ED26A8"/>
    <w:rsid w:val="00ED2B31"/>
    <w:rsid w:val="00ED2B98"/>
    <w:rsid w:val="00ED30DB"/>
    <w:rsid w:val="00ED3764"/>
    <w:rsid w:val="00ED3A83"/>
    <w:rsid w:val="00ED3ACB"/>
    <w:rsid w:val="00ED3BB8"/>
    <w:rsid w:val="00ED46EC"/>
    <w:rsid w:val="00ED4C4B"/>
    <w:rsid w:val="00ED4DA1"/>
    <w:rsid w:val="00ED4DB4"/>
    <w:rsid w:val="00ED50F7"/>
    <w:rsid w:val="00ED5166"/>
    <w:rsid w:val="00ED5C4A"/>
    <w:rsid w:val="00ED6000"/>
    <w:rsid w:val="00ED6051"/>
    <w:rsid w:val="00ED6402"/>
    <w:rsid w:val="00ED669C"/>
    <w:rsid w:val="00ED6771"/>
    <w:rsid w:val="00ED6EED"/>
    <w:rsid w:val="00ED758A"/>
    <w:rsid w:val="00ED7A1D"/>
    <w:rsid w:val="00ED7A77"/>
    <w:rsid w:val="00ED7B8B"/>
    <w:rsid w:val="00ED7CE1"/>
    <w:rsid w:val="00EE0010"/>
    <w:rsid w:val="00EE027F"/>
    <w:rsid w:val="00EE0502"/>
    <w:rsid w:val="00EE0863"/>
    <w:rsid w:val="00EE0C0B"/>
    <w:rsid w:val="00EE10DC"/>
    <w:rsid w:val="00EE114B"/>
    <w:rsid w:val="00EE1F9F"/>
    <w:rsid w:val="00EE2030"/>
    <w:rsid w:val="00EE246D"/>
    <w:rsid w:val="00EE2695"/>
    <w:rsid w:val="00EE2D04"/>
    <w:rsid w:val="00EE3054"/>
    <w:rsid w:val="00EE312E"/>
    <w:rsid w:val="00EE3903"/>
    <w:rsid w:val="00EE3A16"/>
    <w:rsid w:val="00EE3BD6"/>
    <w:rsid w:val="00EE3C85"/>
    <w:rsid w:val="00EE42E4"/>
    <w:rsid w:val="00EE4715"/>
    <w:rsid w:val="00EE4738"/>
    <w:rsid w:val="00EE47D5"/>
    <w:rsid w:val="00EE5092"/>
    <w:rsid w:val="00EE5552"/>
    <w:rsid w:val="00EE57BA"/>
    <w:rsid w:val="00EE6180"/>
    <w:rsid w:val="00EE61DA"/>
    <w:rsid w:val="00EE6D55"/>
    <w:rsid w:val="00EE6E03"/>
    <w:rsid w:val="00EE70B1"/>
    <w:rsid w:val="00EE72C0"/>
    <w:rsid w:val="00EE77BB"/>
    <w:rsid w:val="00EE7B33"/>
    <w:rsid w:val="00EF008B"/>
    <w:rsid w:val="00EF0311"/>
    <w:rsid w:val="00EF056F"/>
    <w:rsid w:val="00EF0F81"/>
    <w:rsid w:val="00EF11E8"/>
    <w:rsid w:val="00EF1B3B"/>
    <w:rsid w:val="00EF1FAA"/>
    <w:rsid w:val="00EF23D2"/>
    <w:rsid w:val="00EF273B"/>
    <w:rsid w:val="00EF2C93"/>
    <w:rsid w:val="00EF329D"/>
    <w:rsid w:val="00EF3413"/>
    <w:rsid w:val="00EF3891"/>
    <w:rsid w:val="00EF3D92"/>
    <w:rsid w:val="00EF4092"/>
    <w:rsid w:val="00EF44A2"/>
    <w:rsid w:val="00EF53C9"/>
    <w:rsid w:val="00EF53FB"/>
    <w:rsid w:val="00EF58AE"/>
    <w:rsid w:val="00EF687C"/>
    <w:rsid w:val="00EF7620"/>
    <w:rsid w:val="00EF773B"/>
    <w:rsid w:val="00EF78C3"/>
    <w:rsid w:val="00EF7950"/>
    <w:rsid w:val="00EF7C86"/>
    <w:rsid w:val="00F00136"/>
    <w:rsid w:val="00F004F2"/>
    <w:rsid w:val="00F00DF4"/>
    <w:rsid w:val="00F0102C"/>
    <w:rsid w:val="00F011A3"/>
    <w:rsid w:val="00F011DE"/>
    <w:rsid w:val="00F01481"/>
    <w:rsid w:val="00F014C7"/>
    <w:rsid w:val="00F015FF"/>
    <w:rsid w:val="00F01ADB"/>
    <w:rsid w:val="00F01D72"/>
    <w:rsid w:val="00F0205E"/>
    <w:rsid w:val="00F024FD"/>
    <w:rsid w:val="00F0261B"/>
    <w:rsid w:val="00F02883"/>
    <w:rsid w:val="00F02ED7"/>
    <w:rsid w:val="00F030B2"/>
    <w:rsid w:val="00F03C85"/>
    <w:rsid w:val="00F03E44"/>
    <w:rsid w:val="00F04758"/>
    <w:rsid w:val="00F048BE"/>
    <w:rsid w:val="00F048EC"/>
    <w:rsid w:val="00F04C86"/>
    <w:rsid w:val="00F052A6"/>
    <w:rsid w:val="00F052E8"/>
    <w:rsid w:val="00F05BB6"/>
    <w:rsid w:val="00F06496"/>
    <w:rsid w:val="00F06C9E"/>
    <w:rsid w:val="00F06D20"/>
    <w:rsid w:val="00F07635"/>
    <w:rsid w:val="00F10612"/>
    <w:rsid w:val="00F1074D"/>
    <w:rsid w:val="00F10B18"/>
    <w:rsid w:val="00F1120D"/>
    <w:rsid w:val="00F11DB5"/>
    <w:rsid w:val="00F11F79"/>
    <w:rsid w:val="00F12654"/>
    <w:rsid w:val="00F126E6"/>
    <w:rsid w:val="00F127B8"/>
    <w:rsid w:val="00F12A1B"/>
    <w:rsid w:val="00F131DB"/>
    <w:rsid w:val="00F1322F"/>
    <w:rsid w:val="00F13575"/>
    <w:rsid w:val="00F136F3"/>
    <w:rsid w:val="00F1438D"/>
    <w:rsid w:val="00F1445D"/>
    <w:rsid w:val="00F14ED9"/>
    <w:rsid w:val="00F15096"/>
    <w:rsid w:val="00F15A02"/>
    <w:rsid w:val="00F15BD6"/>
    <w:rsid w:val="00F1606D"/>
    <w:rsid w:val="00F161F5"/>
    <w:rsid w:val="00F1679E"/>
    <w:rsid w:val="00F16EA2"/>
    <w:rsid w:val="00F17503"/>
    <w:rsid w:val="00F176A0"/>
    <w:rsid w:val="00F17B13"/>
    <w:rsid w:val="00F17CE4"/>
    <w:rsid w:val="00F17FE3"/>
    <w:rsid w:val="00F20122"/>
    <w:rsid w:val="00F201A6"/>
    <w:rsid w:val="00F20229"/>
    <w:rsid w:val="00F206E1"/>
    <w:rsid w:val="00F208A1"/>
    <w:rsid w:val="00F213C9"/>
    <w:rsid w:val="00F21773"/>
    <w:rsid w:val="00F21AA8"/>
    <w:rsid w:val="00F21CEA"/>
    <w:rsid w:val="00F2203F"/>
    <w:rsid w:val="00F2292D"/>
    <w:rsid w:val="00F22A9E"/>
    <w:rsid w:val="00F22B68"/>
    <w:rsid w:val="00F22E73"/>
    <w:rsid w:val="00F22F2D"/>
    <w:rsid w:val="00F23086"/>
    <w:rsid w:val="00F23164"/>
    <w:rsid w:val="00F23853"/>
    <w:rsid w:val="00F2388D"/>
    <w:rsid w:val="00F242E4"/>
    <w:rsid w:val="00F24392"/>
    <w:rsid w:val="00F244E8"/>
    <w:rsid w:val="00F24863"/>
    <w:rsid w:val="00F24AF4"/>
    <w:rsid w:val="00F24BB9"/>
    <w:rsid w:val="00F25024"/>
    <w:rsid w:val="00F2520F"/>
    <w:rsid w:val="00F2521C"/>
    <w:rsid w:val="00F25A3E"/>
    <w:rsid w:val="00F25AA6"/>
    <w:rsid w:val="00F25ABB"/>
    <w:rsid w:val="00F25BFF"/>
    <w:rsid w:val="00F26E5C"/>
    <w:rsid w:val="00F27602"/>
    <w:rsid w:val="00F2791F"/>
    <w:rsid w:val="00F279D7"/>
    <w:rsid w:val="00F27C8B"/>
    <w:rsid w:val="00F3020E"/>
    <w:rsid w:val="00F307E3"/>
    <w:rsid w:val="00F30BF2"/>
    <w:rsid w:val="00F311AC"/>
    <w:rsid w:val="00F3164E"/>
    <w:rsid w:val="00F31C0C"/>
    <w:rsid w:val="00F323E7"/>
    <w:rsid w:val="00F326C9"/>
    <w:rsid w:val="00F33123"/>
    <w:rsid w:val="00F3351F"/>
    <w:rsid w:val="00F3354F"/>
    <w:rsid w:val="00F336E4"/>
    <w:rsid w:val="00F33893"/>
    <w:rsid w:val="00F33897"/>
    <w:rsid w:val="00F341D4"/>
    <w:rsid w:val="00F3486D"/>
    <w:rsid w:val="00F349D3"/>
    <w:rsid w:val="00F34D85"/>
    <w:rsid w:val="00F350A6"/>
    <w:rsid w:val="00F350CE"/>
    <w:rsid w:val="00F350FF"/>
    <w:rsid w:val="00F35230"/>
    <w:rsid w:val="00F35384"/>
    <w:rsid w:val="00F35613"/>
    <w:rsid w:val="00F35AEC"/>
    <w:rsid w:val="00F36403"/>
    <w:rsid w:val="00F36925"/>
    <w:rsid w:val="00F36C6A"/>
    <w:rsid w:val="00F36EE0"/>
    <w:rsid w:val="00F3724E"/>
    <w:rsid w:val="00F373DA"/>
    <w:rsid w:val="00F37A6F"/>
    <w:rsid w:val="00F37C8D"/>
    <w:rsid w:val="00F4036F"/>
    <w:rsid w:val="00F4083B"/>
    <w:rsid w:val="00F40F9D"/>
    <w:rsid w:val="00F4151E"/>
    <w:rsid w:val="00F41818"/>
    <w:rsid w:val="00F41B64"/>
    <w:rsid w:val="00F41DA2"/>
    <w:rsid w:val="00F41E47"/>
    <w:rsid w:val="00F42299"/>
    <w:rsid w:val="00F43569"/>
    <w:rsid w:val="00F43689"/>
    <w:rsid w:val="00F43B34"/>
    <w:rsid w:val="00F43BC7"/>
    <w:rsid w:val="00F43D11"/>
    <w:rsid w:val="00F43E46"/>
    <w:rsid w:val="00F43EB4"/>
    <w:rsid w:val="00F442F5"/>
    <w:rsid w:val="00F44473"/>
    <w:rsid w:val="00F444A6"/>
    <w:rsid w:val="00F44876"/>
    <w:rsid w:val="00F44E22"/>
    <w:rsid w:val="00F45883"/>
    <w:rsid w:val="00F463D1"/>
    <w:rsid w:val="00F466B4"/>
    <w:rsid w:val="00F46866"/>
    <w:rsid w:val="00F469E9"/>
    <w:rsid w:val="00F46B54"/>
    <w:rsid w:val="00F4739C"/>
    <w:rsid w:val="00F4798B"/>
    <w:rsid w:val="00F47ED1"/>
    <w:rsid w:val="00F494B9"/>
    <w:rsid w:val="00F50331"/>
    <w:rsid w:val="00F505B8"/>
    <w:rsid w:val="00F505D4"/>
    <w:rsid w:val="00F50BF3"/>
    <w:rsid w:val="00F50D3B"/>
    <w:rsid w:val="00F51201"/>
    <w:rsid w:val="00F5122C"/>
    <w:rsid w:val="00F5164B"/>
    <w:rsid w:val="00F51D31"/>
    <w:rsid w:val="00F52405"/>
    <w:rsid w:val="00F52438"/>
    <w:rsid w:val="00F52493"/>
    <w:rsid w:val="00F527D1"/>
    <w:rsid w:val="00F52D27"/>
    <w:rsid w:val="00F52FB7"/>
    <w:rsid w:val="00F5321B"/>
    <w:rsid w:val="00F53594"/>
    <w:rsid w:val="00F53762"/>
    <w:rsid w:val="00F53803"/>
    <w:rsid w:val="00F53845"/>
    <w:rsid w:val="00F53DE8"/>
    <w:rsid w:val="00F53E26"/>
    <w:rsid w:val="00F53F70"/>
    <w:rsid w:val="00F54420"/>
    <w:rsid w:val="00F54FE2"/>
    <w:rsid w:val="00F55005"/>
    <w:rsid w:val="00F551B9"/>
    <w:rsid w:val="00F553C2"/>
    <w:rsid w:val="00F5545B"/>
    <w:rsid w:val="00F55503"/>
    <w:rsid w:val="00F55514"/>
    <w:rsid w:val="00F55868"/>
    <w:rsid w:val="00F5626C"/>
    <w:rsid w:val="00F563FB"/>
    <w:rsid w:val="00F5651D"/>
    <w:rsid w:val="00F56624"/>
    <w:rsid w:val="00F56D25"/>
    <w:rsid w:val="00F56D91"/>
    <w:rsid w:val="00F57421"/>
    <w:rsid w:val="00F57584"/>
    <w:rsid w:val="00F575AE"/>
    <w:rsid w:val="00F5760F"/>
    <w:rsid w:val="00F57986"/>
    <w:rsid w:val="00F57BB0"/>
    <w:rsid w:val="00F57D82"/>
    <w:rsid w:val="00F57F3B"/>
    <w:rsid w:val="00F57FA0"/>
    <w:rsid w:val="00F60075"/>
    <w:rsid w:val="00F601F3"/>
    <w:rsid w:val="00F60302"/>
    <w:rsid w:val="00F60347"/>
    <w:rsid w:val="00F60419"/>
    <w:rsid w:val="00F604CE"/>
    <w:rsid w:val="00F609C7"/>
    <w:rsid w:val="00F60E27"/>
    <w:rsid w:val="00F616E5"/>
    <w:rsid w:val="00F6194D"/>
    <w:rsid w:val="00F6197D"/>
    <w:rsid w:val="00F61B7C"/>
    <w:rsid w:val="00F61F29"/>
    <w:rsid w:val="00F621D4"/>
    <w:rsid w:val="00F622E7"/>
    <w:rsid w:val="00F624C1"/>
    <w:rsid w:val="00F629BF"/>
    <w:rsid w:val="00F62ADC"/>
    <w:rsid w:val="00F62D09"/>
    <w:rsid w:val="00F62D31"/>
    <w:rsid w:val="00F638C0"/>
    <w:rsid w:val="00F63D94"/>
    <w:rsid w:val="00F64180"/>
    <w:rsid w:val="00F64416"/>
    <w:rsid w:val="00F6456B"/>
    <w:rsid w:val="00F64647"/>
    <w:rsid w:val="00F64CEE"/>
    <w:rsid w:val="00F64D73"/>
    <w:rsid w:val="00F64FDE"/>
    <w:rsid w:val="00F657EF"/>
    <w:rsid w:val="00F65864"/>
    <w:rsid w:val="00F6637D"/>
    <w:rsid w:val="00F673A0"/>
    <w:rsid w:val="00F67F7C"/>
    <w:rsid w:val="00F706DE"/>
    <w:rsid w:val="00F70A85"/>
    <w:rsid w:val="00F71253"/>
    <w:rsid w:val="00F71AB5"/>
    <w:rsid w:val="00F71BC7"/>
    <w:rsid w:val="00F71C51"/>
    <w:rsid w:val="00F72064"/>
    <w:rsid w:val="00F72471"/>
    <w:rsid w:val="00F72DE1"/>
    <w:rsid w:val="00F733F5"/>
    <w:rsid w:val="00F7342E"/>
    <w:rsid w:val="00F7357A"/>
    <w:rsid w:val="00F73784"/>
    <w:rsid w:val="00F74B7B"/>
    <w:rsid w:val="00F74C75"/>
    <w:rsid w:val="00F7539F"/>
    <w:rsid w:val="00F756B6"/>
    <w:rsid w:val="00F75BAD"/>
    <w:rsid w:val="00F75FEA"/>
    <w:rsid w:val="00F7640D"/>
    <w:rsid w:val="00F7665B"/>
    <w:rsid w:val="00F76B95"/>
    <w:rsid w:val="00F76F02"/>
    <w:rsid w:val="00F77F2F"/>
    <w:rsid w:val="00F80086"/>
    <w:rsid w:val="00F8037D"/>
    <w:rsid w:val="00F80BE8"/>
    <w:rsid w:val="00F80DFB"/>
    <w:rsid w:val="00F80ED5"/>
    <w:rsid w:val="00F81112"/>
    <w:rsid w:val="00F81263"/>
    <w:rsid w:val="00F815F9"/>
    <w:rsid w:val="00F8199F"/>
    <w:rsid w:val="00F81D04"/>
    <w:rsid w:val="00F81E48"/>
    <w:rsid w:val="00F8228E"/>
    <w:rsid w:val="00F822C5"/>
    <w:rsid w:val="00F82A50"/>
    <w:rsid w:val="00F83345"/>
    <w:rsid w:val="00F83613"/>
    <w:rsid w:val="00F840BB"/>
    <w:rsid w:val="00F841C5"/>
    <w:rsid w:val="00F8491F"/>
    <w:rsid w:val="00F85129"/>
    <w:rsid w:val="00F85130"/>
    <w:rsid w:val="00F8515B"/>
    <w:rsid w:val="00F85AFA"/>
    <w:rsid w:val="00F85AFD"/>
    <w:rsid w:val="00F85D98"/>
    <w:rsid w:val="00F85DFE"/>
    <w:rsid w:val="00F8606D"/>
    <w:rsid w:val="00F86355"/>
    <w:rsid w:val="00F870B3"/>
    <w:rsid w:val="00F875A7"/>
    <w:rsid w:val="00F905A8"/>
    <w:rsid w:val="00F909A8"/>
    <w:rsid w:val="00F90E79"/>
    <w:rsid w:val="00F91212"/>
    <w:rsid w:val="00F919E8"/>
    <w:rsid w:val="00F91BB3"/>
    <w:rsid w:val="00F91D8C"/>
    <w:rsid w:val="00F92211"/>
    <w:rsid w:val="00F9250D"/>
    <w:rsid w:val="00F92905"/>
    <w:rsid w:val="00F92F58"/>
    <w:rsid w:val="00F93123"/>
    <w:rsid w:val="00F9327C"/>
    <w:rsid w:val="00F93A63"/>
    <w:rsid w:val="00F93A85"/>
    <w:rsid w:val="00F93FF3"/>
    <w:rsid w:val="00F94920"/>
    <w:rsid w:val="00F94A0A"/>
    <w:rsid w:val="00F953A6"/>
    <w:rsid w:val="00F95A00"/>
    <w:rsid w:val="00F95BAA"/>
    <w:rsid w:val="00F96118"/>
    <w:rsid w:val="00F961EF"/>
    <w:rsid w:val="00F9670F"/>
    <w:rsid w:val="00F968C3"/>
    <w:rsid w:val="00F96A1C"/>
    <w:rsid w:val="00F96A55"/>
    <w:rsid w:val="00F96F55"/>
    <w:rsid w:val="00F97323"/>
    <w:rsid w:val="00F97A05"/>
    <w:rsid w:val="00F97F7A"/>
    <w:rsid w:val="00FA0432"/>
    <w:rsid w:val="00FA0474"/>
    <w:rsid w:val="00FA04AE"/>
    <w:rsid w:val="00FA0FC3"/>
    <w:rsid w:val="00FA10AD"/>
    <w:rsid w:val="00FA1267"/>
    <w:rsid w:val="00FA144A"/>
    <w:rsid w:val="00FA1672"/>
    <w:rsid w:val="00FA1D8A"/>
    <w:rsid w:val="00FA1F98"/>
    <w:rsid w:val="00FA2094"/>
    <w:rsid w:val="00FA223A"/>
    <w:rsid w:val="00FA244A"/>
    <w:rsid w:val="00FA37F1"/>
    <w:rsid w:val="00FA48B0"/>
    <w:rsid w:val="00FA4B1E"/>
    <w:rsid w:val="00FA4BDA"/>
    <w:rsid w:val="00FA4E7B"/>
    <w:rsid w:val="00FA5433"/>
    <w:rsid w:val="00FA5C0C"/>
    <w:rsid w:val="00FA5F0E"/>
    <w:rsid w:val="00FA60E6"/>
    <w:rsid w:val="00FA60EB"/>
    <w:rsid w:val="00FA69DF"/>
    <w:rsid w:val="00FA70D9"/>
    <w:rsid w:val="00FA73C4"/>
    <w:rsid w:val="00FA76F9"/>
    <w:rsid w:val="00FA77A3"/>
    <w:rsid w:val="00FB0750"/>
    <w:rsid w:val="00FB0756"/>
    <w:rsid w:val="00FB09D0"/>
    <w:rsid w:val="00FB0AEA"/>
    <w:rsid w:val="00FB0F51"/>
    <w:rsid w:val="00FB13DC"/>
    <w:rsid w:val="00FB19F1"/>
    <w:rsid w:val="00FB1E1C"/>
    <w:rsid w:val="00FB1E37"/>
    <w:rsid w:val="00FB20CE"/>
    <w:rsid w:val="00FB2346"/>
    <w:rsid w:val="00FB24CC"/>
    <w:rsid w:val="00FB27CC"/>
    <w:rsid w:val="00FB2844"/>
    <w:rsid w:val="00FB28D7"/>
    <w:rsid w:val="00FB2ACF"/>
    <w:rsid w:val="00FB2F23"/>
    <w:rsid w:val="00FB30DD"/>
    <w:rsid w:val="00FB315B"/>
    <w:rsid w:val="00FB31D3"/>
    <w:rsid w:val="00FB3371"/>
    <w:rsid w:val="00FB39B5"/>
    <w:rsid w:val="00FB3AB9"/>
    <w:rsid w:val="00FB3FFF"/>
    <w:rsid w:val="00FB4B09"/>
    <w:rsid w:val="00FB4B5F"/>
    <w:rsid w:val="00FB4C08"/>
    <w:rsid w:val="00FB503C"/>
    <w:rsid w:val="00FB54BB"/>
    <w:rsid w:val="00FB5EB2"/>
    <w:rsid w:val="00FB67B5"/>
    <w:rsid w:val="00FB6964"/>
    <w:rsid w:val="00FB6E99"/>
    <w:rsid w:val="00FB7444"/>
    <w:rsid w:val="00FB74BC"/>
    <w:rsid w:val="00FB74F3"/>
    <w:rsid w:val="00FB7B42"/>
    <w:rsid w:val="00FB7CE0"/>
    <w:rsid w:val="00FB7F18"/>
    <w:rsid w:val="00FC00D4"/>
    <w:rsid w:val="00FC06D9"/>
    <w:rsid w:val="00FC0C88"/>
    <w:rsid w:val="00FC0E2C"/>
    <w:rsid w:val="00FC1276"/>
    <w:rsid w:val="00FC1471"/>
    <w:rsid w:val="00FC153A"/>
    <w:rsid w:val="00FC1935"/>
    <w:rsid w:val="00FC1B68"/>
    <w:rsid w:val="00FC1D2C"/>
    <w:rsid w:val="00FC2930"/>
    <w:rsid w:val="00FC29F1"/>
    <w:rsid w:val="00FC3018"/>
    <w:rsid w:val="00FC3293"/>
    <w:rsid w:val="00FC3696"/>
    <w:rsid w:val="00FC3E93"/>
    <w:rsid w:val="00FC4116"/>
    <w:rsid w:val="00FC4843"/>
    <w:rsid w:val="00FC48C7"/>
    <w:rsid w:val="00FC4FCC"/>
    <w:rsid w:val="00FC50FC"/>
    <w:rsid w:val="00FC51BE"/>
    <w:rsid w:val="00FC52AF"/>
    <w:rsid w:val="00FC59B0"/>
    <w:rsid w:val="00FC6574"/>
    <w:rsid w:val="00FC65A2"/>
    <w:rsid w:val="00FC699D"/>
    <w:rsid w:val="00FC72EE"/>
    <w:rsid w:val="00FC7661"/>
    <w:rsid w:val="00FC78EB"/>
    <w:rsid w:val="00FC7AF5"/>
    <w:rsid w:val="00FD0070"/>
    <w:rsid w:val="00FD008C"/>
    <w:rsid w:val="00FD01EB"/>
    <w:rsid w:val="00FD025B"/>
    <w:rsid w:val="00FD0271"/>
    <w:rsid w:val="00FD0873"/>
    <w:rsid w:val="00FD08B9"/>
    <w:rsid w:val="00FD0F92"/>
    <w:rsid w:val="00FD1307"/>
    <w:rsid w:val="00FD1547"/>
    <w:rsid w:val="00FD197C"/>
    <w:rsid w:val="00FD1D9B"/>
    <w:rsid w:val="00FD227A"/>
    <w:rsid w:val="00FD2337"/>
    <w:rsid w:val="00FD235C"/>
    <w:rsid w:val="00FD366A"/>
    <w:rsid w:val="00FD3A52"/>
    <w:rsid w:val="00FD3C30"/>
    <w:rsid w:val="00FD4290"/>
    <w:rsid w:val="00FD451E"/>
    <w:rsid w:val="00FD4592"/>
    <w:rsid w:val="00FD4949"/>
    <w:rsid w:val="00FD4C97"/>
    <w:rsid w:val="00FD5290"/>
    <w:rsid w:val="00FD57A5"/>
    <w:rsid w:val="00FD5967"/>
    <w:rsid w:val="00FD6AAA"/>
    <w:rsid w:val="00FD6F69"/>
    <w:rsid w:val="00FD78CA"/>
    <w:rsid w:val="00FE0344"/>
    <w:rsid w:val="00FE0AEF"/>
    <w:rsid w:val="00FE0CC2"/>
    <w:rsid w:val="00FE0E3F"/>
    <w:rsid w:val="00FE1747"/>
    <w:rsid w:val="00FE19FF"/>
    <w:rsid w:val="00FE2211"/>
    <w:rsid w:val="00FE22A7"/>
    <w:rsid w:val="00FE2509"/>
    <w:rsid w:val="00FE2BA2"/>
    <w:rsid w:val="00FE2BF3"/>
    <w:rsid w:val="00FE2C5A"/>
    <w:rsid w:val="00FE2E1A"/>
    <w:rsid w:val="00FE3A58"/>
    <w:rsid w:val="00FE3C39"/>
    <w:rsid w:val="00FE3E25"/>
    <w:rsid w:val="00FE46E1"/>
    <w:rsid w:val="00FE4810"/>
    <w:rsid w:val="00FE482A"/>
    <w:rsid w:val="00FE51DB"/>
    <w:rsid w:val="00FE537B"/>
    <w:rsid w:val="00FE53F5"/>
    <w:rsid w:val="00FE5958"/>
    <w:rsid w:val="00FE5C0F"/>
    <w:rsid w:val="00FE5EC0"/>
    <w:rsid w:val="00FE6303"/>
    <w:rsid w:val="00FE63D1"/>
    <w:rsid w:val="00FE641D"/>
    <w:rsid w:val="00FE6692"/>
    <w:rsid w:val="00FE6744"/>
    <w:rsid w:val="00FE6B6E"/>
    <w:rsid w:val="00FE6CBD"/>
    <w:rsid w:val="00FE6F51"/>
    <w:rsid w:val="00FE70BE"/>
    <w:rsid w:val="00FE7324"/>
    <w:rsid w:val="00FE79A1"/>
    <w:rsid w:val="00FE79DB"/>
    <w:rsid w:val="00FE7B9B"/>
    <w:rsid w:val="00FE7C6B"/>
    <w:rsid w:val="00FE7D0E"/>
    <w:rsid w:val="00FE7F90"/>
    <w:rsid w:val="00FF0860"/>
    <w:rsid w:val="00FF0A96"/>
    <w:rsid w:val="00FF1038"/>
    <w:rsid w:val="00FF13C3"/>
    <w:rsid w:val="00FF13C9"/>
    <w:rsid w:val="00FF1661"/>
    <w:rsid w:val="00FF2346"/>
    <w:rsid w:val="00FF2538"/>
    <w:rsid w:val="00FF2E1A"/>
    <w:rsid w:val="00FF31CE"/>
    <w:rsid w:val="00FF332A"/>
    <w:rsid w:val="00FF3424"/>
    <w:rsid w:val="00FF3760"/>
    <w:rsid w:val="00FF3BB8"/>
    <w:rsid w:val="00FF3D77"/>
    <w:rsid w:val="00FF406E"/>
    <w:rsid w:val="00FF45CF"/>
    <w:rsid w:val="00FF45E3"/>
    <w:rsid w:val="00FF49F6"/>
    <w:rsid w:val="00FF4A4B"/>
    <w:rsid w:val="00FF4E3B"/>
    <w:rsid w:val="00FF5392"/>
    <w:rsid w:val="00FF5A51"/>
    <w:rsid w:val="00FF5EE5"/>
    <w:rsid w:val="00FF63D3"/>
    <w:rsid w:val="00FF64B8"/>
    <w:rsid w:val="00FF6858"/>
    <w:rsid w:val="00FF69F1"/>
    <w:rsid w:val="00FF6DE1"/>
    <w:rsid w:val="00FF74F9"/>
    <w:rsid w:val="00FF7A51"/>
    <w:rsid w:val="00FF7B8D"/>
    <w:rsid w:val="00FF7BDE"/>
    <w:rsid w:val="00FF7C98"/>
    <w:rsid w:val="010730B5"/>
    <w:rsid w:val="010AA1D5"/>
    <w:rsid w:val="01237992"/>
    <w:rsid w:val="01360BC0"/>
    <w:rsid w:val="01402B42"/>
    <w:rsid w:val="01409CF9"/>
    <w:rsid w:val="014598B8"/>
    <w:rsid w:val="014714C1"/>
    <w:rsid w:val="0168CD01"/>
    <w:rsid w:val="017176FA"/>
    <w:rsid w:val="017AF2FF"/>
    <w:rsid w:val="019EC111"/>
    <w:rsid w:val="01E41673"/>
    <w:rsid w:val="01E56C5E"/>
    <w:rsid w:val="01FE42B0"/>
    <w:rsid w:val="01FE969E"/>
    <w:rsid w:val="02155423"/>
    <w:rsid w:val="0277C99D"/>
    <w:rsid w:val="02A774D0"/>
    <w:rsid w:val="02A9A0BF"/>
    <w:rsid w:val="02BDF74C"/>
    <w:rsid w:val="02BE38D2"/>
    <w:rsid w:val="02D1E0AE"/>
    <w:rsid w:val="02EB81AE"/>
    <w:rsid w:val="02F3B515"/>
    <w:rsid w:val="02F9CF64"/>
    <w:rsid w:val="032C4C85"/>
    <w:rsid w:val="032D9970"/>
    <w:rsid w:val="033B5D48"/>
    <w:rsid w:val="034348AF"/>
    <w:rsid w:val="034B27BC"/>
    <w:rsid w:val="036B5F9A"/>
    <w:rsid w:val="03A89C92"/>
    <w:rsid w:val="03C9FDE6"/>
    <w:rsid w:val="03D5EF7B"/>
    <w:rsid w:val="04037E7D"/>
    <w:rsid w:val="040E1B28"/>
    <w:rsid w:val="0428D143"/>
    <w:rsid w:val="0439A53C"/>
    <w:rsid w:val="043A3065"/>
    <w:rsid w:val="044745CF"/>
    <w:rsid w:val="0460B5BB"/>
    <w:rsid w:val="0462E2D5"/>
    <w:rsid w:val="046A55B7"/>
    <w:rsid w:val="047662E6"/>
    <w:rsid w:val="0498418C"/>
    <w:rsid w:val="04A2D259"/>
    <w:rsid w:val="04B68538"/>
    <w:rsid w:val="04B98F1F"/>
    <w:rsid w:val="04BBF42A"/>
    <w:rsid w:val="04C7AD6E"/>
    <w:rsid w:val="04CD2978"/>
    <w:rsid w:val="04D0CFE1"/>
    <w:rsid w:val="04D472F2"/>
    <w:rsid w:val="04DC924E"/>
    <w:rsid w:val="04E5A746"/>
    <w:rsid w:val="04FD2087"/>
    <w:rsid w:val="0502385F"/>
    <w:rsid w:val="05058411"/>
    <w:rsid w:val="050CE9CF"/>
    <w:rsid w:val="050D7DD6"/>
    <w:rsid w:val="0536BE35"/>
    <w:rsid w:val="053B8580"/>
    <w:rsid w:val="0549D881"/>
    <w:rsid w:val="0562D65C"/>
    <w:rsid w:val="057F4D7F"/>
    <w:rsid w:val="059194E1"/>
    <w:rsid w:val="059316A9"/>
    <w:rsid w:val="059B78C6"/>
    <w:rsid w:val="05D429CB"/>
    <w:rsid w:val="05EBB571"/>
    <w:rsid w:val="0610F45A"/>
    <w:rsid w:val="061F7CA7"/>
    <w:rsid w:val="06228AF8"/>
    <w:rsid w:val="062656FE"/>
    <w:rsid w:val="0627B637"/>
    <w:rsid w:val="0633B43D"/>
    <w:rsid w:val="0636F6BC"/>
    <w:rsid w:val="066A6F00"/>
    <w:rsid w:val="06737519"/>
    <w:rsid w:val="069687FD"/>
    <w:rsid w:val="06A580C8"/>
    <w:rsid w:val="06AD2690"/>
    <w:rsid w:val="06B5204F"/>
    <w:rsid w:val="06B568CD"/>
    <w:rsid w:val="06C5A173"/>
    <w:rsid w:val="06D92705"/>
    <w:rsid w:val="0723A50A"/>
    <w:rsid w:val="072EF1EC"/>
    <w:rsid w:val="073DA33E"/>
    <w:rsid w:val="075D703D"/>
    <w:rsid w:val="075EDB47"/>
    <w:rsid w:val="075EE5DF"/>
    <w:rsid w:val="07618FA6"/>
    <w:rsid w:val="077DCC46"/>
    <w:rsid w:val="07802AF9"/>
    <w:rsid w:val="0797A686"/>
    <w:rsid w:val="079B239C"/>
    <w:rsid w:val="079B29BD"/>
    <w:rsid w:val="079C2794"/>
    <w:rsid w:val="07A427B3"/>
    <w:rsid w:val="07B31F67"/>
    <w:rsid w:val="07BD8940"/>
    <w:rsid w:val="07BF299F"/>
    <w:rsid w:val="07E2563D"/>
    <w:rsid w:val="07FFC8F1"/>
    <w:rsid w:val="0823845E"/>
    <w:rsid w:val="083BDBF7"/>
    <w:rsid w:val="084A8057"/>
    <w:rsid w:val="08570D35"/>
    <w:rsid w:val="087AC278"/>
    <w:rsid w:val="087FD126"/>
    <w:rsid w:val="08959BF0"/>
    <w:rsid w:val="08BDE1F7"/>
    <w:rsid w:val="08E9CEFD"/>
    <w:rsid w:val="08F2212A"/>
    <w:rsid w:val="08F9408A"/>
    <w:rsid w:val="091AF5E9"/>
    <w:rsid w:val="09520634"/>
    <w:rsid w:val="095F79A2"/>
    <w:rsid w:val="09826D66"/>
    <w:rsid w:val="0986AFDA"/>
    <w:rsid w:val="0994BFB5"/>
    <w:rsid w:val="099F88C9"/>
    <w:rsid w:val="09A45827"/>
    <w:rsid w:val="09C083A9"/>
    <w:rsid w:val="09CD8A26"/>
    <w:rsid w:val="09D1BA69"/>
    <w:rsid w:val="09D310E2"/>
    <w:rsid w:val="09F456B1"/>
    <w:rsid w:val="09F73CC6"/>
    <w:rsid w:val="0A32FB95"/>
    <w:rsid w:val="0A346C41"/>
    <w:rsid w:val="0A5A18CD"/>
    <w:rsid w:val="0A6E57E0"/>
    <w:rsid w:val="0A7F12E4"/>
    <w:rsid w:val="0A83B922"/>
    <w:rsid w:val="0A8F0280"/>
    <w:rsid w:val="0AA608B2"/>
    <w:rsid w:val="0AB1DEFC"/>
    <w:rsid w:val="0AE69827"/>
    <w:rsid w:val="0AF290DF"/>
    <w:rsid w:val="0B239112"/>
    <w:rsid w:val="0B2AA244"/>
    <w:rsid w:val="0B3913A9"/>
    <w:rsid w:val="0B3B13CD"/>
    <w:rsid w:val="0B46098B"/>
    <w:rsid w:val="0B5310C5"/>
    <w:rsid w:val="0B6AA522"/>
    <w:rsid w:val="0B8DB869"/>
    <w:rsid w:val="0BB44781"/>
    <w:rsid w:val="0BBEE3D0"/>
    <w:rsid w:val="0BD64820"/>
    <w:rsid w:val="0BFD021C"/>
    <w:rsid w:val="0C04A1F1"/>
    <w:rsid w:val="0C1CEBF3"/>
    <w:rsid w:val="0C231B97"/>
    <w:rsid w:val="0C2DB6CB"/>
    <w:rsid w:val="0C35AEA3"/>
    <w:rsid w:val="0C620CBE"/>
    <w:rsid w:val="0C81985C"/>
    <w:rsid w:val="0C908503"/>
    <w:rsid w:val="0CBD40FF"/>
    <w:rsid w:val="0CBEA2C0"/>
    <w:rsid w:val="0D097B82"/>
    <w:rsid w:val="0D19DD81"/>
    <w:rsid w:val="0D1B2B1C"/>
    <w:rsid w:val="0D99716E"/>
    <w:rsid w:val="0D9D6EE8"/>
    <w:rsid w:val="0DA7B5A6"/>
    <w:rsid w:val="0DED62FE"/>
    <w:rsid w:val="0DEFC92B"/>
    <w:rsid w:val="0E109249"/>
    <w:rsid w:val="0E2A8047"/>
    <w:rsid w:val="0E378BD5"/>
    <w:rsid w:val="0E3894D5"/>
    <w:rsid w:val="0E4A7B15"/>
    <w:rsid w:val="0E591B50"/>
    <w:rsid w:val="0E5D5516"/>
    <w:rsid w:val="0E6A85A2"/>
    <w:rsid w:val="0E7345AE"/>
    <w:rsid w:val="0E7760E1"/>
    <w:rsid w:val="0E7AEE33"/>
    <w:rsid w:val="0E878CFB"/>
    <w:rsid w:val="0E96087D"/>
    <w:rsid w:val="0EA764E0"/>
    <w:rsid w:val="0EB601BC"/>
    <w:rsid w:val="0EC2C56C"/>
    <w:rsid w:val="0EEF5C2F"/>
    <w:rsid w:val="0F126955"/>
    <w:rsid w:val="0F2AD3B2"/>
    <w:rsid w:val="0F3F08CB"/>
    <w:rsid w:val="0F44A1B0"/>
    <w:rsid w:val="0F59C49F"/>
    <w:rsid w:val="0F6B0393"/>
    <w:rsid w:val="0F858BA1"/>
    <w:rsid w:val="0FAD431A"/>
    <w:rsid w:val="0FBE0B06"/>
    <w:rsid w:val="0FC542F1"/>
    <w:rsid w:val="0FF3B2D1"/>
    <w:rsid w:val="1010E1D5"/>
    <w:rsid w:val="1041CC80"/>
    <w:rsid w:val="10489866"/>
    <w:rsid w:val="1054A40A"/>
    <w:rsid w:val="1056E677"/>
    <w:rsid w:val="10CD0A82"/>
    <w:rsid w:val="10E8ADE2"/>
    <w:rsid w:val="10EA1BA5"/>
    <w:rsid w:val="10F09466"/>
    <w:rsid w:val="1101790B"/>
    <w:rsid w:val="1104F173"/>
    <w:rsid w:val="110631E4"/>
    <w:rsid w:val="11296CC3"/>
    <w:rsid w:val="112E8E65"/>
    <w:rsid w:val="11321A3A"/>
    <w:rsid w:val="1160F540"/>
    <w:rsid w:val="117391D8"/>
    <w:rsid w:val="1187D82D"/>
    <w:rsid w:val="118F2CD0"/>
    <w:rsid w:val="11B53B51"/>
    <w:rsid w:val="11B583C6"/>
    <w:rsid w:val="11E11255"/>
    <w:rsid w:val="11E545B9"/>
    <w:rsid w:val="12190D37"/>
    <w:rsid w:val="121B694E"/>
    <w:rsid w:val="121EA6A7"/>
    <w:rsid w:val="1221C33D"/>
    <w:rsid w:val="12254020"/>
    <w:rsid w:val="122DD767"/>
    <w:rsid w:val="12B299B7"/>
    <w:rsid w:val="12CD978B"/>
    <w:rsid w:val="12DC3BB8"/>
    <w:rsid w:val="12F002B7"/>
    <w:rsid w:val="12F17158"/>
    <w:rsid w:val="135FC7C8"/>
    <w:rsid w:val="136B0F11"/>
    <w:rsid w:val="13828690"/>
    <w:rsid w:val="1382DCC2"/>
    <w:rsid w:val="13A603F0"/>
    <w:rsid w:val="13C1359E"/>
    <w:rsid w:val="13D8E0D4"/>
    <w:rsid w:val="13EAFDF0"/>
    <w:rsid w:val="13F1E4D0"/>
    <w:rsid w:val="1410C6AF"/>
    <w:rsid w:val="1428BEE1"/>
    <w:rsid w:val="1428FC4A"/>
    <w:rsid w:val="144C309B"/>
    <w:rsid w:val="144F7B37"/>
    <w:rsid w:val="145E1C4F"/>
    <w:rsid w:val="1462D02C"/>
    <w:rsid w:val="14744869"/>
    <w:rsid w:val="147D687F"/>
    <w:rsid w:val="1484F362"/>
    <w:rsid w:val="14870525"/>
    <w:rsid w:val="14CF6B89"/>
    <w:rsid w:val="14F7C12C"/>
    <w:rsid w:val="1503640F"/>
    <w:rsid w:val="153F66C1"/>
    <w:rsid w:val="154AC793"/>
    <w:rsid w:val="155FD30D"/>
    <w:rsid w:val="15635808"/>
    <w:rsid w:val="15655A58"/>
    <w:rsid w:val="1575B655"/>
    <w:rsid w:val="158F0314"/>
    <w:rsid w:val="15929288"/>
    <w:rsid w:val="15E35584"/>
    <w:rsid w:val="15E3D6BA"/>
    <w:rsid w:val="16044CC8"/>
    <w:rsid w:val="161379B5"/>
    <w:rsid w:val="1656559B"/>
    <w:rsid w:val="167AF0E9"/>
    <w:rsid w:val="16C19D28"/>
    <w:rsid w:val="16DB79A3"/>
    <w:rsid w:val="16DC2AFD"/>
    <w:rsid w:val="16E2D4B3"/>
    <w:rsid w:val="17001938"/>
    <w:rsid w:val="17128211"/>
    <w:rsid w:val="17227D50"/>
    <w:rsid w:val="17248B93"/>
    <w:rsid w:val="174FDFDD"/>
    <w:rsid w:val="175602B3"/>
    <w:rsid w:val="176E01EB"/>
    <w:rsid w:val="1780992F"/>
    <w:rsid w:val="179B66BD"/>
    <w:rsid w:val="17B171FD"/>
    <w:rsid w:val="17B667CD"/>
    <w:rsid w:val="17BC2A04"/>
    <w:rsid w:val="17D30187"/>
    <w:rsid w:val="17E0D7F7"/>
    <w:rsid w:val="17ED3226"/>
    <w:rsid w:val="17F36B0B"/>
    <w:rsid w:val="18130A3A"/>
    <w:rsid w:val="1824AEBF"/>
    <w:rsid w:val="183940DD"/>
    <w:rsid w:val="185F0ECB"/>
    <w:rsid w:val="1862A886"/>
    <w:rsid w:val="1868799F"/>
    <w:rsid w:val="18A0E96A"/>
    <w:rsid w:val="18C63C1E"/>
    <w:rsid w:val="18E90A4F"/>
    <w:rsid w:val="18F35EDA"/>
    <w:rsid w:val="18F3C4DE"/>
    <w:rsid w:val="194290EE"/>
    <w:rsid w:val="1956F24D"/>
    <w:rsid w:val="19653E93"/>
    <w:rsid w:val="1974CA82"/>
    <w:rsid w:val="197D8156"/>
    <w:rsid w:val="197E091E"/>
    <w:rsid w:val="19805FB8"/>
    <w:rsid w:val="1997C59B"/>
    <w:rsid w:val="19A8A14F"/>
    <w:rsid w:val="19A948F1"/>
    <w:rsid w:val="19DF911E"/>
    <w:rsid w:val="1A4C49D9"/>
    <w:rsid w:val="1A8C7DAD"/>
    <w:rsid w:val="1A8D3C2B"/>
    <w:rsid w:val="1A9F4465"/>
    <w:rsid w:val="1AC4E9A7"/>
    <w:rsid w:val="1AE145E2"/>
    <w:rsid w:val="1B176D38"/>
    <w:rsid w:val="1B1CCB7E"/>
    <w:rsid w:val="1B1F3654"/>
    <w:rsid w:val="1B287A08"/>
    <w:rsid w:val="1B62EA20"/>
    <w:rsid w:val="1B795991"/>
    <w:rsid w:val="1BC78FE5"/>
    <w:rsid w:val="1BCF263C"/>
    <w:rsid w:val="1BDE6EF4"/>
    <w:rsid w:val="1C108772"/>
    <w:rsid w:val="1C34E72D"/>
    <w:rsid w:val="1C47052A"/>
    <w:rsid w:val="1C509D4F"/>
    <w:rsid w:val="1C6619E5"/>
    <w:rsid w:val="1C6A18EB"/>
    <w:rsid w:val="1C73B68E"/>
    <w:rsid w:val="1C9D0F01"/>
    <w:rsid w:val="1CB2CF4F"/>
    <w:rsid w:val="1CC042FF"/>
    <w:rsid w:val="1CF326AD"/>
    <w:rsid w:val="1CFFEC21"/>
    <w:rsid w:val="1D146D68"/>
    <w:rsid w:val="1D8D70D3"/>
    <w:rsid w:val="1D9AA729"/>
    <w:rsid w:val="1D9C609F"/>
    <w:rsid w:val="1DA63E7B"/>
    <w:rsid w:val="1DDC8F15"/>
    <w:rsid w:val="1DE9B133"/>
    <w:rsid w:val="1DEA67B3"/>
    <w:rsid w:val="1E1A3254"/>
    <w:rsid w:val="1E51BBC7"/>
    <w:rsid w:val="1E573260"/>
    <w:rsid w:val="1E9D41E1"/>
    <w:rsid w:val="1ED5BFF0"/>
    <w:rsid w:val="1EDAB401"/>
    <w:rsid w:val="1EE152F3"/>
    <w:rsid w:val="1F13795A"/>
    <w:rsid w:val="1F229DAC"/>
    <w:rsid w:val="1F28B162"/>
    <w:rsid w:val="1F4EE48E"/>
    <w:rsid w:val="1F691BB8"/>
    <w:rsid w:val="1F873415"/>
    <w:rsid w:val="1F8D1F23"/>
    <w:rsid w:val="1F8E3ACA"/>
    <w:rsid w:val="1FAC8293"/>
    <w:rsid w:val="1FBA5479"/>
    <w:rsid w:val="1FC56DC7"/>
    <w:rsid w:val="1FDAA372"/>
    <w:rsid w:val="1FE14B43"/>
    <w:rsid w:val="1FF1D6D5"/>
    <w:rsid w:val="2002647F"/>
    <w:rsid w:val="20384AB4"/>
    <w:rsid w:val="20500712"/>
    <w:rsid w:val="2068E7CA"/>
    <w:rsid w:val="20704719"/>
    <w:rsid w:val="20A88C20"/>
    <w:rsid w:val="20A9218F"/>
    <w:rsid w:val="20AB2995"/>
    <w:rsid w:val="20C15C9A"/>
    <w:rsid w:val="20D42858"/>
    <w:rsid w:val="212263D3"/>
    <w:rsid w:val="21410B2B"/>
    <w:rsid w:val="21613CED"/>
    <w:rsid w:val="216CD090"/>
    <w:rsid w:val="2193DDAE"/>
    <w:rsid w:val="219AD9B2"/>
    <w:rsid w:val="21C2C110"/>
    <w:rsid w:val="21DAFA6E"/>
    <w:rsid w:val="21E4A99E"/>
    <w:rsid w:val="21F8B4BB"/>
    <w:rsid w:val="22025CBC"/>
    <w:rsid w:val="22088ECC"/>
    <w:rsid w:val="221AC138"/>
    <w:rsid w:val="2225E1E7"/>
    <w:rsid w:val="22439238"/>
    <w:rsid w:val="225385A6"/>
    <w:rsid w:val="22723301"/>
    <w:rsid w:val="22915249"/>
    <w:rsid w:val="229AA88F"/>
    <w:rsid w:val="22A8F99C"/>
    <w:rsid w:val="22AB84C3"/>
    <w:rsid w:val="22B5B97A"/>
    <w:rsid w:val="22DD7836"/>
    <w:rsid w:val="22EDE0E0"/>
    <w:rsid w:val="2301B373"/>
    <w:rsid w:val="238E37EC"/>
    <w:rsid w:val="239D9CCD"/>
    <w:rsid w:val="239EF761"/>
    <w:rsid w:val="23A286F4"/>
    <w:rsid w:val="23BC31E2"/>
    <w:rsid w:val="23CB2AD2"/>
    <w:rsid w:val="23DDCF45"/>
    <w:rsid w:val="23EA2B83"/>
    <w:rsid w:val="2400547D"/>
    <w:rsid w:val="2412857F"/>
    <w:rsid w:val="2417F3C5"/>
    <w:rsid w:val="2418AE57"/>
    <w:rsid w:val="2424CA46"/>
    <w:rsid w:val="24378C9E"/>
    <w:rsid w:val="2441888C"/>
    <w:rsid w:val="244951F6"/>
    <w:rsid w:val="2471A1A9"/>
    <w:rsid w:val="247CC0F5"/>
    <w:rsid w:val="2486B151"/>
    <w:rsid w:val="24898233"/>
    <w:rsid w:val="249DCC94"/>
    <w:rsid w:val="24C638D6"/>
    <w:rsid w:val="24C7AB09"/>
    <w:rsid w:val="24CA1441"/>
    <w:rsid w:val="24CE2D5E"/>
    <w:rsid w:val="24E42541"/>
    <w:rsid w:val="24E4476A"/>
    <w:rsid w:val="24F73969"/>
    <w:rsid w:val="24FBAFF0"/>
    <w:rsid w:val="25021088"/>
    <w:rsid w:val="2535A493"/>
    <w:rsid w:val="254FC13F"/>
    <w:rsid w:val="25503949"/>
    <w:rsid w:val="2550ACA5"/>
    <w:rsid w:val="2563CE82"/>
    <w:rsid w:val="2569122F"/>
    <w:rsid w:val="257B8013"/>
    <w:rsid w:val="258B0096"/>
    <w:rsid w:val="25C830BC"/>
    <w:rsid w:val="26042E09"/>
    <w:rsid w:val="260C7F20"/>
    <w:rsid w:val="26100D53"/>
    <w:rsid w:val="26104ED9"/>
    <w:rsid w:val="2632934E"/>
    <w:rsid w:val="26428D85"/>
    <w:rsid w:val="264E555C"/>
    <w:rsid w:val="26689AA0"/>
    <w:rsid w:val="267ABB66"/>
    <w:rsid w:val="26A1F254"/>
    <w:rsid w:val="26C2B6EB"/>
    <w:rsid w:val="26D509FE"/>
    <w:rsid w:val="26DA634A"/>
    <w:rsid w:val="26DE3143"/>
    <w:rsid w:val="26E6E218"/>
    <w:rsid w:val="26FD42F3"/>
    <w:rsid w:val="27365D6E"/>
    <w:rsid w:val="273F8DBF"/>
    <w:rsid w:val="27476991"/>
    <w:rsid w:val="2758FB95"/>
    <w:rsid w:val="2770F502"/>
    <w:rsid w:val="277FA1B0"/>
    <w:rsid w:val="2783A331"/>
    <w:rsid w:val="278ABBAC"/>
    <w:rsid w:val="279543AA"/>
    <w:rsid w:val="27B0CCDA"/>
    <w:rsid w:val="2806E487"/>
    <w:rsid w:val="280D936D"/>
    <w:rsid w:val="285B1A4F"/>
    <w:rsid w:val="2864F8E5"/>
    <w:rsid w:val="28688832"/>
    <w:rsid w:val="28744B86"/>
    <w:rsid w:val="2888ADF1"/>
    <w:rsid w:val="288CD108"/>
    <w:rsid w:val="288F32E1"/>
    <w:rsid w:val="2892005A"/>
    <w:rsid w:val="2898E5D4"/>
    <w:rsid w:val="28C981C7"/>
    <w:rsid w:val="28CA6624"/>
    <w:rsid w:val="28D5EC75"/>
    <w:rsid w:val="28D938EC"/>
    <w:rsid w:val="28DED51F"/>
    <w:rsid w:val="28FE5670"/>
    <w:rsid w:val="2927336D"/>
    <w:rsid w:val="2944EB8E"/>
    <w:rsid w:val="2946FB67"/>
    <w:rsid w:val="29919830"/>
    <w:rsid w:val="2995C46F"/>
    <w:rsid w:val="299F49D6"/>
    <w:rsid w:val="29A2EE34"/>
    <w:rsid w:val="29A87474"/>
    <w:rsid w:val="29BFC47D"/>
    <w:rsid w:val="29E8B9D0"/>
    <w:rsid w:val="29ED2536"/>
    <w:rsid w:val="29F4F651"/>
    <w:rsid w:val="2A0ACCE3"/>
    <w:rsid w:val="2A1F259A"/>
    <w:rsid w:val="2A2D3A3E"/>
    <w:rsid w:val="2A390003"/>
    <w:rsid w:val="2A39F03A"/>
    <w:rsid w:val="2A3BD5AF"/>
    <w:rsid w:val="2A62C6A3"/>
    <w:rsid w:val="2A7F3C2E"/>
    <w:rsid w:val="2A93F9A5"/>
    <w:rsid w:val="2A9E1E0F"/>
    <w:rsid w:val="2AA6A957"/>
    <w:rsid w:val="2AC5A06C"/>
    <w:rsid w:val="2ACBC33A"/>
    <w:rsid w:val="2ACCF57F"/>
    <w:rsid w:val="2AF70928"/>
    <w:rsid w:val="2AFBA34B"/>
    <w:rsid w:val="2B11DCBE"/>
    <w:rsid w:val="2B293556"/>
    <w:rsid w:val="2B42B94F"/>
    <w:rsid w:val="2B937BD5"/>
    <w:rsid w:val="2BACC3A8"/>
    <w:rsid w:val="2BC11D19"/>
    <w:rsid w:val="2BF30056"/>
    <w:rsid w:val="2C15675A"/>
    <w:rsid w:val="2C19F268"/>
    <w:rsid w:val="2C20A09A"/>
    <w:rsid w:val="2C6767B1"/>
    <w:rsid w:val="2C84A24F"/>
    <w:rsid w:val="2CB0AD0F"/>
    <w:rsid w:val="2CD1E6D7"/>
    <w:rsid w:val="2CF66386"/>
    <w:rsid w:val="2D009496"/>
    <w:rsid w:val="2D00A00C"/>
    <w:rsid w:val="2D0DA1CF"/>
    <w:rsid w:val="2D66F65F"/>
    <w:rsid w:val="2D6EAA09"/>
    <w:rsid w:val="2D8162DC"/>
    <w:rsid w:val="2E02D3EB"/>
    <w:rsid w:val="2E06E471"/>
    <w:rsid w:val="2E1683E1"/>
    <w:rsid w:val="2E2A77FC"/>
    <w:rsid w:val="2E456F2B"/>
    <w:rsid w:val="2E5F017F"/>
    <w:rsid w:val="2E6AD4E9"/>
    <w:rsid w:val="2E89EFA2"/>
    <w:rsid w:val="2E8C854F"/>
    <w:rsid w:val="2E9C634C"/>
    <w:rsid w:val="2E9EBD52"/>
    <w:rsid w:val="2EBA605C"/>
    <w:rsid w:val="2ED07A28"/>
    <w:rsid w:val="2F1610FF"/>
    <w:rsid w:val="2F238199"/>
    <w:rsid w:val="2F78B740"/>
    <w:rsid w:val="2F8278E8"/>
    <w:rsid w:val="2F8B9046"/>
    <w:rsid w:val="2F8FE406"/>
    <w:rsid w:val="2FAC2070"/>
    <w:rsid w:val="2FACA52E"/>
    <w:rsid w:val="2FBBBF8B"/>
    <w:rsid w:val="2FBDE613"/>
    <w:rsid w:val="2FC1AE5B"/>
    <w:rsid w:val="2FF8BE80"/>
    <w:rsid w:val="3008DC5D"/>
    <w:rsid w:val="30211BBF"/>
    <w:rsid w:val="302151CE"/>
    <w:rsid w:val="3043088E"/>
    <w:rsid w:val="305526F3"/>
    <w:rsid w:val="3068BDB9"/>
    <w:rsid w:val="30936F53"/>
    <w:rsid w:val="3096825D"/>
    <w:rsid w:val="30A84A14"/>
    <w:rsid w:val="30CFE2F1"/>
    <w:rsid w:val="30DF4E1D"/>
    <w:rsid w:val="30EF3171"/>
    <w:rsid w:val="31153E87"/>
    <w:rsid w:val="313D32B2"/>
    <w:rsid w:val="315E060C"/>
    <w:rsid w:val="3162443E"/>
    <w:rsid w:val="31659900"/>
    <w:rsid w:val="316F7EC4"/>
    <w:rsid w:val="3177C91F"/>
    <w:rsid w:val="317FF46A"/>
    <w:rsid w:val="31997049"/>
    <w:rsid w:val="31B29C90"/>
    <w:rsid w:val="31C1EF1B"/>
    <w:rsid w:val="31E7CF50"/>
    <w:rsid w:val="31F92372"/>
    <w:rsid w:val="320DB0F7"/>
    <w:rsid w:val="323BFC54"/>
    <w:rsid w:val="326362D5"/>
    <w:rsid w:val="327941EB"/>
    <w:rsid w:val="3289F460"/>
    <w:rsid w:val="32B187F3"/>
    <w:rsid w:val="32D8B103"/>
    <w:rsid w:val="32E01FF2"/>
    <w:rsid w:val="33085EE5"/>
    <w:rsid w:val="33131737"/>
    <w:rsid w:val="331E37DB"/>
    <w:rsid w:val="33652D83"/>
    <w:rsid w:val="336D148E"/>
    <w:rsid w:val="3386C77B"/>
    <w:rsid w:val="338B3411"/>
    <w:rsid w:val="33B486BC"/>
    <w:rsid w:val="33BE58BE"/>
    <w:rsid w:val="33E5575B"/>
    <w:rsid w:val="343CD276"/>
    <w:rsid w:val="3440A738"/>
    <w:rsid w:val="345919CF"/>
    <w:rsid w:val="345A18EB"/>
    <w:rsid w:val="3462282D"/>
    <w:rsid w:val="3480B0F0"/>
    <w:rsid w:val="34843041"/>
    <w:rsid w:val="349CD2A9"/>
    <w:rsid w:val="34B6F997"/>
    <w:rsid w:val="34CDB962"/>
    <w:rsid w:val="35191814"/>
    <w:rsid w:val="351E6634"/>
    <w:rsid w:val="35770072"/>
    <w:rsid w:val="358A34C2"/>
    <w:rsid w:val="358E45C1"/>
    <w:rsid w:val="3595EA4B"/>
    <w:rsid w:val="35C97476"/>
    <w:rsid w:val="35DC7799"/>
    <w:rsid w:val="35F48DAC"/>
    <w:rsid w:val="35FA0C99"/>
    <w:rsid w:val="360648C7"/>
    <w:rsid w:val="36732447"/>
    <w:rsid w:val="36AE8730"/>
    <w:rsid w:val="36B53811"/>
    <w:rsid w:val="36BC7059"/>
    <w:rsid w:val="36D5D61F"/>
    <w:rsid w:val="36D9206E"/>
    <w:rsid w:val="370725A2"/>
    <w:rsid w:val="37146A3D"/>
    <w:rsid w:val="37410CC2"/>
    <w:rsid w:val="374E29A5"/>
    <w:rsid w:val="3752CF94"/>
    <w:rsid w:val="375EC20B"/>
    <w:rsid w:val="37651CB5"/>
    <w:rsid w:val="3766CC8E"/>
    <w:rsid w:val="376BE632"/>
    <w:rsid w:val="37789CE0"/>
    <w:rsid w:val="377EAFB1"/>
    <w:rsid w:val="37AAFFA9"/>
    <w:rsid w:val="37AB4D2C"/>
    <w:rsid w:val="37B7F47C"/>
    <w:rsid w:val="37D6D6E4"/>
    <w:rsid w:val="380381C8"/>
    <w:rsid w:val="38570315"/>
    <w:rsid w:val="387A7631"/>
    <w:rsid w:val="388BE64D"/>
    <w:rsid w:val="389CB566"/>
    <w:rsid w:val="38A6BF41"/>
    <w:rsid w:val="38BBCEE9"/>
    <w:rsid w:val="38CF602A"/>
    <w:rsid w:val="38FDBF6D"/>
    <w:rsid w:val="38FEAF9F"/>
    <w:rsid w:val="3914202B"/>
    <w:rsid w:val="391452FC"/>
    <w:rsid w:val="394348BC"/>
    <w:rsid w:val="39505BA3"/>
    <w:rsid w:val="39873B83"/>
    <w:rsid w:val="398B5865"/>
    <w:rsid w:val="39A7C0AB"/>
    <w:rsid w:val="39B64E22"/>
    <w:rsid w:val="39BE5A5F"/>
    <w:rsid w:val="39C67D85"/>
    <w:rsid w:val="3A26D114"/>
    <w:rsid w:val="3A428927"/>
    <w:rsid w:val="3A491F84"/>
    <w:rsid w:val="3A6BF980"/>
    <w:rsid w:val="3A8CB5AD"/>
    <w:rsid w:val="3AD6C3C8"/>
    <w:rsid w:val="3AE85D11"/>
    <w:rsid w:val="3AEF8E40"/>
    <w:rsid w:val="3AFA6B8E"/>
    <w:rsid w:val="3B024EBE"/>
    <w:rsid w:val="3B0C16AA"/>
    <w:rsid w:val="3B12D2D7"/>
    <w:rsid w:val="3B68B784"/>
    <w:rsid w:val="3B758F4F"/>
    <w:rsid w:val="3B9120D8"/>
    <w:rsid w:val="3B95C144"/>
    <w:rsid w:val="3BD75F66"/>
    <w:rsid w:val="3BDD2AE0"/>
    <w:rsid w:val="3BDF94DD"/>
    <w:rsid w:val="3BE6B64D"/>
    <w:rsid w:val="3BF18BA7"/>
    <w:rsid w:val="3BF2FF71"/>
    <w:rsid w:val="3BFC3BAF"/>
    <w:rsid w:val="3C2BB15C"/>
    <w:rsid w:val="3C612EC1"/>
    <w:rsid w:val="3CA198A4"/>
    <w:rsid w:val="3CB0A0FB"/>
    <w:rsid w:val="3CB36F10"/>
    <w:rsid w:val="3CD5D61F"/>
    <w:rsid w:val="3CFB2469"/>
    <w:rsid w:val="3D26B392"/>
    <w:rsid w:val="3D29660B"/>
    <w:rsid w:val="3D2BB34D"/>
    <w:rsid w:val="3D2F72D5"/>
    <w:rsid w:val="3D31A725"/>
    <w:rsid w:val="3D3AF41C"/>
    <w:rsid w:val="3D3DDBBE"/>
    <w:rsid w:val="3D48E071"/>
    <w:rsid w:val="3D60DB48"/>
    <w:rsid w:val="3D67302A"/>
    <w:rsid w:val="3D6F84FF"/>
    <w:rsid w:val="3D71A802"/>
    <w:rsid w:val="3D7629BD"/>
    <w:rsid w:val="3D7D3306"/>
    <w:rsid w:val="3D8831AF"/>
    <w:rsid w:val="3D9DA64E"/>
    <w:rsid w:val="3DAB1E62"/>
    <w:rsid w:val="3DB60FF5"/>
    <w:rsid w:val="3DCD5047"/>
    <w:rsid w:val="3DCFB450"/>
    <w:rsid w:val="3DF23BB7"/>
    <w:rsid w:val="3DF454D3"/>
    <w:rsid w:val="3DFE6A2E"/>
    <w:rsid w:val="3E12603F"/>
    <w:rsid w:val="3E40858E"/>
    <w:rsid w:val="3E5B7365"/>
    <w:rsid w:val="3E63B088"/>
    <w:rsid w:val="3E684D8D"/>
    <w:rsid w:val="3E8F3A15"/>
    <w:rsid w:val="3E92C699"/>
    <w:rsid w:val="3EA99503"/>
    <w:rsid w:val="3EB3D3BD"/>
    <w:rsid w:val="3ED31C86"/>
    <w:rsid w:val="3EE1A718"/>
    <w:rsid w:val="3EEA4961"/>
    <w:rsid w:val="3EF944C3"/>
    <w:rsid w:val="3F1FA825"/>
    <w:rsid w:val="3F2666BB"/>
    <w:rsid w:val="3F3FE1B1"/>
    <w:rsid w:val="3F51159D"/>
    <w:rsid w:val="3F85F379"/>
    <w:rsid w:val="3F920347"/>
    <w:rsid w:val="3F95A855"/>
    <w:rsid w:val="3FAC72D2"/>
    <w:rsid w:val="3FB4F580"/>
    <w:rsid w:val="3FC415AB"/>
    <w:rsid w:val="402D11F4"/>
    <w:rsid w:val="4097962E"/>
    <w:rsid w:val="40BD79F9"/>
    <w:rsid w:val="40CD6B65"/>
    <w:rsid w:val="40D9CBE2"/>
    <w:rsid w:val="40E24FE5"/>
    <w:rsid w:val="40E982B3"/>
    <w:rsid w:val="4142E65E"/>
    <w:rsid w:val="415B11A1"/>
    <w:rsid w:val="41842247"/>
    <w:rsid w:val="41857F6D"/>
    <w:rsid w:val="41886515"/>
    <w:rsid w:val="4196AB3A"/>
    <w:rsid w:val="41B19E67"/>
    <w:rsid w:val="41D0B6C5"/>
    <w:rsid w:val="41D9BA6F"/>
    <w:rsid w:val="41EDC766"/>
    <w:rsid w:val="41F056C2"/>
    <w:rsid w:val="41F66BFF"/>
    <w:rsid w:val="421B6927"/>
    <w:rsid w:val="422162BB"/>
    <w:rsid w:val="42319611"/>
    <w:rsid w:val="425CBE1C"/>
    <w:rsid w:val="4265EDF2"/>
    <w:rsid w:val="426C4101"/>
    <w:rsid w:val="427CC1AC"/>
    <w:rsid w:val="4299BE7B"/>
    <w:rsid w:val="42A82D88"/>
    <w:rsid w:val="42B1DC5E"/>
    <w:rsid w:val="42B7EE5E"/>
    <w:rsid w:val="42C805B0"/>
    <w:rsid w:val="42CF03B7"/>
    <w:rsid w:val="42EA3AB2"/>
    <w:rsid w:val="42EAD0BF"/>
    <w:rsid w:val="42EF59AE"/>
    <w:rsid w:val="42F59B07"/>
    <w:rsid w:val="430054AA"/>
    <w:rsid w:val="4305A435"/>
    <w:rsid w:val="43178293"/>
    <w:rsid w:val="4344886E"/>
    <w:rsid w:val="434B548E"/>
    <w:rsid w:val="43692495"/>
    <w:rsid w:val="43770D3D"/>
    <w:rsid w:val="4381877C"/>
    <w:rsid w:val="43BB7847"/>
    <w:rsid w:val="43CEDE2D"/>
    <w:rsid w:val="43D60FAF"/>
    <w:rsid w:val="43F2E3FE"/>
    <w:rsid w:val="43FC225B"/>
    <w:rsid w:val="44040262"/>
    <w:rsid w:val="4421A8FE"/>
    <w:rsid w:val="442ED1D6"/>
    <w:rsid w:val="44503561"/>
    <w:rsid w:val="4467A6A4"/>
    <w:rsid w:val="44735FC6"/>
    <w:rsid w:val="4484C502"/>
    <w:rsid w:val="449D2829"/>
    <w:rsid w:val="44AE41CD"/>
    <w:rsid w:val="44B352F4"/>
    <w:rsid w:val="44CB980F"/>
    <w:rsid w:val="44D7DC23"/>
    <w:rsid w:val="44E1BFF6"/>
    <w:rsid w:val="44EF53B9"/>
    <w:rsid w:val="451522F5"/>
    <w:rsid w:val="451CF673"/>
    <w:rsid w:val="454215DF"/>
    <w:rsid w:val="454236A2"/>
    <w:rsid w:val="4564AC50"/>
    <w:rsid w:val="4583A837"/>
    <w:rsid w:val="459C8643"/>
    <w:rsid w:val="45A6CEC1"/>
    <w:rsid w:val="45B332CB"/>
    <w:rsid w:val="45C16843"/>
    <w:rsid w:val="45DCA2FF"/>
    <w:rsid w:val="45E0937B"/>
    <w:rsid w:val="45E969BD"/>
    <w:rsid w:val="45EF7BF3"/>
    <w:rsid w:val="45EFE161"/>
    <w:rsid w:val="4605E5B6"/>
    <w:rsid w:val="461FA3DC"/>
    <w:rsid w:val="462BED4A"/>
    <w:rsid w:val="464A6D09"/>
    <w:rsid w:val="4656ECBF"/>
    <w:rsid w:val="4676FF0D"/>
    <w:rsid w:val="46A0CD27"/>
    <w:rsid w:val="46CA169B"/>
    <w:rsid w:val="46D98C05"/>
    <w:rsid w:val="46EABF57"/>
    <w:rsid w:val="46FCB720"/>
    <w:rsid w:val="473A455D"/>
    <w:rsid w:val="47475571"/>
    <w:rsid w:val="47BBDB4F"/>
    <w:rsid w:val="47C3A228"/>
    <w:rsid w:val="47D8C758"/>
    <w:rsid w:val="4825D30B"/>
    <w:rsid w:val="4835779D"/>
    <w:rsid w:val="4850D84F"/>
    <w:rsid w:val="48709572"/>
    <w:rsid w:val="487673EE"/>
    <w:rsid w:val="48A31CBB"/>
    <w:rsid w:val="48A3ADB8"/>
    <w:rsid w:val="48A88106"/>
    <w:rsid w:val="48B56FFD"/>
    <w:rsid w:val="48E65608"/>
    <w:rsid w:val="49316732"/>
    <w:rsid w:val="4950C527"/>
    <w:rsid w:val="49716EBA"/>
    <w:rsid w:val="498DCE5B"/>
    <w:rsid w:val="498EEE80"/>
    <w:rsid w:val="49938FD7"/>
    <w:rsid w:val="49A70B5A"/>
    <w:rsid w:val="49AA98C7"/>
    <w:rsid w:val="49C7F02F"/>
    <w:rsid w:val="49CCD16D"/>
    <w:rsid w:val="49E2B369"/>
    <w:rsid w:val="4A1FF03C"/>
    <w:rsid w:val="4A2957A2"/>
    <w:rsid w:val="4A29DABA"/>
    <w:rsid w:val="4A5BAA8A"/>
    <w:rsid w:val="4A786693"/>
    <w:rsid w:val="4A8F228D"/>
    <w:rsid w:val="4A8FB6C9"/>
    <w:rsid w:val="4A90872C"/>
    <w:rsid w:val="4A9A085B"/>
    <w:rsid w:val="4ADC42CE"/>
    <w:rsid w:val="4ADC6E86"/>
    <w:rsid w:val="4AE2ABE2"/>
    <w:rsid w:val="4AE4C0C6"/>
    <w:rsid w:val="4AF57E6D"/>
    <w:rsid w:val="4B0786F7"/>
    <w:rsid w:val="4B150AC1"/>
    <w:rsid w:val="4B17299B"/>
    <w:rsid w:val="4B2C0897"/>
    <w:rsid w:val="4B5D8CAA"/>
    <w:rsid w:val="4B6C2986"/>
    <w:rsid w:val="4B6E24EB"/>
    <w:rsid w:val="4B8E7085"/>
    <w:rsid w:val="4BAEEACE"/>
    <w:rsid w:val="4BCFA9C4"/>
    <w:rsid w:val="4BD32D2C"/>
    <w:rsid w:val="4BD59E11"/>
    <w:rsid w:val="4BEC7947"/>
    <w:rsid w:val="4C16A9AA"/>
    <w:rsid w:val="4C2CD271"/>
    <w:rsid w:val="4C42D7BD"/>
    <w:rsid w:val="4C5717E6"/>
    <w:rsid w:val="4C582A53"/>
    <w:rsid w:val="4C60AF75"/>
    <w:rsid w:val="4C80C71F"/>
    <w:rsid w:val="4C970195"/>
    <w:rsid w:val="4CB517C8"/>
    <w:rsid w:val="4CD010C0"/>
    <w:rsid w:val="4CD6F636"/>
    <w:rsid w:val="4CD7EEEB"/>
    <w:rsid w:val="4CDD0979"/>
    <w:rsid w:val="4CE18C47"/>
    <w:rsid w:val="4CFAD900"/>
    <w:rsid w:val="4D005604"/>
    <w:rsid w:val="4D09D57F"/>
    <w:rsid w:val="4D0B629B"/>
    <w:rsid w:val="4D0D559F"/>
    <w:rsid w:val="4D144C40"/>
    <w:rsid w:val="4D1EC881"/>
    <w:rsid w:val="4D2F031C"/>
    <w:rsid w:val="4D41F5C1"/>
    <w:rsid w:val="4D6A8CA7"/>
    <w:rsid w:val="4D8BF378"/>
    <w:rsid w:val="4D969846"/>
    <w:rsid w:val="4DB2BF44"/>
    <w:rsid w:val="4DB46136"/>
    <w:rsid w:val="4DD7435B"/>
    <w:rsid w:val="4DE6EA9B"/>
    <w:rsid w:val="4E0D38C7"/>
    <w:rsid w:val="4E2DDDEA"/>
    <w:rsid w:val="4E372814"/>
    <w:rsid w:val="4E574B75"/>
    <w:rsid w:val="4E5EE309"/>
    <w:rsid w:val="4E901C61"/>
    <w:rsid w:val="4E9D1F55"/>
    <w:rsid w:val="4EA606AA"/>
    <w:rsid w:val="4EB67BB6"/>
    <w:rsid w:val="4EBF5F3A"/>
    <w:rsid w:val="4EC814B9"/>
    <w:rsid w:val="4ED459FB"/>
    <w:rsid w:val="4ED5A2F8"/>
    <w:rsid w:val="4EEB01D3"/>
    <w:rsid w:val="4EFAC657"/>
    <w:rsid w:val="4F02A84A"/>
    <w:rsid w:val="4F03A978"/>
    <w:rsid w:val="4F1F551D"/>
    <w:rsid w:val="4F37C7E8"/>
    <w:rsid w:val="4F62624F"/>
    <w:rsid w:val="4FC59BB2"/>
    <w:rsid w:val="4FDFAE7F"/>
    <w:rsid w:val="4FE0A4EB"/>
    <w:rsid w:val="4FE4B8B6"/>
    <w:rsid w:val="4FEEC965"/>
    <w:rsid w:val="4FF2A4F8"/>
    <w:rsid w:val="5021663D"/>
    <w:rsid w:val="5022F0B5"/>
    <w:rsid w:val="50305810"/>
    <w:rsid w:val="503FCB1C"/>
    <w:rsid w:val="50451FB7"/>
    <w:rsid w:val="507FCCEB"/>
    <w:rsid w:val="5092F2BE"/>
    <w:rsid w:val="50A126F6"/>
    <w:rsid w:val="50A6A29F"/>
    <w:rsid w:val="50D3E7C8"/>
    <w:rsid w:val="50D75EC7"/>
    <w:rsid w:val="50E77EF2"/>
    <w:rsid w:val="50FB9C14"/>
    <w:rsid w:val="511258A9"/>
    <w:rsid w:val="5144C869"/>
    <w:rsid w:val="5154FD69"/>
    <w:rsid w:val="515CD0D1"/>
    <w:rsid w:val="517C54B7"/>
    <w:rsid w:val="5187957E"/>
    <w:rsid w:val="518999FA"/>
    <w:rsid w:val="51A297EF"/>
    <w:rsid w:val="51B0E3CD"/>
    <w:rsid w:val="51C321CC"/>
    <w:rsid w:val="51C44A8E"/>
    <w:rsid w:val="51C8DFBC"/>
    <w:rsid w:val="51EB66FC"/>
    <w:rsid w:val="51EB9BEF"/>
    <w:rsid w:val="51F7D09C"/>
    <w:rsid w:val="521C98BB"/>
    <w:rsid w:val="521E97DD"/>
    <w:rsid w:val="52202490"/>
    <w:rsid w:val="52265563"/>
    <w:rsid w:val="5226C33E"/>
    <w:rsid w:val="52377EB5"/>
    <w:rsid w:val="52440D51"/>
    <w:rsid w:val="524886BB"/>
    <w:rsid w:val="52491AC6"/>
    <w:rsid w:val="524DD223"/>
    <w:rsid w:val="526033F7"/>
    <w:rsid w:val="5263E332"/>
    <w:rsid w:val="52A859C5"/>
    <w:rsid w:val="52B54638"/>
    <w:rsid w:val="52C7AB0A"/>
    <w:rsid w:val="52DB8056"/>
    <w:rsid w:val="52FB1A70"/>
    <w:rsid w:val="5301B631"/>
    <w:rsid w:val="5306DDB8"/>
    <w:rsid w:val="53519814"/>
    <w:rsid w:val="53783019"/>
    <w:rsid w:val="537892D4"/>
    <w:rsid w:val="5380944F"/>
    <w:rsid w:val="53877A23"/>
    <w:rsid w:val="538EA5D7"/>
    <w:rsid w:val="53A765B6"/>
    <w:rsid w:val="53E56ABB"/>
    <w:rsid w:val="53E89864"/>
    <w:rsid w:val="5405C209"/>
    <w:rsid w:val="5409533D"/>
    <w:rsid w:val="54115DB3"/>
    <w:rsid w:val="5420B532"/>
    <w:rsid w:val="54439F37"/>
    <w:rsid w:val="54455479"/>
    <w:rsid w:val="545404D3"/>
    <w:rsid w:val="545D4F5C"/>
    <w:rsid w:val="5486BA8E"/>
    <w:rsid w:val="54915247"/>
    <w:rsid w:val="54A80CDF"/>
    <w:rsid w:val="54D6977D"/>
    <w:rsid w:val="54DC3F85"/>
    <w:rsid w:val="54EC5CA6"/>
    <w:rsid w:val="5500C943"/>
    <w:rsid w:val="553642A4"/>
    <w:rsid w:val="554DF9D6"/>
    <w:rsid w:val="555147E8"/>
    <w:rsid w:val="55585F92"/>
    <w:rsid w:val="55657454"/>
    <w:rsid w:val="55658971"/>
    <w:rsid w:val="55827738"/>
    <w:rsid w:val="5589CCE1"/>
    <w:rsid w:val="559ABAE4"/>
    <w:rsid w:val="55ABD9C8"/>
    <w:rsid w:val="55ACE2C9"/>
    <w:rsid w:val="55AF1C9C"/>
    <w:rsid w:val="55CF9646"/>
    <w:rsid w:val="55CFFEF0"/>
    <w:rsid w:val="55E34802"/>
    <w:rsid w:val="55EEAD53"/>
    <w:rsid w:val="55F43227"/>
    <w:rsid w:val="566884CC"/>
    <w:rsid w:val="566D4310"/>
    <w:rsid w:val="5678BAC4"/>
    <w:rsid w:val="569905FF"/>
    <w:rsid w:val="56AF4C1D"/>
    <w:rsid w:val="56BF2A95"/>
    <w:rsid w:val="56BF50DD"/>
    <w:rsid w:val="56C73A41"/>
    <w:rsid w:val="56EDDECF"/>
    <w:rsid w:val="5731CEAE"/>
    <w:rsid w:val="575C18B7"/>
    <w:rsid w:val="576391E6"/>
    <w:rsid w:val="578256FD"/>
    <w:rsid w:val="578C9494"/>
    <w:rsid w:val="57BA0532"/>
    <w:rsid w:val="57C31F58"/>
    <w:rsid w:val="57D37F4B"/>
    <w:rsid w:val="58050A32"/>
    <w:rsid w:val="58081E17"/>
    <w:rsid w:val="58166DA0"/>
    <w:rsid w:val="581DFF44"/>
    <w:rsid w:val="581F58CE"/>
    <w:rsid w:val="58491699"/>
    <w:rsid w:val="586F537C"/>
    <w:rsid w:val="58B8C10A"/>
    <w:rsid w:val="58BF2BD4"/>
    <w:rsid w:val="58E808D6"/>
    <w:rsid w:val="58ED35E9"/>
    <w:rsid w:val="591313DB"/>
    <w:rsid w:val="591861F8"/>
    <w:rsid w:val="5939D99C"/>
    <w:rsid w:val="5954FDD0"/>
    <w:rsid w:val="596983A4"/>
    <w:rsid w:val="5976117D"/>
    <w:rsid w:val="599B8F55"/>
    <w:rsid w:val="59AC48AB"/>
    <w:rsid w:val="59B59EDA"/>
    <w:rsid w:val="59D0253A"/>
    <w:rsid w:val="59EAEB3C"/>
    <w:rsid w:val="59ED00E4"/>
    <w:rsid w:val="59EEF65A"/>
    <w:rsid w:val="5A34D0DF"/>
    <w:rsid w:val="5A3B9767"/>
    <w:rsid w:val="5A725FBB"/>
    <w:rsid w:val="5A908025"/>
    <w:rsid w:val="5AC4014A"/>
    <w:rsid w:val="5ACDEC4E"/>
    <w:rsid w:val="5ADE320B"/>
    <w:rsid w:val="5AF34006"/>
    <w:rsid w:val="5B34D2EB"/>
    <w:rsid w:val="5B3A4D14"/>
    <w:rsid w:val="5B3C47FD"/>
    <w:rsid w:val="5B6ECC5A"/>
    <w:rsid w:val="5B908B5E"/>
    <w:rsid w:val="5BA31126"/>
    <w:rsid w:val="5BA8DA3C"/>
    <w:rsid w:val="5BACAC00"/>
    <w:rsid w:val="5BB70587"/>
    <w:rsid w:val="5BC56FA0"/>
    <w:rsid w:val="5BD0434B"/>
    <w:rsid w:val="5BE04463"/>
    <w:rsid w:val="5BF8D548"/>
    <w:rsid w:val="5BFDC9A1"/>
    <w:rsid w:val="5C057297"/>
    <w:rsid w:val="5C282D5E"/>
    <w:rsid w:val="5C370FE4"/>
    <w:rsid w:val="5C598DC1"/>
    <w:rsid w:val="5C60502A"/>
    <w:rsid w:val="5C707605"/>
    <w:rsid w:val="5C86B144"/>
    <w:rsid w:val="5CC113D6"/>
    <w:rsid w:val="5CEF04D0"/>
    <w:rsid w:val="5CF12E74"/>
    <w:rsid w:val="5D0A8B07"/>
    <w:rsid w:val="5D0CA571"/>
    <w:rsid w:val="5D15364A"/>
    <w:rsid w:val="5D1695CD"/>
    <w:rsid w:val="5D406507"/>
    <w:rsid w:val="5D545582"/>
    <w:rsid w:val="5D666326"/>
    <w:rsid w:val="5D797A76"/>
    <w:rsid w:val="5D83A257"/>
    <w:rsid w:val="5D8AE04E"/>
    <w:rsid w:val="5DACE5C2"/>
    <w:rsid w:val="5DAEFCAA"/>
    <w:rsid w:val="5DB1CCC7"/>
    <w:rsid w:val="5DC394EE"/>
    <w:rsid w:val="5DDB0EEB"/>
    <w:rsid w:val="5E016950"/>
    <w:rsid w:val="5E0A1940"/>
    <w:rsid w:val="5E15D8D6"/>
    <w:rsid w:val="5E1AE555"/>
    <w:rsid w:val="5E21F81E"/>
    <w:rsid w:val="5E22E64C"/>
    <w:rsid w:val="5E26F8C2"/>
    <w:rsid w:val="5E4BCF0D"/>
    <w:rsid w:val="5E57ED61"/>
    <w:rsid w:val="5E5CC374"/>
    <w:rsid w:val="5E6EA8C7"/>
    <w:rsid w:val="5E8620E7"/>
    <w:rsid w:val="5E9B03F4"/>
    <w:rsid w:val="5E9F7E4C"/>
    <w:rsid w:val="5EC31E63"/>
    <w:rsid w:val="5EDEDBE8"/>
    <w:rsid w:val="5EEB5183"/>
    <w:rsid w:val="5F1E528F"/>
    <w:rsid w:val="5F46B262"/>
    <w:rsid w:val="5F8B020B"/>
    <w:rsid w:val="5F8BA742"/>
    <w:rsid w:val="5F9866A1"/>
    <w:rsid w:val="5FC1C01F"/>
    <w:rsid w:val="5FF34872"/>
    <w:rsid w:val="5FF78BB5"/>
    <w:rsid w:val="60137044"/>
    <w:rsid w:val="60182850"/>
    <w:rsid w:val="6027B7DC"/>
    <w:rsid w:val="60389A0F"/>
    <w:rsid w:val="603E3F7E"/>
    <w:rsid w:val="604095D2"/>
    <w:rsid w:val="6047E833"/>
    <w:rsid w:val="604E06E5"/>
    <w:rsid w:val="6050EBEC"/>
    <w:rsid w:val="60657F3F"/>
    <w:rsid w:val="608573E4"/>
    <w:rsid w:val="6086570A"/>
    <w:rsid w:val="608E2AF8"/>
    <w:rsid w:val="60966361"/>
    <w:rsid w:val="609A5E6F"/>
    <w:rsid w:val="60A73F24"/>
    <w:rsid w:val="60BAEE68"/>
    <w:rsid w:val="60C83FC4"/>
    <w:rsid w:val="60D02C4F"/>
    <w:rsid w:val="60E119BA"/>
    <w:rsid w:val="60F6032B"/>
    <w:rsid w:val="6107FC73"/>
    <w:rsid w:val="61256C8E"/>
    <w:rsid w:val="612B4CFA"/>
    <w:rsid w:val="61331B90"/>
    <w:rsid w:val="61354967"/>
    <w:rsid w:val="61435C83"/>
    <w:rsid w:val="61498627"/>
    <w:rsid w:val="6163927F"/>
    <w:rsid w:val="61669A3F"/>
    <w:rsid w:val="6193B896"/>
    <w:rsid w:val="61D9791F"/>
    <w:rsid w:val="61E941BF"/>
    <w:rsid w:val="61F1F6A2"/>
    <w:rsid w:val="61F28895"/>
    <w:rsid w:val="61FC9B50"/>
    <w:rsid w:val="62005347"/>
    <w:rsid w:val="621045DC"/>
    <w:rsid w:val="6211AE7B"/>
    <w:rsid w:val="62259BDC"/>
    <w:rsid w:val="62295127"/>
    <w:rsid w:val="6229A375"/>
    <w:rsid w:val="622ADE35"/>
    <w:rsid w:val="622D5EB5"/>
    <w:rsid w:val="6231CE85"/>
    <w:rsid w:val="6235C092"/>
    <w:rsid w:val="623DF101"/>
    <w:rsid w:val="62412840"/>
    <w:rsid w:val="6250544D"/>
    <w:rsid w:val="6271BE2C"/>
    <w:rsid w:val="6278C4AC"/>
    <w:rsid w:val="62AD5467"/>
    <w:rsid w:val="62ADE8F4"/>
    <w:rsid w:val="63030FD7"/>
    <w:rsid w:val="631BF8DF"/>
    <w:rsid w:val="63218F12"/>
    <w:rsid w:val="6335C62E"/>
    <w:rsid w:val="63374245"/>
    <w:rsid w:val="6343E46F"/>
    <w:rsid w:val="63576EB1"/>
    <w:rsid w:val="63607CE6"/>
    <w:rsid w:val="63749048"/>
    <w:rsid w:val="639ECBB9"/>
    <w:rsid w:val="63AB0F86"/>
    <w:rsid w:val="63ACADB5"/>
    <w:rsid w:val="63B62C74"/>
    <w:rsid w:val="63CA6DD0"/>
    <w:rsid w:val="63CF0ADF"/>
    <w:rsid w:val="63D18F02"/>
    <w:rsid w:val="640220C5"/>
    <w:rsid w:val="64094E40"/>
    <w:rsid w:val="640A7849"/>
    <w:rsid w:val="640EAFA8"/>
    <w:rsid w:val="641E5E42"/>
    <w:rsid w:val="641EE4A7"/>
    <w:rsid w:val="641F4E74"/>
    <w:rsid w:val="642D7FEE"/>
    <w:rsid w:val="642DC9A0"/>
    <w:rsid w:val="643797B2"/>
    <w:rsid w:val="6445883A"/>
    <w:rsid w:val="644D857E"/>
    <w:rsid w:val="644E0B57"/>
    <w:rsid w:val="64539B73"/>
    <w:rsid w:val="64791E37"/>
    <w:rsid w:val="64998363"/>
    <w:rsid w:val="64A07EED"/>
    <w:rsid w:val="64C52A75"/>
    <w:rsid w:val="64DE5876"/>
    <w:rsid w:val="64E24B01"/>
    <w:rsid w:val="64E83FBD"/>
    <w:rsid w:val="64F9778B"/>
    <w:rsid w:val="65031EE1"/>
    <w:rsid w:val="65081D92"/>
    <w:rsid w:val="6510DFC7"/>
    <w:rsid w:val="65175D47"/>
    <w:rsid w:val="6536042D"/>
    <w:rsid w:val="65708882"/>
    <w:rsid w:val="657CDFEB"/>
    <w:rsid w:val="6598EE60"/>
    <w:rsid w:val="659A8C8F"/>
    <w:rsid w:val="65C4257A"/>
    <w:rsid w:val="65E752B3"/>
    <w:rsid w:val="65FE37E4"/>
    <w:rsid w:val="662C820A"/>
    <w:rsid w:val="662D0A03"/>
    <w:rsid w:val="66349B2A"/>
    <w:rsid w:val="66479A81"/>
    <w:rsid w:val="6685758D"/>
    <w:rsid w:val="668D18C2"/>
    <w:rsid w:val="668DFFB1"/>
    <w:rsid w:val="669C023C"/>
    <w:rsid w:val="66D80F7B"/>
    <w:rsid w:val="66DE14BB"/>
    <w:rsid w:val="66F2CEE9"/>
    <w:rsid w:val="67394381"/>
    <w:rsid w:val="676F02B5"/>
    <w:rsid w:val="6784A552"/>
    <w:rsid w:val="67A7BF01"/>
    <w:rsid w:val="67A96DE9"/>
    <w:rsid w:val="67B52F45"/>
    <w:rsid w:val="67B5CE85"/>
    <w:rsid w:val="67D84ED3"/>
    <w:rsid w:val="67F82B03"/>
    <w:rsid w:val="6803994A"/>
    <w:rsid w:val="680E720E"/>
    <w:rsid w:val="6819DAB0"/>
    <w:rsid w:val="6820AE76"/>
    <w:rsid w:val="6826EE1D"/>
    <w:rsid w:val="6846A20D"/>
    <w:rsid w:val="68725191"/>
    <w:rsid w:val="68754DAE"/>
    <w:rsid w:val="68A3717F"/>
    <w:rsid w:val="68F0BF4E"/>
    <w:rsid w:val="68F14D22"/>
    <w:rsid w:val="6915F443"/>
    <w:rsid w:val="693082D6"/>
    <w:rsid w:val="693B7FC4"/>
    <w:rsid w:val="6943E780"/>
    <w:rsid w:val="694A7DDD"/>
    <w:rsid w:val="694BB8AC"/>
    <w:rsid w:val="694DD257"/>
    <w:rsid w:val="697DA46E"/>
    <w:rsid w:val="697FCF7C"/>
    <w:rsid w:val="698D2F08"/>
    <w:rsid w:val="69BB0994"/>
    <w:rsid w:val="69C72751"/>
    <w:rsid w:val="69FE9C82"/>
    <w:rsid w:val="69FF71F5"/>
    <w:rsid w:val="6A0582EC"/>
    <w:rsid w:val="6A13A288"/>
    <w:rsid w:val="6A251CC1"/>
    <w:rsid w:val="6A559F9E"/>
    <w:rsid w:val="6A5C17A4"/>
    <w:rsid w:val="6A8F6FD7"/>
    <w:rsid w:val="6ABD6DA2"/>
    <w:rsid w:val="6ADB8927"/>
    <w:rsid w:val="6AE04C32"/>
    <w:rsid w:val="6AEEB7CC"/>
    <w:rsid w:val="6AFA4712"/>
    <w:rsid w:val="6B0D2D0E"/>
    <w:rsid w:val="6B27ED1F"/>
    <w:rsid w:val="6B4D84BC"/>
    <w:rsid w:val="6B5C66F7"/>
    <w:rsid w:val="6B7EDC09"/>
    <w:rsid w:val="6B8640CE"/>
    <w:rsid w:val="6B8F6A75"/>
    <w:rsid w:val="6BB2042F"/>
    <w:rsid w:val="6BC1C72E"/>
    <w:rsid w:val="6BC66085"/>
    <w:rsid w:val="6BF90155"/>
    <w:rsid w:val="6C00AAC8"/>
    <w:rsid w:val="6C34631D"/>
    <w:rsid w:val="6C46F380"/>
    <w:rsid w:val="6C5624C8"/>
    <w:rsid w:val="6C83EABE"/>
    <w:rsid w:val="6CA1B85D"/>
    <w:rsid w:val="6CABB885"/>
    <w:rsid w:val="6CCE35A4"/>
    <w:rsid w:val="6CEE813E"/>
    <w:rsid w:val="6D206B5B"/>
    <w:rsid w:val="6D2D82E5"/>
    <w:rsid w:val="6D303459"/>
    <w:rsid w:val="6D559DBC"/>
    <w:rsid w:val="6D5CB08E"/>
    <w:rsid w:val="6D6BF264"/>
    <w:rsid w:val="6D80CFFE"/>
    <w:rsid w:val="6D896082"/>
    <w:rsid w:val="6DB5469A"/>
    <w:rsid w:val="6DD04E9E"/>
    <w:rsid w:val="6DD41888"/>
    <w:rsid w:val="6DE0552A"/>
    <w:rsid w:val="6E096141"/>
    <w:rsid w:val="6E0EDF38"/>
    <w:rsid w:val="6E217BD0"/>
    <w:rsid w:val="6E2D954C"/>
    <w:rsid w:val="6E59810E"/>
    <w:rsid w:val="6E5E8DA5"/>
    <w:rsid w:val="6EB853A2"/>
    <w:rsid w:val="6EC3F671"/>
    <w:rsid w:val="6ECA4E02"/>
    <w:rsid w:val="6ED37A90"/>
    <w:rsid w:val="6EDE80CF"/>
    <w:rsid w:val="6EE05094"/>
    <w:rsid w:val="6F3D0BB1"/>
    <w:rsid w:val="6F6F7EA1"/>
    <w:rsid w:val="6F857EF4"/>
    <w:rsid w:val="6F91CBBC"/>
    <w:rsid w:val="6F924CFE"/>
    <w:rsid w:val="6FB26727"/>
    <w:rsid w:val="6FB55B84"/>
    <w:rsid w:val="6FC67B80"/>
    <w:rsid w:val="6FCB3992"/>
    <w:rsid w:val="6FD325AD"/>
    <w:rsid w:val="6FE2A0AD"/>
    <w:rsid w:val="6FF7537E"/>
    <w:rsid w:val="7001ABA8"/>
    <w:rsid w:val="701D68CE"/>
    <w:rsid w:val="702B76E1"/>
    <w:rsid w:val="7052CFB1"/>
    <w:rsid w:val="7061CEC0"/>
    <w:rsid w:val="7063C2E1"/>
    <w:rsid w:val="706A1BD5"/>
    <w:rsid w:val="707D2CC4"/>
    <w:rsid w:val="7091E5F6"/>
    <w:rsid w:val="70AB4BCE"/>
    <w:rsid w:val="70AD8EDD"/>
    <w:rsid w:val="70D6413E"/>
    <w:rsid w:val="71168947"/>
    <w:rsid w:val="71415D67"/>
    <w:rsid w:val="714D3808"/>
    <w:rsid w:val="71635753"/>
    <w:rsid w:val="717D1E44"/>
    <w:rsid w:val="717FF60F"/>
    <w:rsid w:val="718D3AAF"/>
    <w:rsid w:val="719C841F"/>
    <w:rsid w:val="71AA692E"/>
    <w:rsid w:val="71BE53FC"/>
    <w:rsid w:val="71BEBFA0"/>
    <w:rsid w:val="71C1854E"/>
    <w:rsid w:val="71D82566"/>
    <w:rsid w:val="71DD08B8"/>
    <w:rsid w:val="71E9EDEA"/>
    <w:rsid w:val="72002D82"/>
    <w:rsid w:val="7208E5AB"/>
    <w:rsid w:val="7227A8AE"/>
    <w:rsid w:val="722B49A1"/>
    <w:rsid w:val="7232778E"/>
    <w:rsid w:val="72543171"/>
    <w:rsid w:val="726A97B1"/>
    <w:rsid w:val="727FA1E7"/>
    <w:rsid w:val="72D365E5"/>
    <w:rsid w:val="7302F2DD"/>
    <w:rsid w:val="732BF58B"/>
    <w:rsid w:val="733E4171"/>
    <w:rsid w:val="734575C0"/>
    <w:rsid w:val="7354CC27"/>
    <w:rsid w:val="736CA37C"/>
    <w:rsid w:val="73829690"/>
    <w:rsid w:val="739C57F2"/>
    <w:rsid w:val="73CC1950"/>
    <w:rsid w:val="73D11C16"/>
    <w:rsid w:val="73DA4BC3"/>
    <w:rsid w:val="73E6BF19"/>
    <w:rsid w:val="740EE944"/>
    <w:rsid w:val="74132ADF"/>
    <w:rsid w:val="7433FCA2"/>
    <w:rsid w:val="7449FA78"/>
    <w:rsid w:val="7451AA4F"/>
    <w:rsid w:val="7453A648"/>
    <w:rsid w:val="745B089F"/>
    <w:rsid w:val="745CD99F"/>
    <w:rsid w:val="7461CF13"/>
    <w:rsid w:val="746D5ADF"/>
    <w:rsid w:val="746DECAC"/>
    <w:rsid w:val="74A4B355"/>
    <w:rsid w:val="74AB107F"/>
    <w:rsid w:val="74D03858"/>
    <w:rsid w:val="74D52FCF"/>
    <w:rsid w:val="74DCF3DC"/>
    <w:rsid w:val="74EA9BB2"/>
    <w:rsid w:val="750A1AB6"/>
    <w:rsid w:val="750E613D"/>
    <w:rsid w:val="753FB807"/>
    <w:rsid w:val="75432831"/>
    <w:rsid w:val="754BA5B9"/>
    <w:rsid w:val="75510F87"/>
    <w:rsid w:val="755350BE"/>
    <w:rsid w:val="75721776"/>
    <w:rsid w:val="757CA9C8"/>
    <w:rsid w:val="758AC5D8"/>
    <w:rsid w:val="75A91F18"/>
    <w:rsid w:val="75AD8D48"/>
    <w:rsid w:val="75C307B8"/>
    <w:rsid w:val="75C5125E"/>
    <w:rsid w:val="75C6E35E"/>
    <w:rsid w:val="75DA4944"/>
    <w:rsid w:val="75DABAF5"/>
    <w:rsid w:val="75EBE9AC"/>
    <w:rsid w:val="75ECEA60"/>
    <w:rsid w:val="75F6D3DA"/>
    <w:rsid w:val="76085295"/>
    <w:rsid w:val="7620527D"/>
    <w:rsid w:val="762CB5E9"/>
    <w:rsid w:val="763AF46E"/>
    <w:rsid w:val="7667980F"/>
    <w:rsid w:val="766E2947"/>
    <w:rsid w:val="766F6523"/>
    <w:rsid w:val="76920B98"/>
    <w:rsid w:val="76BA7898"/>
    <w:rsid w:val="76C67FE3"/>
    <w:rsid w:val="76D05254"/>
    <w:rsid w:val="76D11ADC"/>
    <w:rsid w:val="76FC616B"/>
    <w:rsid w:val="7702749D"/>
    <w:rsid w:val="772201CE"/>
    <w:rsid w:val="7723A8F9"/>
    <w:rsid w:val="777FE10A"/>
    <w:rsid w:val="77947BF6"/>
    <w:rsid w:val="77A852BE"/>
    <w:rsid w:val="77F2FFA9"/>
    <w:rsid w:val="77F8EFD9"/>
    <w:rsid w:val="7800148C"/>
    <w:rsid w:val="7802B181"/>
    <w:rsid w:val="7813D0BC"/>
    <w:rsid w:val="7817CBC1"/>
    <w:rsid w:val="7845FA91"/>
    <w:rsid w:val="784637FA"/>
    <w:rsid w:val="7861D7BA"/>
    <w:rsid w:val="789077CA"/>
    <w:rsid w:val="78983606"/>
    <w:rsid w:val="78AD7589"/>
    <w:rsid w:val="78C8A05C"/>
    <w:rsid w:val="78DA1A51"/>
    <w:rsid w:val="78EC57C2"/>
    <w:rsid w:val="78EDD629"/>
    <w:rsid w:val="78F13AC0"/>
    <w:rsid w:val="791A0962"/>
    <w:rsid w:val="793B0551"/>
    <w:rsid w:val="79461A75"/>
    <w:rsid w:val="795186E8"/>
    <w:rsid w:val="797174B0"/>
    <w:rsid w:val="797712E2"/>
    <w:rsid w:val="7992CC19"/>
    <w:rsid w:val="79983464"/>
    <w:rsid w:val="79B27F40"/>
    <w:rsid w:val="79B8B717"/>
    <w:rsid w:val="79C0CD7C"/>
    <w:rsid w:val="79D15969"/>
    <w:rsid w:val="79D3B716"/>
    <w:rsid w:val="79E69F8F"/>
    <w:rsid w:val="7A12C8A0"/>
    <w:rsid w:val="7A171AA1"/>
    <w:rsid w:val="7A4855B8"/>
    <w:rsid w:val="7A4DA3D8"/>
    <w:rsid w:val="7A4F92B9"/>
    <w:rsid w:val="7A5F846C"/>
    <w:rsid w:val="7A654F5B"/>
    <w:rsid w:val="7A7C0547"/>
    <w:rsid w:val="7A9B94E5"/>
    <w:rsid w:val="7AF88282"/>
    <w:rsid w:val="7B165B5F"/>
    <w:rsid w:val="7B56EEF5"/>
    <w:rsid w:val="7B796EA9"/>
    <w:rsid w:val="7B7C7554"/>
    <w:rsid w:val="7C02CD8E"/>
    <w:rsid w:val="7C091CC8"/>
    <w:rsid w:val="7C1FDBBC"/>
    <w:rsid w:val="7C2EA025"/>
    <w:rsid w:val="7C2FDA87"/>
    <w:rsid w:val="7C4BA37C"/>
    <w:rsid w:val="7C4F942F"/>
    <w:rsid w:val="7C6AFE47"/>
    <w:rsid w:val="7C84C6F4"/>
    <w:rsid w:val="7C9E4BCD"/>
    <w:rsid w:val="7CB90A35"/>
    <w:rsid w:val="7CBA661A"/>
    <w:rsid w:val="7CC25BE8"/>
    <w:rsid w:val="7CDAAFDD"/>
    <w:rsid w:val="7CDE334B"/>
    <w:rsid w:val="7CE4EB42"/>
    <w:rsid w:val="7CF27CC7"/>
    <w:rsid w:val="7CF4CAF7"/>
    <w:rsid w:val="7D4351B8"/>
    <w:rsid w:val="7D48487B"/>
    <w:rsid w:val="7D4E5835"/>
    <w:rsid w:val="7D67B22A"/>
    <w:rsid w:val="7D84400F"/>
    <w:rsid w:val="7DA50C97"/>
    <w:rsid w:val="7DBA9A7E"/>
    <w:rsid w:val="7DD8658B"/>
    <w:rsid w:val="7DE80772"/>
    <w:rsid w:val="7DEE8402"/>
    <w:rsid w:val="7E004CB6"/>
    <w:rsid w:val="7E161751"/>
    <w:rsid w:val="7E17935A"/>
    <w:rsid w:val="7E1FA306"/>
    <w:rsid w:val="7E5CA38F"/>
    <w:rsid w:val="7E61450E"/>
    <w:rsid w:val="7E6D9BCF"/>
    <w:rsid w:val="7E7E0A0D"/>
    <w:rsid w:val="7EAFF81D"/>
    <w:rsid w:val="7EB8219B"/>
    <w:rsid w:val="7ECA5876"/>
    <w:rsid w:val="7ED10E70"/>
    <w:rsid w:val="7EF1495F"/>
    <w:rsid w:val="7F59FEC4"/>
    <w:rsid w:val="7F5CCC53"/>
    <w:rsid w:val="7F9C4455"/>
    <w:rsid w:val="7FAC830D"/>
    <w:rsid w:val="7FAE5562"/>
    <w:rsid w:val="7FC865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C527A"/>
  <w15:docId w15:val="{05A75539-C69F-498D-A16A-A8C34EE7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2EAD0BF"/>
    <w:pPr>
      <w:jc w:val="both"/>
    </w:pPr>
  </w:style>
  <w:style w:type="paragraph" w:styleId="Heading1">
    <w:name w:val="heading 1"/>
    <w:basedOn w:val="Normal"/>
    <w:next w:val="Normal"/>
    <w:link w:val="Heading1Char"/>
    <w:uiPriority w:val="9"/>
    <w:qFormat/>
    <w:rsid w:val="000D198D"/>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42EAD0BF"/>
    <w:pPr>
      <w:keepNext/>
      <w:keepLines/>
      <w:spacing w:before="180" w:after="0"/>
      <w:outlineLvl w:val="1"/>
    </w:pPr>
    <w:rPr>
      <w:rFonts w:eastAsiaTheme="majorEastAsia"/>
      <w:color w:val="2F5496" w:themeColor="accent1" w:themeShade="BF"/>
    </w:rPr>
  </w:style>
  <w:style w:type="paragraph" w:styleId="Heading3">
    <w:name w:val="heading 3"/>
    <w:basedOn w:val="Normal"/>
    <w:next w:val="Normal"/>
    <w:link w:val="Heading3Char"/>
    <w:uiPriority w:val="9"/>
    <w:unhideWhenUsed/>
    <w:qFormat/>
    <w:rsid w:val="42EAD0BF"/>
    <w:pPr>
      <w:jc w:val="left"/>
      <w:outlineLvl w:val="2"/>
    </w:pPr>
    <w:rPr>
      <w:rFonts w:eastAsiaTheme="minorEastAsia"/>
      <w:b/>
      <w:bCs/>
    </w:rPr>
  </w:style>
  <w:style w:type="paragraph" w:styleId="Heading4">
    <w:name w:val="heading 4"/>
    <w:basedOn w:val="Normal"/>
    <w:next w:val="Normal"/>
    <w:link w:val="Heading4Char"/>
    <w:uiPriority w:val="9"/>
    <w:unhideWhenUsed/>
    <w:qFormat/>
    <w:rsid w:val="009C3A5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A6B2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A6B2F"/>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AA6B2F"/>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AA6B2F"/>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AA6B2F"/>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98D"/>
    <w:rPr>
      <w:rFonts w:asciiTheme="majorHAnsi" w:eastAsiaTheme="majorEastAsia" w:hAnsiTheme="majorHAnsi" w:cstheme="majorBidi"/>
      <w:b/>
      <w:color w:val="000000" w:themeColor="text1"/>
      <w:kern w:val="2"/>
      <w:sz w:val="32"/>
      <w:szCs w:val="32"/>
    </w:rPr>
  </w:style>
  <w:style w:type="character" w:customStyle="1" w:styleId="Heading2Char">
    <w:name w:val="Heading 2 Char"/>
    <w:basedOn w:val="DefaultParagraphFont"/>
    <w:link w:val="Heading2"/>
    <w:uiPriority w:val="9"/>
    <w:rsid w:val="00F350A6"/>
    <w:rPr>
      <w:rFonts w:eastAsiaTheme="majorEastAsia"/>
      <w:color w:val="2F5496" w:themeColor="accent1" w:themeShade="BF"/>
    </w:rPr>
  </w:style>
  <w:style w:type="character" w:customStyle="1" w:styleId="Heading3Char">
    <w:name w:val="Heading 3 Char"/>
    <w:basedOn w:val="DefaultParagraphFont"/>
    <w:link w:val="Heading3"/>
    <w:uiPriority w:val="9"/>
    <w:rsid w:val="00AA6FE9"/>
    <w:rPr>
      <w:rFonts w:eastAsiaTheme="minorEastAsia"/>
      <w:b/>
      <w:bCs/>
    </w:rPr>
  </w:style>
  <w:style w:type="paragraph" w:customStyle="1" w:styleId="Default">
    <w:name w:val="Default"/>
    <w:rsid w:val="000D198D"/>
    <w:pPr>
      <w:autoSpaceDE w:val="0"/>
      <w:autoSpaceDN w:val="0"/>
      <w:adjustRightInd w:val="0"/>
      <w:spacing w:after="0" w:line="240" w:lineRule="auto"/>
    </w:pPr>
    <w:rPr>
      <w:rFonts w:ascii="Calibri" w:hAnsi="Calibri" w:cs="Calibri"/>
      <w:color w:val="000000"/>
      <w:sz w:val="24"/>
      <w:szCs w:val="24"/>
      <w:lang w:val="tr-TR"/>
    </w:rPr>
  </w:style>
  <w:style w:type="character" w:styleId="Hyperlink">
    <w:name w:val="Hyperlink"/>
    <w:basedOn w:val="DefaultParagraphFont"/>
    <w:uiPriority w:val="99"/>
    <w:unhideWhenUsed/>
    <w:qFormat/>
    <w:rsid w:val="000D198D"/>
    <w:rPr>
      <w:color w:val="0563C1" w:themeColor="hyperlink"/>
      <w:u w:val="single"/>
    </w:rPr>
  </w:style>
  <w:style w:type="paragraph" w:styleId="FootnoteText">
    <w:name w:val="footnote text"/>
    <w:basedOn w:val="Normal"/>
    <w:link w:val="FootnoteTextChar"/>
    <w:uiPriority w:val="99"/>
    <w:unhideWhenUsed/>
    <w:qFormat/>
    <w:rsid w:val="42EAD0BF"/>
    <w:pPr>
      <w:spacing w:after="0"/>
    </w:pPr>
    <w:rPr>
      <w:sz w:val="20"/>
      <w:szCs w:val="20"/>
    </w:rPr>
  </w:style>
  <w:style w:type="character" w:customStyle="1" w:styleId="FootnoteTextChar">
    <w:name w:val="Footnote Text Char"/>
    <w:basedOn w:val="DefaultParagraphFont"/>
    <w:link w:val="FootnoteText"/>
    <w:uiPriority w:val="99"/>
    <w:qFormat/>
    <w:rsid w:val="000D198D"/>
    <w:rPr>
      <w:sz w:val="20"/>
      <w:szCs w:val="20"/>
    </w:rPr>
  </w:style>
  <w:style w:type="character" w:styleId="FootnoteReference">
    <w:name w:val="footnote reference"/>
    <w:aliases w:val="(Ref. de nota al pie),SUPERS,16 Point,Superscript 6 Point,BVI fnr,ftref,Footnote Reference Number,Footnote Reference_LVL6,Footnote Reference_LVL61,Footnote Reference_LVL62,Footnote Reference_LVL63,Footnote Reference_LVL64,Ref, BVI fnr"/>
    <w:basedOn w:val="DefaultParagraphFont"/>
    <w:link w:val="FNRefeCharChar"/>
    <w:uiPriority w:val="99"/>
    <w:unhideWhenUsed/>
    <w:qFormat/>
    <w:rsid w:val="000D198D"/>
    <w:rPr>
      <w:vertAlign w:val="superscript"/>
    </w:rPr>
  </w:style>
  <w:style w:type="paragraph" w:styleId="ListParagraph">
    <w:name w:val="List Paragraph"/>
    <w:aliases w:val="References,COMESA Text 2,Standard 12 pt,Dot pt,F5 List Paragraph,List Paragraph Char Char Char,Indicator Text,Numbered Para 1,Bullet 1,Bullet Points,List Paragraph2,MAIN CONTENT,Normal numbered,List Paragraph1,Colorful List - Accent 11,3"/>
    <w:basedOn w:val="Normal"/>
    <w:link w:val="ListParagraphChar"/>
    <w:uiPriority w:val="34"/>
    <w:qFormat/>
    <w:rsid w:val="000D198D"/>
    <w:pPr>
      <w:ind w:left="720"/>
    </w:pPr>
  </w:style>
  <w:style w:type="paragraph" w:styleId="TOCHeading">
    <w:name w:val="TOC Heading"/>
    <w:basedOn w:val="Heading1"/>
    <w:next w:val="Normal"/>
    <w:uiPriority w:val="39"/>
    <w:unhideWhenUsed/>
    <w:qFormat/>
    <w:rsid w:val="42EAD0BF"/>
    <w:rPr>
      <w:b w:val="0"/>
      <w:color w:val="2F5496" w:themeColor="accent1" w:themeShade="BF"/>
    </w:rPr>
  </w:style>
  <w:style w:type="paragraph" w:styleId="TOC1">
    <w:name w:val="toc 1"/>
    <w:basedOn w:val="Normal"/>
    <w:next w:val="Normal"/>
    <w:uiPriority w:val="39"/>
    <w:unhideWhenUsed/>
    <w:rsid w:val="42EAD0BF"/>
    <w:pPr>
      <w:tabs>
        <w:tab w:val="right" w:leader="dot" w:pos="9350"/>
      </w:tabs>
      <w:spacing w:before="360" w:after="0"/>
      <w:jc w:val="left"/>
    </w:pPr>
    <w:rPr>
      <w:b/>
      <w:bCs/>
      <w:caps/>
      <w:noProof/>
      <w:sz w:val="20"/>
      <w:szCs w:val="20"/>
    </w:rPr>
  </w:style>
  <w:style w:type="character" w:styleId="CommentReference">
    <w:name w:val="annotation reference"/>
    <w:basedOn w:val="DefaultParagraphFont"/>
    <w:uiPriority w:val="99"/>
    <w:unhideWhenUsed/>
    <w:rsid w:val="000D198D"/>
    <w:rPr>
      <w:sz w:val="16"/>
      <w:szCs w:val="16"/>
    </w:rPr>
  </w:style>
  <w:style w:type="paragraph" w:styleId="CommentText">
    <w:name w:val="annotation text"/>
    <w:basedOn w:val="Normal"/>
    <w:link w:val="CommentTextChar"/>
    <w:uiPriority w:val="99"/>
    <w:unhideWhenUsed/>
    <w:rsid w:val="5DB1CCC7"/>
    <w:rPr>
      <w:sz w:val="20"/>
      <w:szCs w:val="20"/>
    </w:rPr>
  </w:style>
  <w:style w:type="character" w:customStyle="1" w:styleId="CommentTextChar">
    <w:name w:val="Comment Text Char"/>
    <w:basedOn w:val="DefaultParagraphFont"/>
    <w:link w:val="CommentText"/>
    <w:uiPriority w:val="99"/>
    <w:rsid w:val="000D198D"/>
    <w:rPr>
      <w:sz w:val="20"/>
      <w:szCs w:val="20"/>
    </w:rPr>
  </w:style>
  <w:style w:type="paragraph" w:styleId="Title">
    <w:name w:val="Title"/>
    <w:basedOn w:val="Normal"/>
    <w:next w:val="Normal"/>
    <w:link w:val="TitleChar"/>
    <w:uiPriority w:val="10"/>
    <w:qFormat/>
    <w:rsid w:val="42EAD0BF"/>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0D198D"/>
    <w:rPr>
      <w:rFonts w:asciiTheme="majorHAnsi" w:eastAsiaTheme="majorEastAsia" w:hAnsiTheme="majorHAnsi" w:cstheme="majorBidi"/>
      <w:sz w:val="56"/>
      <w:szCs w:val="56"/>
    </w:rPr>
  </w:style>
  <w:style w:type="paragraph" w:styleId="TOC2">
    <w:name w:val="toc 2"/>
    <w:basedOn w:val="Normal"/>
    <w:next w:val="Normal"/>
    <w:uiPriority w:val="39"/>
    <w:unhideWhenUsed/>
    <w:rsid w:val="42EAD0BF"/>
    <w:pPr>
      <w:spacing w:before="240" w:after="0"/>
      <w:jc w:val="left"/>
    </w:pPr>
    <w:rPr>
      <w:b/>
      <w:bCs/>
      <w:sz w:val="20"/>
      <w:szCs w:val="20"/>
    </w:rPr>
  </w:style>
  <w:style w:type="paragraph" w:styleId="Subtitle">
    <w:name w:val="Subtitle"/>
    <w:basedOn w:val="Normal"/>
    <w:next w:val="Normal"/>
    <w:link w:val="SubtitleChar"/>
    <w:uiPriority w:val="11"/>
    <w:qFormat/>
    <w:rsid w:val="42EAD0BF"/>
    <w:pPr>
      <w:spacing w:after="0"/>
    </w:pPr>
    <w:rPr>
      <w:rFonts w:eastAsiaTheme="minorEastAsia"/>
      <w:sz w:val="18"/>
      <w:szCs w:val="18"/>
    </w:rPr>
  </w:style>
  <w:style w:type="character" w:customStyle="1" w:styleId="SubtitleChar">
    <w:name w:val="Subtitle Char"/>
    <w:basedOn w:val="DefaultParagraphFont"/>
    <w:link w:val="Subtitle"/>
    <w:uiPriority w:val="11"/>
    <w:rsid w:val="000D198D"/>
    <w:rPr>
      <w:rFonts w:eastAsiaTheme="minorEastAsia"/>
      <w:sz w:val="18"/>
      <w:szCs w:val="18"/>
    </w:rPr>
  </w:style>
  <w:style w:type="paragraph" w:styleId="TOC3">
    <w:name w:val="toc 3"/>
    <w:basedOn w:val="Normal"/>
    <w:next w:val="Normal"/>
    <w:uiPriority w:val="39"/>
    <w:unhideWhenUsed/>
    <w:rsid w:val="42EAD0BF"/>
    <w:pPr>
      <w:spacing w:after="0"/>
      <w:ind w:left="220"/>
      <w:jc w:val="left"/>
    </w:pPr>
    <w:rPr>
      <w:sz w:val="20"/>
      <w:szCs w:val="20"/>
    </w:rPr>
  </w:style>
  <w:style w:type="paragraph" w:styleId="BodyText">
    <w:name w:val="Body Text"/>
    <w:basedOn w:val="Normal"/>
    <w:link w:val="BodyTextChar"/>
    <w:uiPriority w:val="1"/>
    <w:qFormat/>
    <w:rsid w:val="5DB1CCC7"/>
    <w:pPr>
      <w:widowControl w:val="0"/>
      <w:spacing w:after="0"/>
      <w:jc w:val="left"/>
    </w:pPr>
    <w:rPr>
      <w:rFonts w:ascii="Calibri" w:eastAsia="Calibri" w:hAnsi="Calibri" w:cs="Calibri"/>
    </w:rPr>
  </w:style>
  <w:style w:type="character" w:customStyle="1" w:styleId="BodyTextChar">
    <w:name w:val="Body Text Char"/>
    <w:basedOn w:val="DefaultParagraphFont"/>
    <w:link w:val="BodyText"/>
    <w:uiPriority w:val="1"/>
    <w:rsid w:val="000D198D"/>
    <w:rPr>
      <w:rFonts w:ascii="Calibri" w:eastAsia="Calibri" w:hAnsi="Calibri" w:cs="Calibri"/>
    </w:rPr>
  </w:style>
  <w:style w:type="paragraph" w:customStyle="1" w:styleId="FNRefeCharChar">
    <w:name w:val="FNRefe Char Char"/>
    <w:basedOn w:val="Normal"/>
    <w:link w:val="FootnoteReference"/>
    <w:uiPriority w:val="99"/>
    <w:qFormat/>
    <w:rsid w:val="42EAD0BF"/>
    <w:pPr>
      <w:jc w:val="left"/>
    </w:pPr>
    <w:rPr>
      <w:vertAlign w:val="superscript"/>
    </w:rPr>
  </w:style>
  <w:style w:type="paragraph" w:styleId="NormalWeb">
    <w:name w:val="Normal (Web)"/>
    <w:basedOn w:val="Normal"/>
    <w:uiPriority w:val="99"/>
    <w:unhideWhenUsed/>
    <w:rsid w:val="42EAD0BF"/>
    <w:pPr>
      <w:spacing w:beforeAutospacing="1" w:afterAutospacing="1"/>
      <w:jc w:val="left"/>
    </w:pPr>
    <w:rPr>
      <w:rFonts w:ascii="Calibri" w:eastAsia="Times New Roman" w:hAnsi="Calibri" w:cs="Times New Roman"/>
      <w:lang w:val="en-GB" w:eastAsia="en-GB"/>
    </w:rPr>
  </w:style>
  <w:style w:type="character" w:customStyle="1" w:styleId="ListParagraphChar">
    <w:name w:val="List Paragraph Char"/>
    <w:aliases w:val="References Char,COMESA Text 2 Char,Standard 12 pt Char,Dot pt Char,F5 List Paragraph Char,List Paragraph Char Char Char Char,Indicator Text Char,Numbered Para 1 Char,Bullet 1 Char,Bullet Points Char,List Paragraph2 Char,3 Char"/>
    <w:basedOn w:val="DefaultParagraphFont"/>
    <w:link w:val="ListParagraph"/>
    <w:uiPriority w:val="34"/>
    <w:qFormat/>
    <w:rsid w:val="000D198D"/>
    <w:rPr>
      <w:kern w:val="2"/>
    </w:rPr>
  </w:style>
  <w:style w:type="paragraph" w:styleId="Revision">
    <w:name w:val="Revision"/>
    <w:hidden/>
    <w:uiPriority w:val="99"/>
    <w:semiHidden/>
    <w:rsid w:val="00404141"/>
    <w:pPr>
      <w:spacing w:after="0" w:line="240" w:lineRule="auto"/>
    </w:pPr>
    <w:rPr>
      <w:kern w:val="2"/>
    </w:rPr>
  </w:style>
  <w:style w:type="paragraph" w:styleId="Header">
    <w:name w:val="header"/>
    <w:basedOn w:val="Normal"/>
    <w:link w:val="HeaderChar"/>
    <w:uiPriority w:val="99"/>
    <w:unhideWhenUsed/>
    <w:rsid w:val="42EAD0BF"/>
    <w:pPr>
      <w:tabs>
        <w:tab w:val="center" w:pos="4680"/>
        <w:tab w:val="right" w:pos="9360"/>
      </w:tabs>
      <w:spacing w:after="0"/>
    </w:pPr>
  </w:style>
  <w:style w:type="character" w:customStyle="1" w:styleId="HeaderChar">
    <w:name w:val="Header Char"/>
    <w:basedOn w:val="DefaultParagraphFont"/>
    <w:link w:val="Header"/>
    <w:uiPriority w:val="99"/>
    <w:rsid w:val="00F41B64"/>
  </w:style>
  <w:style w:type="paragraph" w:styleId="Footer">
    <w:name w:val="footer"/>
    <w:basedOn w:val="Normal"/>
    <w:link w:val="FooterChar"/>
    <w:uiPriority w:val="99"/>
    <w:unhideWhenUsed/>
    <w:rsid w:val="42EAD0BF"/>
    <w:pPr>
      <w:tabs>
        <w:tab w:val="center" w:pos="4680"/>
        <w:tab w:val="right" w:pos="9360"/>
      </w:tabs>
      <w:spacing w:after="0"/>
    </w:pPr>
  </w:style>
  <w:style w:type="character" w:customStyle="1" w:styleId="FooterChar">
    <w:name w:val="Footer Char"/>
    <w:basedOn w:val="DefaultParagraphFont"/>
    <w:link w:val="Footer"/>
    <w:uiPriority w:val="99"/>
    <w:rsid w:val="00F41B64"/>
  </w:style>
  <w:style w:type="character" w:styleId="UnresolvedMention">
    <w:name w:val="Unresolved Mention"/>
    <w:basedOn w:val="DefaultParagraphFont"/>
    <w:uiPriority w:val="99"/>
    <w:semiHidden/>
    <w:unhideWhenUsed/>
    <w:rsid w:val="00A80F6C"/>
    <w:rPr>
      <w:color w:val="605E5C"/>
      <w:shd w:val="clear" w:color="auto" w:fill="E1DFDD"/>
    </w:rPr>
  </w:style>
  <w:style w:type="paragraph" w:styleId="Caption">
    <w:name w:val="caption"/>
    <w:basedOn w:val="Normal"/>
    <w:next w:val="Normal"/>
    <w:uiPriority w:val="35"/>
    <w:unhideWhenUsed/>
    <w:qFormat/>
    <w:rsid w:val="42EAD0BF"/>
    <w:pPr>
      <w:spacing w:after="0"/>
    </w:pPr>
    <w:rPr>
      <w:b/>
      <w:bCs/>
      <w:color w:val="000000" w:themeColor="text1"/>
    </w:rPr>
  </w:style>
  <w:style w:type="paragraph" w:styleId="CommentSubject">
    <w:name w:val="annotation subject"/>
    <w:basedOn w:val="CommentText"/>
    <w:next w:val="CommentText"/>
    <w:link w:val="CommentSubjectChar"/>
    <w:uiPriority w:val="99"/>
    <w:semiHidden/>
    <w:unhideWhenUsed/>
    <w:rsid w:val="42EAD0BF"/>
    <w:rPr>
      <w:b/>
      <w:bCs/>
    </w:rPr>
  </w:style>
  <w:style w:type="character" w:customStyle="1" w:styleId="CommentSubjectChar">
    <w:name w:val="Comment Subject Char"/>
    <w:basedOn w:val="CommentTextChar"/>
    <w:link w:val="CommentSubject"/>
    <w:uiPriority w:val="99"/>
    <w:semiHidden/>
    <w:rsid w:val="00A80F6C"/>
    <w:rPr>
      <w:b/>
      <w:bCs/>
      <w:sz w:val="20"/>
      <w:szCs w:val="20"/>
    </w:rPr>
  </w:style>
  <w:style w:type="character" w:customStyle="1" w:styleId="ts-alignment-element-highlighted">
    <w:name w:val="ts-alignment-element-highlighted"/>
    <w:basedOn w:val="DefaultParagraphFont"/>
    <w:rsid w:val="00A80F6C"/>
  </w:style>
  <w:style w:type="character" w:customStyle="1" w:styleId="ts-alignment-element">
    <w:name w:val="ts-alignment-element"/>
    <w:basedOn w:val="DefaultParagraphFont"/>
    <w:rsid w:val="00A80F6C"/>
  </w:style>
  <w:style w:type="table" w:styleId="TableGrid">
    <w:name w:val="Table Grid"/>
    <w:basedOn w:val="TableNormal"/>
    <w:uiPriority w:val="39"/>
    <w:rsid w:val="00A80F6C"/>
    <w:pPr>
      <w:spacing w:after="0" w:line="240" w:lineRule="auto"/>
    </w:pPr>
    <w:rPr>
      <w:kern w:val="2"/>
      <w:lang w:val="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A80F6C"/>
  </w:style>
  <w:style w:type="paragraph" w:styleId="EndnoteText">
    <w:name w:val="endnote text"/>
    <w:basedOn w:val="Normal"/>
    <w:link w:val="EndnoteTextChar"/>
    <w:uiPriority w:val="99"/>
    <w:semiHidden/>
    <w:unhideWhenUsed/>
    <w:rsid w:val="42EAD0BF"/>
    <w:pPr>
      <w:spacing w:after="0"/>
    </w:pPr>
    <w:rPr>
      <w:sz w:val="20"/>
      <w:szCs w:val="20"/>
    </w:rPr>
  </w:style>
  <w:style w:type="character" w:customStyle="1" w:styleId="EndnoteTextChar">
    <w:name w:val="Endnote Text Char"/>
    <w:basedOn w:val="DefaultParagraphFont"/>
    <w:link w:val="EndnoteText"/>
    <w:uiPriority w:val="99"/>
    <w:semiHidden/>
    <w:rsid w:val="001B0A78"/>
    <w:rPr>
      <w:sz w:val="20"/>
      <w:szCs w:val="20"/>
    </w:rPr>
  </w:style>
  <w:style w:type="character" w:styleId="EndnoteReference">
    <w:name w:val="endnote reference"/>
    <w:basedOn w:val="DefaultParagraphFont"/>
    <w:uiPriority w:val="99"/>
    <w:semiHidden/>
    <w:unhideWhenUsed/>
    <w:rsid w:val="001B0A78"/>
    <w:rPr>
      <w:vertAlign w:val="superscript"/>
    </w:rPr>
  </w:style>
  <w:style w:type="character" w:styleId="Emphasis">
    <w:name w:val="Emphasis"/>
    <w:basedOn w:val="DefaultParagraphFont"/>
    <w:uiPriority w:val="20"/>
    <w:qFormat/>
    <w:rsid w:val="001B0A78"/>
    <w:rPr>
      <w:i/>
      <w:iCs/>
    </w:rPr>
  </w:style>
  <w:style w:type="character" w:styleId="FollowedHyperlink">
    <w:name w:val="FollowedHyperlink"/>
    <w:basedOn w:val="DefaultParagraphFont"/>
    <w:uiPriority w:val="99"/>
    <w:semiHidden/>
    <w:unhideWhenUsed/>
    <w:rsid w:val="001B0A78"/>
    <w:rPr>
      <w:color w:val="954F72" w:themeColor="followedHyperlink"/>
      <w:u w:val="single"/>
    </w:rPr>
  </w:style>
  <w:style w:type="paragraph" w:customStyle="1" w:styleId="paragraph">
    <w:name w:val="paragraph"/>
    <w:basedOn w:val="Normal"/>
    <w:uiPriority w:val="1"/>
    <w:rsid w:val="4D1EC881"/>
    <w:pPr>
      <w:spacing w:beforeAutospacing="1" w:afterAutospacing="1"/>
    </w:pPr>
    <w:rPr>
      <w:rFonts w:ascii="Times New Roman" w:eastAsia="Times New Roman" w:hAnsi="Times New Roman" w:cs="Times New Roman"/>
      <w:sz w:val="24"/>
      <w:szCs w:val="24"/>
    </w:rPr>
  </w:style>
  <w:style w:type="character" w:customStyle="1" w:styleId="eop">
    <w:name w:val="eop"/>
    <w:basedOn w:val="DefaultParagraphFont"/>
    <w:rsid w:val="4D1EC881"/>
  </w:style>
  <w:style w:type="character" w:customStyle="1" w:styleId="Heading4Char">
    <w:name w:val="Heading 4 Char"/>
    <w:basedOn w:val="DefaultParagraphFont"/>
    <w:link w:val="Heading4"/>
    <w:uiPriority w:val="9"/>
    <w:rsid w:val="009C3A57"/>
    <w:rPr>
      <w:rFonts w:asciiTheme="majorHAnsi" w:eastAsiaTheme="majorEastAsia" w:hAnsiTheme="majorHAnsi" w:cstheme="majorBidi"/>
      <w:i/>
      <w:iCs/>
      <w:color w:val="2F5496" w:themeColor="accent1" w:themeShade="BF"/>
      <w:kern w:val="2"/>
    </w:rPr>
  </w:style>
  <w:style w:type="character" w:styleId="Mention">
    <w:name w:val="Mention"/>
    <w:basedOn w:val="DefaultParagraphFont"/>
    <w:uiPriority w:val="99"/>
    <w:unhideWhenUsed/>
    <w:rsid w:val="00EC59DB"/>
    <w:rPr>
      <w:color w:val="2B579A"/>
      <w:shd w:val="clear" w:color="auto" w:fill="E1DFDD"/>
    </w:rPr>
  </w:style>
  <w:style w:type="paragraph" w:styleId="TOC4">
    <w:name w:val="toc 4"/>
    <w:basedOn w:val="Normal"/>
    <w:next w:val="Normal"/>
    <w:uiPriority w:val="39"/>
    <w:unhideWhenUsed/>
    <w:rsid w:val="42EAD0BF"/>
    <w:pPr>
      <w:spacing w:after="0"/>
      <w:ind w:left="440"/>
      <w:jc w:val="left"/>
    </w:pPr>
    <w:rPr>
      <w:sz w:val="20"/>
      <w:szCs w:val="20"/>
    </w:rPr>
  </w:style>
  <w:style w:type="paragraph" w:styleId="TOC5">
    <w:name w:val="toc 5"/>
    <w:basedOn w:val="Normal"/>
    <w:next w:val="Normal"/>
    <w:uiPriority w:val="39"/>
    <w:unhideWhenUsed/>
    <w:rsid w:val="42EAD0BF"/>
    <w:pPr>
      <w:spacing w:after="0"/>
      <w:ind w:left="660"/>
      <w:jc w:val="left"/>
    </w:pPr>
    <w:rPr>
      <w:sz w:val="20"/>
      <w:szCs w:val="20"/>
    </w:rPr>
  </w:style>
  <w:style w:type="paragraph" w:styleId="TOC6">
    <w:name w:val="toc 6"/>
    <w:basedOn w:val="Normal"/>
    <w:next w:val="Normal"/>
    <w:uiPriority w:val="39"/>
    <w:unhideWhenUsed/>
    <w:rsid w:val="42EAD0BF"/>
    <w:pPr>
      <w:spacing w:after="0"/>
      <w:ind w:left="880"/>
      <w:jc w:val="left"/>
    </w:pPr>
    <w:rPr>
      <w:sz w:val="20"/>
      <w:szCs w:val="20"/>
    </w:rPr>
  </w:style>
  <w:style w:type="paragraph" w:styleId="TOC7">
    <w:name w:val="toc 7"/>
    <w:basedOn w:val="Normal"/>
    <w:next w:val="Normal"/>
    <w:uiPriority w:val="39"/>
    <w:unhideWhenUsed/>
    <w:rsid w:val="42EAD0BF"/>
    <w:pPr>
      <w:spacing w:after="0"/>
      <w:ind w:left="1100"/>
      <w:jc w:val="left"/>
    </w:pPr>
    <w:rPr>
      <w:sz w:val="20"/>
      <w:szCs w:val="20"/>
    </w:rPr>
  </w:style>
  <w:style w:type="paragraph" w:styleId="TOC8">
    <w:name w:val="toc 8"/>
    <w:basedOn w:val="Normal"/>
    <w:next w:val="Normal"/>
    <w:uiPriority w:val="39"/>
    <w:unhideWhenUsed/>
    <w:rsid w:val="42EAD0BF"/>
    <w:pPr>
      <w:spacing w:after="0"/>
      <w:ind w:left="1320"/>
      <w:jc w:val="left"/>
    </w:pPr>
    <w:rPr>
      <w:sz w:val="20"/>
      <w:szCs w:val="20"/>
    </w:rPr>
  </w:style>
  <w:style w:type="paragraph" w:styleId="TOC9">
    <w:name w:val="toc 9"/>
    <w:basedOn w:val="Normal"/>
    <w:next w:val="Normal"/>
    <w:uiPriority w:val="39"/>
    <w:unhideWhenUsed/>
    <w:rsid w:val="42EAD0BF"/>
    <w:pPr>
      <w:spacing w:after="0"/>
      <w:ind w:left="1540"/>
      <w:jc w:val="left"/>
    </w:pPr>
    <w:rPr>
      <w:sz w:val="20"/>
      <w:szCs w:val="20"/>
    </w:rPr>
  </w:style>
  <w:style w:type="character" w:customStyle="1" w:styleId="cf01">
    <w:name w:val="cf01"/>
    <w:basedOn w:val="DefaultParagraphFont"/>
    <w:rsid w:val="0083249A"/>
    <w:rPr>
      <w:rFonts w:ascii="Segoe UI" w:hAnsi="Segoe UI" w:cs="Segoe UI" w:hint="default"/>
      <w:sz w:val="18"/>
      <w:szCs w:val="18"/>
    </w:rPr>
  </w:style>
  <w:style w:type="paragraph" w:customStyle="1" w:styleId="CarattereCarattereCharCharCharCharCharCharZchn">
    <w:name w:val="Carattere Carattere Char Char Char Char Char Char Zchn"/>
    <w:basedOn w:val="Normal"/>
    <w:next w:val="Normal"/>
    <w:uiPriority w:val="99"/>
    <w:rsid w:val="42EAD0BF"/>
    <w:pPr>
      <w:spacing w:line="240" w:lineRule="exact"/>
      <w:ind w:left="720" w:hanging="360"/>
    </w:pPr>
    <w:rPr>
      <w:rFonts w:eastAsiaTheme="minorEastAsia"/>
      <w:vertAlign w:val="superscript"/>
    </w:rPr>
  </w:style>
  <w:style w:type="character" w:customStyle="1" w:styleId="Style2">
    <w:name w:val="Style2"/>
    <w:basedOn w:val="DefaultParagraphFont"/>
    <w:uiPriority w:val="1"/>
    <w:rsid w:val="00C51C39"/>
    <w:rPr>
      <w:rFonts w:asciiTheme="minorHAnsi" w:hAnsiTheme="minorHAnsi"/>
      <w:sz w:val="18"/>
    </w:rPr>
  </w:style>
  <w:style w:type="character" w:customStyle="1" w:styleId="Heading5Char">
    <w:name w:val="Heading 5 Char"/>
    <w:basedOn w:val="DefaultParagraphFont"/>
    <w:link w:val="Heading5"/>
    <w:uiPriority w:val="9"/>
    <w:rsid w:val="00AA6B2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AA6B2F"/>
    <w:rPr>
      <w:rFonts w:asciiTheme="majorHAnsi" w:eastAsiaTheme="majorEastAsia" w:hAnsiTheme="majorHAnsi" w:cstheme="majorBidi"/>
      <w:color w:val="1F3763"/>
    </w:rPr>
  </w:style>
  <w:style w:type="character" w:customStyle="1" w:styleId="Heading7Char">
    <w:name w:val="Heading 7 Char"/>
    <w:basedOn w:val="DefaultParagraphFont"/>
    <w:link w:val="Heading7"/>
    <w:uiPriority w:val="9"/>
    <w:rsid w:val="00AA6B2F"/>
    <w:rPr>
      <w:rFonts w:asciiTheme="majorHAnsi" w:eastAsiaTheme="majorEastAsia" w:hAnsiTheme="majorHAnsi" w:cstheme="majorBidi"/>
      <w:i/>
      <w:iCs/>
      <w:color w:val="1F3763"/>
    </w:rPr>
  </w:style>
  <w:style w:type="character" w:customStyle="1" w:styleId="Heading8Char">
    <w:name w:val="Heading 8 Char"/>
    <w:basedOn w:val="DefaultParagraphFont"/>
    <w:link w:val="Heading8"/>
    <w:uiPriority w:val="9"/>
    <w:rsid w:val="00AA6B2F"/>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AA6B2F"/>
    <w:rPr>
      <w:rFonts w:asciiTheme="majorHAnsi" w:eastAsiaTheme="majorEastAsia" w:hAnsiTheme="majorHAnsi" w:cstheme="majorBidi"/>
      <w:i/>
      <w:iCs/>
      <w:color w:val="272727"/>
      <w:sz w:val="21"/>
      <w:szCs w:val="21"/>
    </w:rPr>
  </w:style>
  <w:style w:type="paragraph" w:styleId="Quote">
    <w:name w:val="Quote"/>
    <w:basedOn w:val="Normal"/>
    <w:next w:val="Normal"/>
    <w:link w:val="QuoteChar"/>
    <w:uiPriority w:val="29"/>
    <w:qFormat/>
    <w:rsid w:val="00AA6B2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6B2F"/>
    <w:rPr>
      <w:i/>
      <w:iCs/>
      <w:color w:val="404040" w:themeColor="text1" w:themeTint="BF"/>
    </w:rPr>
  </w:style>
  <w:style w:type="paragraph" w:styleId="IntenseQuote">
    <w:name w:val="Intense Quote"/>
    <w:basedOn w:val="Normal"/>
    <w:next w:val="Normal"/>
    <w:link w:val="IntenseQuoteChar"/>
    <w:uiPriority w:val="30"/>
    <w:qFormat/>
    <w:rsid w:val="00AA6B2F"/>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A6B2F"/>
    <w:rPr>
      <w:i/>
      <w:iCs/>
      <w:color w:val="4472C4" w:themeColor="accent1"/>
    </w:rPr>
  </w:style>
  <w:style w:type="paragraph" w:customStyle="1" w:styleId="pf0">
    <w:name w:val="pf0"/>
    <w:basedOn w:val="Normal"/>
    <w:rsid w:val="008D639E"/>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msonormal">
    <w:name w:val="x_msonormal"/>
    <w:basedOn w:val="Normal"/>
    <w:uiPriority w:val="99"/>
    <w:semiHidden/>
    <w:rsid w:val="007C03F8"/>
    <w:pPr>
      <w:spacing w:after="0" w:line="240" w:lineRule="auto"/>
      <w:jc w:val="left"/>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1402">
      <w:bodyDiv w:val="1"/>
      <w:marLeft w:val="0"/>
      <w:marRight w:val="0"/>
      <w:marTop w:val="0"/>
      <w:marBottom w:val="0"/>
      <w:divBdr>
        <w:top w:val="none" w:sz="0" w:space="0" w:color="auto"/>
        <w:left w:val="none" w:sz="0" w:space="0" w:color="auto"/>
        <w:bottom w:val="none" w:sz="0" w:space="0" w:color="auto"/>
        <w:right w:val="none" w:sz="0" w:space="0" w:color="auto"/>
      </w:divBdr>
    </w:div>
    <w:div w:id="78215022">
      <w:bodyDiv w:val="1"/>
      <w:marLeft w:val="0"/>
      <w:marRight w:val="0"/>
      <w:marTop w:val="0"/>
      <w:marBottom w:val="0"/>
      <w:divBdr>
        <w:top w:val="none" w:sz="0" w:space="0" w:color="auto"/>
        <w:left w:val="none" w:sz="0" w:space="0" w:color="auto"/>
        <w:bottom w:val="none" w:sz="0" w:space="0" w:color="auto"/>
        <w:right w:val="none" w:sz="0" w:space="0" w:color="auto"/>
      </w:divBdr>
    </w:div>
    <w:div w:id="154027975">
      <w:bodyDiv w:val="1"/>
      <w:marLeft w:val="0"/>
      <w:marRight w:val="0"/>
      <w:marTop w:val="0"/>
      <w:marBottom w:val="0"/>
      <w:divBdr>
        <w:top w:val="none" w:sz="0" w:space="0" w:color="auto"/>
        <w:left w:val="none" w:sz="0" w:space="0" w:color="auto"/>
        <w:bottom w:val="none" w:sz="0" w:space="0" w:color="auto"/>
        <w:right w:val="none" w:sz="0" w:space="0" w:color="auto"/>
      </w:divBdr>
    </w:div>
    <w:div w:id="357007020">
      <w:bodyDiv w:val="1"/>
      <w:marLeft w:val="0"/>
      <w:marRight w:val="0"/>
      <w:marTop w:val="0"/>
      <w:marBottom w:val="0"/>
      <w:divBdr>
        <w:top w:val="none" w:sz="0" w:space="0" w:color="auto"/>
        <w:left w:val="none" w:sz="0" w:space="0" w:color="auto"/>
        <w:bottom w:val="none" w:sz="0" w:space="0" w:color="auto"/>
        <w:right w:val="none" w:sz="0" w:space="0" w:color="auto"/>
      </w:divBdr>
    </w:div>
    <w:div w:id="374475905">
      <w:bodyDiv w:val="1"/>
      <w:marLeft w:val="0"/>
      <w:marRight w:val="0"/>
      <w:marTop w:val="0"/>
      <w:marBottom w:val="0"/>
      <w:divBdr>
        <w:top w:val="none" w:sz="0" w:space="0" w:color="auto"/>
        <w:left w:val="none" w:sz="0" w:space="0" w:color="auto"/>
        <w:bottom w:val="none" w:sz="0" w:space="0" w:color="auto"/>
        <w:right w:val="none" w:sz="0" w:space="0" w:color="auto"/>
      </w:divBdr>
    </w:div>
    <w:div w:id="385838650">
      <w:bodyDiv w:val="1"/>
      <w:marLeft w:val="0"/>
      <w:marRight w:val="0"/>
      <w:marTop w:val="0"/>
      <w:marBottom w:val="0"/>
      <w:divBdr>
        <w:top w:val="none" w:sz="0" w:space="0" w:color="auto"/>
        <w:left w:val="none" w:sz="0" w:space="0" w:color="auto"/>
        <w:bottom w:val="none" w:sz="0" w:space="0" w:color="auto"/>
        <w:right w:val="none" w:sz="0" w:space="0" w:color="auto"/>
      </w:divBdr>
    </w:div>
    <w:div w:id="403068158">
      <w:bodyDiv w:val="1"/>
      <w:marLeft w:val="0"/>
      <w:marRight w:val="0"/>
      <w:marTop w:val="0"/>
      <w:marBottom w:val="0"/>
      <w:divBdr>
        <w:top w:val="none" w:sz="0" w:space="0" w:color="auto"/>
        <w:left w:val="none" w:sz="0" w:space="0" w:color="auto"/>
        <w:bottom w:val="none" w:sz="0" w:space="0" w:color="auto"/>
        <w:right w:val="none" w:sz="0" w:space="0" w:color="auto"/>
      </w:divBdr>
      <w:divsChild>
        <w:div w:id="1787193252">
          <w:marLeft w:val="0"/>
          <w:marRight w:val="0"/>
          <w:marTop w:val="0"/>
          <w:marBottom w:val="0"/>
          <w:divBdr>
            <w:top w:val="none" w:sz="0" w:space="0" w:color="auto"/>
            <w:left w:val="none" w:sz="0" w:space="0" w:color="auto"/>
            <w:bottom w:val="none" w:sz="0" w:space="0" w:color="auto"/>
            <w:right w:val="none" w:sz="0" w:space="0" w:color="auto"/>
          </w:divBdr>
          <w:divsChild>
            <w:div w:id="2136437951">
              <w:marLeft w:val="0"/>
              <w:marRight w:val="0"/>
              <w:marTop w:val="0"/>
              <w:marBottom w:val="0"/>
              <w:divBdr>
                <w:top w:val="none" w:sz="0" w:space="0" w:color="auto"/>
                <w:left w:val="none" w:sz="0" w:space="0" w:color="auto"/>
                <w:bottom w:val="none" w:sz="0" w:space="0" w:color="auto"/>
                <w:right w:val="none" w:sz="0" w:space="0" w:color="auto"/>
              </w:divBdr>
              <w:divsChild>
                <w:div w:id="1455055882">
                  <w:marLeft w:val="0"/>
                  <w:marRight w:val="0"/>
                  <w:marTop w:val="0"/>
                  <w:marBottom w:val="0"/>
                  <w:divBdr>
                    <w:top w:val="none" w:sz="0" w:space="0" w:color="auto"/>
                    <w:left w:val="none" w:sz="0" w:space="0" w:color="auto"/>
                    <w:bottom w:val="none" w:sz="0" w:space="0" w:color="auto"/>
                    <w:right w:val="none" w:sz="0" w:space="0" w:color="auto"/>
                  </w:divBdr>
                  <w:divsChild>
                    <w:div w:id="1167592508">
                      <w:marLeft w:val="0"/>
                      <w:marRight w:val="0"/>
                      <w:marTop w:val="0"/>
                      <w:marBottom w:val="0"/>
                      <w:divBdr>
                        <w:top w:val="none" w:sz="0" w:space="0" w:color="auto"/>
                        <w:left w:val="none" w:sz="0" w:space="0" w:color="auto"/>
                        <w:bottom w:val="none" w:sz="0" w:space="0" w:color="auto"/>
                        <w:right w:val="none" w:sz="0" w:space="0" w:color="auto"/>
                      </w:divBdr>
                      <w:divsChild>
                        <w:div w:id="155651755">
                          <w:marLeft w:val="0"/>
                          <w:marRight w:val="0"/>
                          <w:marTop w:val="0"/>
                          <w:marBottom w:val="0"/>
                          <w:divBdr>
                            <w:top w:val="none" w:sz="0" w:space="0" w:color="auto"/>
                            <w:left w:val="none" w:sz="0" w:space="0" w:color="auto"/>
                            <w:bottom w:val="none" w:sz="0" w:space="0" w:color="auto"/>
                            <w:right w:val="none" w:sz="0" w:space="0" w:color="auto"/>
                          </w:divBdr>
                          <w:divsChild>
                            <w:div w:id="6472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451910">
      <w:bodyDiv w:val="1"/>
      <w:marLeft w:val="0"/>
      <w:marRight w:val="0"/>
      <w:marTop w:val="0"/>
      <w:marBottom w:val="0"/>
      <w:divBdr>
        <w:top w:val="none" w:sz="0" w:space="0" w:color="auto"/>
        <w:left w:val="none" w:sz="0" w:space="0" w:color="auto"/>
        <w:bottom w:val="none" w:sz="0" w:space="0" w:color="auto"/>
        <w:right w:val="none" w:sz="0" w:space="0" w:color="auto"/>
      </w:divBdr>
    </w:div>
    <w:div w:id="541678058">
      <w:bodyDiv w:val="1"/>
      <w:marLeft w:val="0"/>
      <w:marRight w:val="0"/>
      <w:marTop w:val="0"/>
      <w:marBottom w:val="0"/>
      <w:divBdr>
        <w:top w:val="none" w:sz="0" w:space="0" w:color="auto"/>
        <w:left w:val="none" w:sz="0" w:space="0" w:color="auto"/>
        <w:bottom w:val="none" w:sz="0" w:space="0" w:color="auto"/>
        <w:right w:val="none" w:sz="0" w:space="0" w:color="auto"/>
      </w:divBdr>
    </w:div>
    <w:div w:id="542988738">
      <w:bodyDiv w:val="1"/>
      <w:marLeft w:val="0"/>
      <w:marRight w:val="0"/>
      <w:marTop w:val="0"/>
      <w:marBottom w:val="0"/>
      <w:divBdr>
        <w:top w:val="none" w:sz="0" w:space="0" w:color="auto"/>
        <w:left w:val="none" w:sz="0" w:space="0" w:color="auto"/>
        <w:bottom w:val="none" w:sz="0" w:space="0" w:color="auto"/>
        <w:right w:val="none" w:sz="0" w:space="0" w:color="auto"/>
      </w:divBdr>
    </w:div>
    <w:div w:id="559638531">
      <w:bodyDiv w:val="1"/>
      <w:marLeft w:val="0"/>
      <w:marRight w:val="0"/>
      <w:marTop w:val="0"/>
      <w:marBottom w:val="0"/>
      <w:divBdr>
        <w:top w:val="none" w:sz="0" w:space="0" w:color="auto"/>
        <w:left w:val="none" w:sz="0" w:space="0" w:color="auto"/>
        <w:bottom w:val="none" w:sz="0" w:space="0" w:color="auto"/>
        <w:right w:val="none" w:sz="0" w:space="0" w:color="auto"/>
      </w:divBdr>
    </w:div>
    <w:div w:id="688802322">
      <w:bodyDiv w:val="1"/>
      <w:marLeft w:val="0"/>
      <w:marRight w:val="0"/>
      <w:marTop w:val="0"/>
      <w:marBottom w:val="0"/>
      <w:divBdr>
        <w:top w:val="none" w:sz="0" w:space="0" w:color="auto"/>
        <w:left w:val="none" w:sz="0" w:space="0" w:color="auto"/>
        <w:bottom w:val="none" w:sz="0" w:space="0" w:color="auto"/>
        <w:right w:val="none" w:sz="0" w:space="0" w:color="auto"/>
      </w:divBdr>
    </w:div>
    <w:div w:id="703288702">
      <w:bodyDiv w:val="1"/>
      <w:marLeft w:val="0"/>
      <w:marRight w:val="0"/>
      <w:marTop w:val="0"/>
      <w:marBottom w:val="0"/>
      <w:divBdr>
        <w:top w:val="none" w:sz="0" w:space="0" w:color="auto"/>
        <w:left w:val="none" w:sz="0" w:space="0" w:color="auto"/>
        <w:bottom w:val="none" w:sz="0" w:space="0" w:color="auto"/>
        <w:right w:val="none" w:sz="0" w:space="0" w:color="auto"/>
      </w:divBdr>
    </w:div>
    <w:div w:id="716859394">
      <w:bodyDiv w:val="1"/>
      <w:marLeft w:val="0"/>
      <w:marRight w:val="0"/>
      <w:marTop w:val="0"/>
      <w:marBottom w:val="0"/>
      <w:divBdr>
        <w:top w:val="none" w:sz="0" w:space="0" w:color="auto"/>
        <w:left w:val="none" w:sz="0" w:space="0" w:color="auto"/>
        <w:bottom w:val="none" w:sz="0" w:space="0" w:color="auto"/>
        <w:right w:val="none" w:sz="0" w:space="0" w:color="auto"/>
      </w:divBdr>
    </w:div>
    <w:div w:id="961031271">
      <w:bodyDiv w:val="1"/>
      <w:marLeft w:val="0"/>
      <w:marRight w:val="0"/>
      <w:marTop w:val="0"/>
      <w:marBottom w:val="0"/>
      <w:divBdr>
        <w:top w:val="none" w:sz="0" w:space="0" w:color="auto"/>
        <w:left w:val="none" w:sz="0" w:space="0" w:color="auto"/>
        <w:bottom w:val="none" w:sz="0" w:space="0" w:color="auto"/>
        <w:right w:val="none" w:sz="0" w:space="0" w:color="auto"/>
      </w:divBdr>
    </w:div>
    <w:div w:id="1167861424">
      <w:bodyDiv w:val="1"/>
      <w:marLeft w:val="0"/>
      <w:marRight w:val="0"/>
      <w:marTop w:val="0"/>
      <w:marBottom w:val="0"/>
      <w:divBdr>
        <w:top w:val="none" w:sz="0" w:space="0" w:color="auto"/>
        <w:left w:val="none" w:sz="0" w:space="0" w:color="auto"/>
        <w:bottom w:val="none" w:sz="0" w:space="0" w:color="auto"/>
        <w:right w:val="none" w:sz="0" w:space="0" w:color="auto"/>
      </w:divBdr>
    </w:div>
    <w:div w:id="1182862031">
      <w:bodyDiv w:val="1"/>
      <w:marLeft w:val="0"/>
      <w:marRight w:val="0"/>
      <w:marTop w:val="0"/>
      <w:marBottom w:val="0"/>
      <w:divBdr>
        <w:top w:val="none" w:sz="0" w:space="0" w:color="auto"/>
        <w:left w:val="none" w:sz="0" w:space="0" w:color="auto"/>
        <w:bottom w:val="none" w:sz="0" w:space="0" w:color="auto"/>
        <w:right w:val="none" w:sz="0" w:space="0" w:color="auto"/>
      </w:divBdr>
    </w:div>
    <w:div w:id="1204252342">
      <w:bodyDiv w:val="1"/>
      <w:marLeft w:val="0"/>
      <w:marRight w:val="0"/>
      <w:marTop w:val="0"/>
      <w:marBottom w:val="0"/>
      <w:divBdr>
        <w:top w:val="none" w:sz="0" w:space="0" w:color="auto"/>
        <w:left w:val="none" w:sz="0" w:space="0" w:color="auto"/>
        <w:bottom w:val="none" w:sz="0" w:space="0" w:color="auto"/>
        <w:right w:val="none" w:sz="0" w:space="0" w:color="auto"/>
      </w:divBdr>
    </w:div>
    <w:div w:id="1241014816">
      <w:bodyDiv w:val="1"/>
      <w:marLeft w:val="0"/>
      <w:marRight w:val="0"/>
      <w:marTop w:val="0"/>
      <w:marBottom w:val="0"/>
      <w:divBdr>
        <w:top w:val="none" w:sz="0" w:space="0" w:color="auto"/>
        <w:left w:val="none" w:sz="0" w:space="0" w:color="auto"/>
        <w:bottom w:val="none" w:sz="0" w:space="0" w:color="auto"/>
        <w:right w:val="none" w:sz="0" w:space="0" w:color="auto"/>
      </w:divBdr>
    </w:div>
    <w:div w:id="1258715998">
      <w:bodyDiv w:val="1"/>
      <w:marLeft w:val="0"/>
      <w:marRight w:val="0"/>
      <w:marTop w:val="0"/>
      <w:marBottom w:val="0"/>
      <w:divBdr>
        <w:top w:val="none" w:sz="0" w:space="0" w:color="auto"/>
        <w:left w:val="none" w:sz="0" w:space="0" w:color="auto"/>
        <w:bottom w:val="none" w:sz="0" w:space="0" w:color="auto"/>
        <w:right w:val="none" w:sz="0" w:space="0" w:color="auto"/>
      </w:divBdr>
    </w:div>
    <w:div w:id="1856069335">
      <w:bodyDiv w:val="1"/>
      <w:marLeft w:val="0"/>
      <w:marRight w:val="0"/>
      <w:marTop w:val="0"/>
      <w:marBottom w:val="0"/>
      <w:divBdr>
        <w:top w:val="none" w:sz="0" w:space="0" w:color="auto"/>
        <w:left w:val="none" w:sz="0" w:space="0" w:color="auto"/>
        <w:bottom w:val="none" w:sz="0" w:space="0" w:color="auto"/>
        <w:right w:val="none" w:sz="0" w:space="0" w:color="auto"/>
      </w:divBdr>
    </w:div>
    <w:div w:id="1887333140">
      <w:bodyDiv w:val="1"/>
      <w:marLeft w:val="0"/>
      <w:marRight w:val="0"/>
      <w:marTop w:val="0"/>
      <w:marBottom w:val="0"/>
      <w:divBdr>
        <w:top w:val="none" w:sz="0" w:space="0" w:color="auto"/>
        <w:left w:val="none" w:sz="0" w:space="0" w:color="auto"/>
        <w:bottom w:val="none" w:sz="0" w:space="0" w:color="auto"/>
        <w:right w:val="none" w:sz="0" w:space="0" w:color="auto"/>
      </w:divBdr>
    </w:div>
    <w:div w:id="2053384171">
      <w:bodyDiv w:val="1"/>
      <w:marLeft w:val="0"/>
      <w:marRight w:val="0"/>
      <w:marTop w:val="0"/>
      <w:marBottom w:val="0"/>
      <w:divBdr>
        <w:top w:val="none" w:sz="0" w:space="0" w:color="auto"/>
        <w:left w:val="none" w:sz="0" w:space="0" w:color="auto"/>
        <w:bottom w:val="none" w:sz="0" w:space="0" w:color="auto"/>
        <w:right w:val="none" w:sz="0" w:space="0" w:color="auto"/>
      </w:divBdr>
    </w:div>
    <w:div w:id="2060862834">
      <w:bodyDiv w:val="1"/>
      <w:marLeft w:val="0"/>
      <w:marRight w:val="0"/>
      <w:marTop w:val="0"/>
      <w:marBottom w:val="0"/>
      <w:divBdr>
        <w:top w:val="none" w:sz="0" w:space="0" w:color="auto"/>
        <w:left w:val="none" w:sz="0" w:space="0" w:color="auto"/>
        <w:bottom w:val="none" w:sz="0" w:space="0" w:color="auto"/>
        <w:right w:val="none" w:sz="0" w:space="0" w:color="auto"/>
      </w:divBdr>
      <w:divsChild>
        <w:div w:id="652609373">
          <w:marLeft w:val="0"/>
          <w:marRight w:val="0"/>
          <w:marTop w:val="0"/>
          <w:marBottom w:val="0"/>
          <w:divBdr>
            <w:top w:val="none" w:sz="0" w:space="0" w:color="auto"/>
            <w:left w:val="none" w:sz="0" w:space="0" w:color="auto"/>
            <w:bottom w:val="none" w:sz="0" w:space="0" w:color="auto"/>
            <w:right w:val="none" w:sz="0" w:space="0" w:color="auto"/>
          </w:divBdr>
          <w:divsChild>
            <w:div w:id="1225720580">
              <w:marLeft w:val="0"/>
              <w:marRight w:val="0"/>
              <w:marTop w:val="0"/>
              <w:marBottom w:val="0"/>
              <w:divBdr>
                <w:top w:val="none" w:sz="0" w:space="0" w:color="auto"/>
                <w:left w:val="none" w:sz="0" w:space="0" w:color="auto"/>
                <w:bottom w:val="none" w:sz="0" w:space="0" w:color="auto"/>
                <w:right w:val="none" w:sz="0" w:space="0" w:color="auto"/>
              </w:divBdr>
              <w:divsChild>
                <w:div w:id="1273441822">
                  <w:marLeft w:val="0"/>
                  <w:marRight w:val="0"/>
                  <w:marTop w:val="0"/>
                  <w:marBottom w:val="0"/>
                  <w:divBdr>
                    <w:top w:val="none" w:sz="0" w:space="0" w:color="auto"/>
                    <w:left w:val="none" w:sz="0" w:space="0" w:color="auto"/>
                    <w:bottom w:val="none" w:sz="0" w:space="0" w:color="auto"/>
                    <w:right w:val="none" w:sz="0" w:space="0" w:color="auto"/>
                  </w:divBdr>
                  <w:divsChild>
                    <w:div w:id="497691756">
                      <w:marLeft w:val="0"/>
                      <w:marRight w:val="0"/>
                      <w:marTop w:val="0"/>
                      <w:marBottom w:val="0"/>
                      <w:divBdr>
                        <w:top w:val="none" w:sz="0" w:space="0" w:color="auto"/>
                        <w:left w:val="none" w:sz="0" w:space="0" w:color="auto"/>
                        <w:bottom w:val="none" w:sz="0" w:space="0" w:color="auto"/>
                        <w:right w:val="none" w:sz="0" w:space="0" w:color="auto"/>
                      </w:divBdr>
                      <w:divsChild>
                        <w:div w:id="1545631860">
                          <w:marLeft w:val="0"/>
                          <w:marRight w:val="0"/>
                          <w:marTop w:val="0"/>
                          <w:marBottom w:val="0"/>
                          <w:divBdr>
                            <w:top w:val="none" w:sz="0" w:space="0" w:color="auto"/>
                            <w:left w:val="none" w:sz="0" w:space="0" w:color="auto"/>
                            <w:bottom w:val="none" w:sz="0" w:space="0" w:color="auto"/>
                            <w:right w:val="none" w:sz="0" w:space="0" w:color="auto"/>
                          </w:divBdr>
                          <w:divsChild>
                            <w:div w:id="11678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ozgur.turkeri@hmb.gov.tr" TargetMode="External"/><Relationship Id="rId21" Type="http://schemas.openxmlformats.org/officeDocument/2006/relationships/hyperlink" Target="https://usc-word-edit.officeapps.live.com/we/wordeditorframe.aspx?ui=en-US&amp;rs=en-US&amp;actnavid=eyJjIjo2OTk3MzA2MDR9&amp;wopisrc=https%3A%2F%2Fworldbankgroup-my.sharepoint.com%2Fpersonal%2Fyakcollu_worldbank_org%2F_vti_bin%2Fwopi.ashx%2Ffiles%2Fe707eb6c377a4d31a071760d257a38bb&amp;wdenableroaming=1&amp;mscc=1&amp;wdodb=1&amp;hid=06AC1AA1-701F-5000-314D-D803156EFD0A.0&amp;uih=sharepointcom&amp;wdlcid=en-US&amp;jsapi=1&amp;jsapiver=v2&amp;corrid=98d52f8e-e63f-2e38-f681-110f952976ff&amp;usid=98d52f8e-e63f-2e38-f681-110f952976ff&amp;newsession=1&amp;sftc=1&amp;uihit=docaspx&amp;muv=1&amp;cac=1&amp;sams=1&amp;mtf=1&amp;sfp=1&amp;sdp=1&amp;hch=1&amp;hwfh=1&amp;dchat=1&amp;sc=%7B%22pmo%22%3A%22https%3A%2F%2Fworldbankgroup-my.sharepoint.com%22%2C%22pmshare%22%3Atrue%7D&amp;ctp=LeastProtected&amp;rct=Normal&amp;wdorigin=Outlook-Body.Sharing.DirectLink&amp;wdhostclicktime=1711956788428&amp;instantedit=1&amp;wopicomplete=1&amp;wdredirectionreason=Unified_SingleFlush" TargetMode="External"/><Relationship Id="rId42" Type="http://schemas.openxmlformats.org/officeDocument/2006/relationships/hyperlink" Target="mailto:yasarm@ebrd.com" TargetMode="External"/><Relationship Id="rId47" Type="http://schemas.openxmlformats.org/officeDocument/2006/relationships/hyperlink" Target="mailto:emermer@worldbank.org" TargetMode="External"/><Relationship Id="rId63" Type="http://schemas.openxmlformats.org/officeDocument/2006/relationships/hyperlink" Target="mailto:TEZCANC@ebrd.com" TargetMode="External"/><Relationship Id="rId68" Type="http://schemas.openxmlformats.org/officeDocument/2006/relationships/hyperlink" Target="mailto:CalderoM@ebrd.com" TargetMode="External"/><Relationship Id="rId16" Type="http://schemas.openxmlformats.org/officeDocument/2006/relationships/chart" Target="charts/chart2.xml"/><Relationship Id="rId11" Type="http://schemas.openxmlformats.org/officeDocument/2006/relationships/footer" Target="footer1.xml"/><Relationship Id="rId24" Type="http://schemas.openxmlformats.org/officeDocument/2006/relationships/hyperlink" Target="mailto:murat.akgunduz@teias.gov.tr" TargetMode="External"/><Relationship Id="rId32" Type="http://schemas.openxmlformats.org/officeDocument/2006/relationships/hyperlink" Target="mailto:shusain3@ifc.org" TargetMode="External"/><Relationship Id="rId37" Type="http://schemas.openxmlformats.org/officeDocument/2006/relationships/hyperlink" Target="mailto:nseckinulgen@gmail.com" TargetMode="External"/><Relationship Id="rId40" Type="http://schemas.openxmlformats.org/officeDocument/2006/relationships/hyperlink" Target="mailto:KILICS@ebrd.com" TargetMode="External"/><Relationship Id="rId45" Type="http://schemas.openxmlformats.org/officeDocument/2006/relationships/hyperlink" Target="mailto:adlee@worldbank.org" TargetMode="External"/><Relationship Id="rId53" Type="http://schemas.openxmlformats.org/officeDocument/2006/relationships/hyperlink" Target="mailto:favci@ifc.org" TargetMode="External"/><Relationship Id="rId58" Type="http://schemas.openxmlformats.org/officeDocument/2006/relationships/hyperlink" Target="mailto:iklim@hmb.gov.tr" TargetMode="External"/><Relationship Id="rId66" Type="http://schemas.openxmlformats.org/officeDocument/2006/relationships/hyperlink" Target="mailto:DADIVANT@ebrd.com" TargetMode="External"/><Relationship Id="rId74" Type="http://schemas.openxmlformats.org/officeDocument/2006/relationships/hyperlink" Target="mailto:gertemir@enerji.gov.tr"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ASKINM@ebrd.com" TargetMode="External"/><Relationship Id="rId19" Type="http://schemas.openxmlformats.org/officeDocument/2006/relationships/hyperlink" Target="https://usc-word-edit.officeapps.live.com/we/wordeditorframe.aspx?ui=en-US&amp;rs=en-US&amp;actnavid=eyJjIjo2OTk3MzA2MDR9&amp;wopisrc=https%3A%2F%2Fworldbankgroup-my.sharepoint.com%2Fpersonal%2Fyakcollu_worldbank_org%2F_vti_bin%2Fwopi.ashx%2Ffiles%2Fe707eb6c377a4d31a071760d257a38bb&amp;wdenableroaming=1&amp;mscc=1&amp;wdodb=1&amp;hid=06AC1AA1-701F-5000-314D-D803156EFD0A.0&amp;uih=sharepointcom&amp;wdlcid=en-US&amp;jsapi=1&amp;jsapiver=v2&amp;corrid=98d52f8e-e63f-2e38-f681-110f952976ff&amp;usid=98d52f8e-e63f-2e38-f681-110f952976ff&amp;newsession=1&amp;sftc=1&amp;uihit=docaspx&amp;muv=1&amp;cac=1&amp;sams=1&amp;mtf=1&amp;sfp=1&amp;sdp=1&amp;hch=1&amp;hwfh=1&amp;dchat=1&amp;sc=%7B%22pmo%22%3A%22https%3A%2F%2Fworldbankgroup-my.sharepoint.com%22%2C%22pmshare%22%3Atrue%7D&amp;ctp=LeastProtected&amp;rct=Normal&amp;wdorigin=Outlook-Body.Sharing.DirectLink&amp;wdhostclicktime=1711956788428&amp;instantedit=1&amp;wopicomplete=1&amp;wdredirectionreason=Unified_SingleFlush" TargetMode="External"/><Relationship Id="rId14" Type="http://schemas.openxmlformats.org/officeDocument/2006/relationships/footer" Target="footer3.xml"/><Relationship Id="rId22" Type="http://schemas.openxmlformats.org/officeDocument/2006/relationships/hyperlink" Target="mailto:nevin.erturk@teias.gov.tr" TargetMode="External"/><Relationship Id="rId27" Type="http://schemas.openxmlformats.org/officeDocument/2006/relationships/hyperlink" Target="mailto:ebostanci@enerji.gov.tr" TargetMode="External"/><Relationship Id="rId30" Type="http://schemas.openxmlformats.org/officeDocument/2006/relationships/hyperlink" Target="mailto:mmeyer1@worldbank.org" TargetMode="External"/><Relationship Id="rId35" Type="http://schemas.openxmlformats.org/officeDocument/2006/relationships/hyperlink" Target="mailto:oozden@worldbank.org" TargetMode="External"/><Relationship Id="rId43" Type="http://schemas.openxmlformats.org/officeDocument/2006/relationships/hyperlink" Target="mailto:TEZCANC@ebrd.com" TargetMode="External"/><Relationship Id="rId48" Type="http://schemas.openxmlformats.org/officeDocument/2006/relationships/hyperlink" Target="mailto:jpannett@cif.org" TargetMode="External"/><Relationship Id="rId56" Type="http://schemas.openxmlformats.org/officeDocument/2006/relationships/hyperlink" Target="mailto:emermer@worldbank.org" TargetMode="External"/><Relationship Id="rId64" Type="http://schemas.openxmlformats.org/officeDocument/2006/relationships/hyperlink" Target="mailto:CarrareC@ebrd.com" TargetMode="External"/><Relationship Id="rId69" Type="http://schemas.openxmlformats.org/officeDocument/2006/relationships/hyperlink" Target="mailto:TumerO@ebrd.com" TargetMode="External"/><Relationship Id="rId77" Type="http://schemas.openxmlformats.org/officeDocument/2006/relationships/hyperlink" Target="mailto:ebostanci@enerji.gov.tr" TargetMode="External"/><Relationship Id="rId8" Type="http://schemas.openxmlformats.org/officeDocument/2006/relationships/image" Target="media/image1.png"/><Relationship Id="rId51" Type="http://schemas.openxmlformats.org/officeDocument/2006/relationships/hyperlink" Target="mailto:ebostanci@enerji.gov.tr" TargetMode="External"/><Relationship Id="rId72" Type="http://schemas.openxmlformats.org/officeDocument/2006/relationships/hyperlink" Target="mailto:fvandervleuten@worldbank.or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mailto:tuba.yalim@hmb.gov.tr" TargetMode="External"/><Relationship Id="rId33" Type="http://schemas.openxmlformats.org/officeDocument/2006/relationships/hyperlink" Target="mailto:favci@ifc.org" TargetMode="External"/><Relationship Id="rId38" Type="http://schemas.openxmlformats.org/officeDocument/2006/relationships/hyperlink" Target="mailto:dmorris3@worldbank.org" TargetMode="External"/><Relationship Id="rId46" Type="http://schemas.openxmlformats.org/officeDocument/2006/relationships/hyperlink" Target="mailto:sduman@worldbank.org" TargetMode="External"/><Relationship Id="rId59" Type="http://schemas.openxmlformats.org/officeDocument/2006/relationships/hyperlink" Target="mailto:manchans@ebrd.com" TargetMode="External"/><Relationship Id="rId67" Type="http://schemas.openxmlformats.org/officeDocument/2006/relationships/hyperlink" Target="mailto:TastekiE@ebrd.com" TargetMode="External"/><Relationship Id="rId20" Type="http://schemas.openxmlformats.org/officeDocument/2006/relationships/hyperlink" Target="https://usc-word-edit.officeapps.live.com/we/wordeditorframe.aspx?ui=en-US&amp;rs=en-US&amp;actnavid=eyJjIjo2OTk3MzA2MDR9&amp;wopisrc=https%3A%2F%2Fworldbankgroup-my.sharepoint.com%2Fpersonal%2Fyakcollu_worldbank_org%2F_vti_bin%2Fwopi.ashx%2Ffiles%2Fe707eb6c377a4d31a071760d257a38bb&amp;wdenableroaming=1&amp;mscc=1&amp;wdodb=1&amp;hid=06AC1AA1-701F-5000-314D-D803156EFD0A.0&amp;uih=sharepointcom&amp;wdlcid=en-US&amp;jsapi=1&amp;jsapiver=v2&amp;corrid=98d52f8e-e63f-2e38-f681-110f952976ff&amp;usid=98d52f8e-e63f-2e38-f681-110f952976ff&amp;newsession=1&amp;sftc=1&amp;uihit=docaspx&amp;muv=1&amp;cac=1&amp;sams=1&amp;mtf=1&amp;sfp=1&amp;sdp=1&amp;hch=1&amp;hwfh=1&amp;dchat=1&amp;sc=%7B%22pmo%22%3A%22https%3A%2F%2Fworldbankgroup-my.sharepoint.com%22%2C%22pmshare%22%3Atrue%7D&amp;ctp=LeastProtected&amp;rct=Normal&amp;wdorigin=Outlook-Body.Sharing.DirectLink&amp;wdhostclicktime=1711956788428&amp;instantedit=1&amp;wopicomplete=1&amp;wdredirectionreason=Unified_SingleFlush" TargetMode="External"/><Relationship Id="rId41" Type="http://schemas.openxmlformats.org/officeDocument/2006/relationships/hyperlink" Target="mailto:ASKINM@ebrd.com" TargetMode="External"/><Relationship Id="rId54" Type="http://schemas.openxmlformats.org/officeDocument/2006/relationships/hyperlink" Target="mailto:shusain3@ifc.org" TargetMode="External"/><Relationship Id="rId62" Type="http://schemas.openxmlformats.org/officeDocument/2006/relationships/hyperlink" Target="mailto:ManagadD@ebrd.com" TargetMode="External"/><Relationship Id="rId70" Type="http://schemas.openxmlformats.org/officeDocument/2006/relationships/hyperlink" Target="mailto:IroA@ebrd.com" TargetMode="External"/><Relationship Id="rId75" Type="http://schemas.openxmlformats.org/officeDocument/2006/relationships/hyperlink" Target="mailto:iklim@hmb.gov.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mailto:serhat.metin@teias.gov.tr" TargetMode="External"/><Relationship Id="rId28" Type="http://schemas.openxmlformats.org/officeDocument/2006/relationships/hyperlink" Target="mailto:tmadenyika@ifc.org" TargetMode="External"/><Relationship Id="rId36" Type="http://schemas.openxmlformats.org/officeDocument/2006/relationships/hyperlink" Target="mailto:dchattopadhyay@worldbank.org" TargetMode="External"/><Relationship Id="rId49" Type="http://schemas.openxmlformats.org/officeDocument/2006/relationships/hyperlink" Target="mailto:danielmorris@cif.org" TargetMode="External"/><Relationship Id="rId57" Type="http://schemas.openxmlformats.org/officeDocument/2006/relationships/hyperlink" Target="mailto:bucanlar@worldbank.org" TargetMode="External"/><Relationship Id="rId10" Type="http://schemas.openxmlformats.org/officeDocument/2006/relationships/header" Target="header2.xml"/><Relationship Id="rId31" Type="http://schemas.openxmlformats.org/officeDocument/2006/relationships/hyperlink" Target="mailto:ashlyakhtenko@ifc.org" TargetMode="External"/><Relationship Id="rId44" Type="http://schemas.openxmlformats.org/officeDocument/2006/relationships/hyperlink" Target="mailto:bchuluunbat1@worldbank.org" TargetMode="External"/><Relationship Id="rId52" Type="http://schemas.openxmlformats.org/officeDocument/2006/relationships/hyperlink" Target="mailto:gertemir@enerji.gov.tr" TargetMode="External"/><Relationship Id="rId60" Type="http://schemas.openxmlformats.org/officeDocument/2006/relationships/hyperlink" Target="mailto:KILICS@ebrd.com" TargetMode="External"/><Relationship Id="rId65" Type="http://schemas.openxmlformats.org/officeDocument/2006/relationships/hyperlink" Target="mailto:ManchanS@ebrd.com" TargetMode="External"/><Relationship Id="rId73" Type="http://schemas.openxmlformats.org/officeDocument/2006/relationships/hyperlink" Target="mailto:mmeyer1@worldbank.or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chart" Target="charts/chart3.xml"/><Relationship Id="rId39" Type="http://schemas.openxmlformats.org/officeDocument/2006/relationships/hyperlink" Target="mailto:jpannett@worldbank.org" TargetMode="External"/><Relationship Id="rId34" Type="http://schemas.openxmlformats.org/officeDocument/2006/relationships/hyperlink" Target="mailto:sgarnier@worldbank.org" TargetMode="External"/><Relationship Id="rId50" Type="http://schemas.openxmlformats.org/officeDocument/2006/relationships/hyperlink" Target="mailto:tuba.yalim@hmb.gov.tr" TargetMode="External"/><Relationship Id="rId55" Type="http://schemas.openxmlformats.org/officeDocument/2006/relationships/hyperlink" Target="mailto:elkarakas@ifc.org" TargetMode="External"/><Relationship Id="rId76" Type="http://schemas.openxmlformats.org/officeDocument/2006/relationships/hyperlink" Target="mailto:arda.uludag@hmb.gov.tr" TargetMode="External"/><Relationship Id="rId7" Type="http://schemas.openxmlformats.org/officeDocument/2006/relationships/endnotes" Target="endnotes.xml"/><Relationship Id="rId71" Type="http://schemas.openxmlformats.org/officeDocument/2006/relationships/hyperlink" Target="mailto:ozgur.turkeri@hmb.gov.tr" TargetMode="External"/><Relationship Id="rId2" Type="http://schemas.openxmlformats.org/officeDocument/2006/relationships/numbering" Target="numbering.xml"/><Relationship Id="rId29" Type="http://schemas.openxmlformats.org/officeDocument/2006/relationships/hyperlink" Target="mailto:fvandervleuten@worldbank.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klim.gov.tr/db/turkce/icerikler/files/undp_azaltim_spread.pdf" TargetMode="External"/><Relationship Id="rId7" Type="http://schemas.openxmlformats.org/officeDocument/2006/relationships/hyperlink" Target="https://www.climateinvestmentfunds.org/sites/cif_enc/files/knowledge-documents/tclp_workshop_signalsenergy_framework_may2021.pdf" TargetMode="External"/><Relationship Id="rId2" Type="http://schemas.openxmlformats.org/officeDocument/2006/relationships/hyperlink" Target="https://www.cif.org/knowledge-documents/rei-program-monitoring-and-reporting-toolkit" TargetMode="External"/><Relationship Id="rId1" Type="http://schemas.openxmlformats.org/officeDocument/2006/relationships/hyperlink" Target="https://www.sbb.gov.tr/wp-content/uploads/2023/09/Orta-Vadeli-Program_2024-2026.pdf" TargetMode="External"/><Relationship Id="rId6" Type="http://schemas.openxmlformats.org/officeDocument/2006/relationships/hyperlink" Target="https://www.climateinvestmentfunds.org/sites/cif_enc/files/knowledge-documents/tclp_workshop_updated_tc_concepts_may2021.pdf" TargetMode="External"/><Relationship Id="rId5" Type="http://schemas.openxmlformats.org/officeDocument/2006/relationships/hyperlink" Target="https://iklim.gov.tr/db/turkce/icerikler/files/%C4%B0klim%20De%C4%9Fi%C5%9Fikli%C4%9Fine%20Uyum%20Stratejisi%20ve%20Eylem%20Plan_%202024-2030.pdf" TargetMode="External"/><Relationship Id="rId4" Type="http://schemas.openxmlformats.org/officeDocument/2006/relationships/hyperlink" Target="https://iea.blob.core.windows.net/assets/bf862218-7fd8-4637-aca6-5a347b6ca4f1/IEA_Methodology_Emission_Factors_2023.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wb610797\AppData\Local\Microsoft\Windows\INetCache\Content.Outlook\PNJ8RJCF\Data_.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b610797\AppData\Local\Microsoft\Windows\INetCache\Content.Outlook\PNJ8RJCF\Data_.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b610797\AppData\Local\Microsoft\Windows\INetCache\Content.Outlook\PNJ8RJCF\Data_.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745771999392674E-2"/>
          <c:y val="4.1140732078271056E-2"/>
          <c:w val="0.91336251790350764"/>
          <c:h val="0.95885926792172893"/>
        </c:manualLayout>
      </c:layout>
      <c:pie3DChart>
        <c:varyColors val="1"/>
        <c:ser>
          <c:idx val="0"/>
          <c:order val="0"/>
          <c:explosion val="12"/>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115B-4740-BA04-74BA95999970}"/>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115B-4740-BA04-74BA95999970}"/>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115B-4740-BA04-74BA95999970}"/>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115B-4740-BA04-74BA95999970}"/>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115B-4740-BA04-74BA95999970}"/>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115B-4740-BA04-74BA95999970}"/>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115B-4740-BA04-74BA95999970}"/>
              </c:ext>
            </c:extLst>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extLst>
              <c:ext xmlns:c16="http://schemas.microsoft.com/office/drawing/2014/chart" uri="{C3380CC4-5D6E-409C-BE32-E72D297353CC}">
                <c16:uniqueId val="{0000000F-115B-4740-BA04-74BA95999970}"/>
              </c:ext>
            </c:extLst>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extLst>
              <c:ext xmlns:c16="http://schemas.microsoft.com/office/drawing/2014/chart" uri="{C3380CC4-5D6E-409C-BE32-E72D297353CC}">
                <c16:uniqueId val="{00000011-115B-4740-BA04-74BA95999970}"/>
              </c:ext>
            </c:extLst>
          </c:dPt>
          <c:dPt>
            <c:idx val="9"/>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extLst>
              <c:ext xmlns:c16="http://schemas.microsoft.com/office/drawing/2014/chart" uri="{C3380CC4-5D6E-409C-BE32-E72D297353CC}">
                <c16:uniqueId val="{00000013-115B-4740-BA04-74BA95999970}"/>
              </c:ext>
            </c:extLst>
          </c:dPt>
          <c:dPt>
            <c:idx val="10"/>
            <c:bubble3D val="0"/>
            <c:spPr>
              <a:solidFill>
                <a:schemeClr val="accent5">
                  <a:lumMod val="60000"/>
                  <a:alpha val="90000"/>
                </a:schemeClr>
              </a:solidFill>
              <a:ln w="19050">
                <a:solidFill>
                  <a:schemeClr val="accent5">
                    <a:lumMod val="60000"/>
                    <a:lumMod val="75000"/>
                  </a:schemeClr>
                </a:solid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extLst>
              <c:ext xmlns:c16="http://schemas.microsoft.com/office/drawing/2014/chart" uri="{C3380CC4-5D6E-409C-BE32-E72D297353CC}">
                <c16:uniqueId val="{00000015-115B-4740-BA04-74BA95999970}"/>
              </c:ext>
            </c:extLst>
          </c:dPt>
          <c:dLbls>
            <c:dLbl>
              <c:idx val="0"/>
              <c:layout>
                <c:manualLayout>
                  <c:x val="-0.15129707224297637"/>
                  <c:y val="8.660008879367237E-2"/>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1"/>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15B-4740-BA04-74BA95999970}"/>
                </c:ext>
              </c:extLst>
            </c:dLbl>
            <c:dLbl>
              <c:idx val="1"/>
              <c:layout>
                <c:manualLayout>
                  <c:x val="-0.20372182649794332"/>
                  <c:y val="-0.13054234162024614"/>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2"/>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15B-4740-BA04-74BA95999970}"/>
                </c:ext>
              </c:extLst>
            </c:dLbl>
            <c:dLbl>
              <c:idx val="2"/>
              <c:layout>
                <c:manualLayout>
                  <c:x val="-9.4406003388316298E-2"/>
                  <c:y val="-0.28972641567059337"/>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3"/>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15B-4740-BA04-74BA95999970}"/>
                </c:ext>
              </c:extLst>
            </c:dLbl>
            <c:dLbl>
              <c:idx val="3"/>
              <c:layout>
                <c:manualLayout>
                  <c:x val="0.1915586513224308"/>
                  <c:y val="-0.1413189332346115"/>
                </c:manualLayout>
              </c:layout>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4"/>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0824786324786324"/>
                      <c:h val="5.254972875226039E-2"/>
                    </c:manualLayout>
                  </c15:layout>
                </c:ext>
                <c:ext xmlns:c16="http://schemas.microsoft.com/office/drawing/2014/chart" uri="{C3380CC4-5D6E-409C-BE32-E72D297353CC}">
                  <c16:uniqueId val="{00000007-115B-4740-BA04-74BA95999970}"/>
                </c:ext>
              </c:extLst>
            </c:dLbl>
            <c:dLbl>
              <c:idx val="4"/>
              <c:layout>
                <c:manualLayout>
                  <c:x val="8.8116966148462178E-2"/>
                  <c:y val="-0.23871936893964205"/>
                </c:manualLayout>
              </c:layout>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5"/>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15B-4740-BA04-74BA95999970}"/>
                </c:ext>
              </c:extLst>
            </c:dLbl>
            <c:dLbl>
              <c:idx val="5"/>
              <c:layout>
                <c:manualLayout>
                  <c:x val="0.1150923682616596"/>
                  <c:y val="-0.28208198658711964"/>
                </c:manualLayout>
              </c:layout>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6"/>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15B-4740-BA04-74BA95999970}"/>
                </c:ext>
              </c:extLst>
            </c:dLbl>
            <c:dLbl>
              <c:idx val="6"/>
              <c:layout>
                <c:manualLayout>
                  <c:x val="0.16272360185746013"/>
                  <c:y val="-0.29830459483703786"/>
                </c:manualLayout>
              </c:layout>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1">
                          <a:lumMod val="60000"/>
                        </a:schemeClr>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1834393296991722"/>
                      <c:h val="5.9783001808318255E-2"/>
                    </c:manualLayout>
                  </c15:layout>
                </c:ext>
                <c:ext xmlns:c16="http://schemas.microsoft.com/office/drawing/2014/chart" uri="{C3380CC4-5D6E-409C-BE32-E72D297353CC}">
                  <c16:uniqueId val="{0000000D-115B-4740-BA04-74BA95999970}"/>
                </c:ext>
              </c:extLst>
            </c:dLbl>
            <c:dLbl>
              <c:idx val="7"/>
              <c:layout>
                <c:manualLayout>
                  <c:x val="0.20835823406689544"/>
                  <c:y val="-0.25114166108983221"/>
                </c:manualLayout>
              </c:layout>
              <c:spPr>
                <a:solidFill>
                  <a:schemeClr val="lt1">
                    <a:alpha val="90000"/>
                  </a:schemeClr>
                </a:solidFill>
                <a:ln w="12700" cap="flat" cmpd="sng" algn="ctr">
                  <a:solidFill>
                    <a:schemeClr val="accent2">
                      <a:lumMod val="60000"/>
                    </a:schemeClr>
                  </a:solidFill>
                  <a:round/>
                </a:ln>
                <a:effectLst>
                  <a:outerShdw blurRad="50800" dist="38100" dir="2700000" algn="tl" rotWithShape="0">
                    <a:schemeClr val="accent2">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2">
                          <a:lumMod val="60000"/>
                        </a:schemeClr>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2173076923076923"/>
                      <c:h val="4.8933092224231457E-2"/>
                    </c:manualLayout>
                  </c15:layout>
                </c:ext>
                <c:ext xmlns:c16="http://schemas.microsoft.com/office/drawing/2014/chart" uri="{C3380CC4-5D6E-409C-BE32-E72D297353CC}">
                  <c16:uniqueId val="{0000000F-115B-4740-BA04-74BA95999970}"/>
                </c:ext>
              </c:extLst>
            </c:dLbl>
            <c:dLbl>
              <c:idx val="8"/>
              <c:layout>
                <c:manualLayout>
                  <c:x val="0.19810274917558382"/>
                  <c:y val="1.6037220031040425E-2"/>
                </c:manualLayout>
              </c:layout>
              <c:spPr>
                <a:solidFill>
                  <a:schemeClr val="lt1">
                    <a:alpha val="90000"/>
                  </a:schemeClr>
                </a:solidFill>
                <a:ln w="12700" cap="flat" cmpd="sng" algn="ctr">
                  <a:solidFill>
                    <a:schemeClr val="accent3">
                      <a:lumMod val="60000"/>
                    </a:schemeClr>
                  </a:solidFill>
                  <a:round/>
                </a:ln>
                <a:effectLst>
                  <a:outerShdw blurRad="50800" dist="38100" dir="2700000" algn="tl" rotWithShape="0">
                    <a:schemeClr val="accent3">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3">
                          <a:lumMod val="60000"/>
                        </a:schemeClr>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3279914529914525"/>
                      <c:h val="4.5316455696202525E-2"/>
                    </c:manualLayout>
                  </c15:layout>
                </c:ext>
                <c:ext xmlns:c16="http://schemas.microsoft.com/office/drawing/2014/chart" uri="{C3380CC4-5D6E-409C-BE32-E72D297353CC}">
                  <c16:uniqueId val="{00000011-115B-4740-BA04-74BA95999970}"/>
                </c:ext>
              </c:extLst>
            </c:dLbl>
            <c:dLbl>
              <c:idx val="9"/>
              <c:layout>
                <c:manualLayout>
                  <c:x val="0.15358486439195101"/>
                  <c:y val="0.1214665888282952"/>
                </c:manualLayout>
              </c:layout>
              <c:spPr>
                <a:solidFill>
                  <a:schemeClr val="lt1">
                    <a:alpha val="90000"/>
                  </a:schemeClr>
                </a:solidFill>
                <a:ln w="12700" cap="flat" cmpd="sng" algn="ctr">
                  <a:solidFill>
                    <a:schemeClr val="accent4">
                      <a:lumMod val="60000"/>
                    </a:schemeClr>
                  </a:solidFill>
                  <a:round/>
                </a:ln>
                <a:effectLst>
                  <a:outerShdw blurRad="50800" dist="38100" dir="2700000" algn="tl" rotWithShape="0">
                    <a:schemeClr val="accent4">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4">
                          <a:lumMod val="60000"/>
                        </a:schemeClr>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115B-4740-BA04-74BA95999970}"/>
                </c:ext>
              </c:extLst>
            </c:dLbl>
            <c:dLbl>
              <c:idx val="10"/>
              <c:layout>
                <c:manualLayout>
                  <c:x val="6.3621886624184207E-2"/>
                  <c:y val="0.1376493264510068"/>
                </c:manualLayout>
              </c:layout>
              <c:spPr>
                <a:solidFill>
                  <a:schemeClr val="lt1">
                    <a:alpha val="90000"/>
                  </a:schemeClr>
                </a:solidFill>
                <a:ln w="12700" cap="flat" cmpd="sng" algn="ctr">
                  <a:solidFill>
                    <a:schemeClr val="accent5">
                      <a:lumMod val="60000"/>
                    </a:schemeClr>
                  </a:solidFill>
                  <a:round/>
                </a:ln>
                <a:effectLst>
                  <a:outerShdw blurRad="50800" dist="38100" dir="2700000" algn="tl" rotWithShape="0">
                    <a:schemeClr val="accent5">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5">
                          <a:lumMod val="60000"/>
                        </a:schemeClr>
                      </a:solidFill>
                      <a:effectLst/>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115B-4740-BA04-74BA95999970}"/>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accent1"/>
                    </a:solidFill>
                    <a:effectLst/>
                    <a:latin typeface="+mn-lt"/>
                    <a:ea typeface="+mn-ea"/>
                    <a:cs typeface="+mn-cs"/>
                  </a:defRPr>
                </a:pPr>
                <a:endParaRPr lang="en-US"/>
              </a:p>
            </c:txPr>
            <c:dLblPos val="inEnd"/>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'2023 Generation'!$B$22:$B$32</c:f>
              <c:strCache>
                <c:ptCount val="11"/>
                <c:pt idx="0">
                  <c:v>Natural Gas</c:v>
                </c:pt>
                <c:pt idx="1">
                  <c:v>Domestic Coal</c:v>
                </c:pt>
                <c:pt idx="2">
                  <c:v>Imp. Coal</c:v>
                </c:pt>
                <c:pt idx="3">
                  <c:v>Liquid Fuels</c:v>
                </c:pt>
                <c:pt idx="4">
                  <c:v>Waste Heat</c:v>
                </c:pt>
                <c:pt idx="5">
                  <c:v>Biomass</c:v>
                </c:pt>
                <c:pt idx="6">
                  <c:v>Geothermal</c:v>
                </c:pt>
                <c:pt idx="7">
                  <c:v>RoR Hydro</c:v>
                </c:pt>
                <c:pt idx="8">
                  <c:v>Resv. Hydro</c:v>
                </c:pt>
                <c:pt idx="9">
                  <c:v>Solar</c:v>
                </c:pt>
                <c:pt idx="10">
                  <c:v>Wind</c:v>
                </c:pt>
              </c:strCache>
            </c:strRef>
          </c:cat>
          <c:val>
            <c:numRef>
              <c:f>'2023 Generation'!$C$22:$C$32</c:f>
              <c:numCache>
                <c:formatCode>#,##0</c:formatCode>
                <c:ptCount val="11"/>
                <c:pt idx="0">
                  <c:v>67251288.817000002</c:v>
                </c:pt>
                <c:pt idx="1">
                  <c:v>45821138.19600001</c:v>
                </c:pt>
                <c:pt idx="2">
                  <c:v>72101484.658000007</c:v>
                </c:pt>
                <c:pt idx="3">
                  <c:v>1136009.584</c:v>
                </c:pt>
                <c:pt idx="4">
                  <c:v>952259.97300000011</c:v>
                </c:pt>
                <c:pt idx="5">
                  <c:v>8515879.0920000002</c:v>
                </c:pt>
                <c:pt idx="6">
                  <c:v>11059890.947000001</c:v>
                </c:pt>
                <c:pt idx="7">
                  <c:v>19490695.669999998</c:v>
                </c:pt>
                <c:pt idx="8">
                  <c:v>43091300.202999994</c:v>
                </c:pt>
                <c:pt idx="9">
                  <c:v>18788182.463999998</c:v>
                </c:pt>
                <c:pt idx="10">
                  <c:v>33874268.115000002</c:v>
                </c:pt>
              </c:numCache>
            </c:numRef>
          </c:val>
          <c:extLst>
            <c:ext xmlns:c16="http://schemas.microsoft.com/office/drawing/2014/chart" uri="{C3380CC4-5D6E-409C-BE32-E72D297353CC}">
              <c16:uniqueId val="{00000016-115B-4740-BA04-74BA95999970}"/>
            </c:ext>
          </c:extLst>
        </c:ser>
        <c:dLbls>
          <c:dLblPos val="inEnd"/>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4.3075870112674164E-2"/>
          <c:y val="6.9129952350393389E-2"/>
          <c:w val="0.13732674355554292"/>
          <c:h val="0.897967786263008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857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Installed Capacity Target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'Inst. Cap. Target'!$C$5</c:f>
              <c:strCache>
                <c:ptCount val="1"/>
                <c:pt idx="0">
                  <c:v>2023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'Inst. Cap. Target'!$B$6:$B$12</c:f>
              <c:strCache>
                <c:ptCount val="7"/>
                <c:pt idx="0">
                  <c:v>Coal</c:v>
                </c:pt>
                <c:pt idx="1">
                  <c:v>Gas</c:v>
                </c:pt>
                <c:pt idx="2">
                  <c:v>Nuclear</c:v>
                </c:pt>
                <c:pt idx="3">
                  <c:v>Hydro</c:v>
                </c:pt>
                <c:pt idx="4">
                  <c:v>Wind</c:v>
                </c:pt>
                <c:pt idx="5">
                  <c:v>Solar</c:v>
                </c:pt>
                <c:pt idx="6">
                  <c:v>Biomass + Geothermal</c:v>
                </c:pt>
              </c:strCache>
              <c:extLst/>
            </c:strRef>
          </c:cat>
          <c:val>
            <c:numRef>
              <c:f>'Inst. Cap. Target'!$C$6:$C$12</c:f>
              <c:numCache>
                <c:formatCode>General</c:formatCode>
                <c:ptCount val="7"/>
                <c:pt idx="0">
                  <c:v>21.8</c:v>
                </c:pt>
                <c:pt idx="1">
                  <c:v>25.4</c:v>
                </c:pt>
                <c:pt idx="2">
                  <c:v>0</c:v>
                </c:pt>
                <c:pt idx="3">
                  <c:v>31.8</c:v>
                </c:pt>
                <c:pt idx="4">
                  <c:v>11.7</c:v>
                </c:pt>
                <c:pt idx="5">
                  <c:v>11.3</c:v>
                </c:pt>
                <c:pt idx="6">
                  <c:v>4.0999999999999996</c:v>
                </c:pt>
              </c:numCache>
              <c:extLst/>
            </c:numRef>
          </c:val>
          <c:extLst>
            <c:ext xmlns:c16="http://schemas.microsoft.com/office/drawing/2014/chart" uri="{C3380CC4-5D6E-409C-BE32-E72D297353CC}">
              <c16:uniqueId val="{00000000-E129-4D58-8F22-B4B70DA79AB4}"/>
            </c:ext>
          </c:extLst>
        </c:ser>
        <c:ser>
          <c:idx val="1"/>
          <c:order val="1"/>
          <c:tx>
            <c:strRef>
              <c:f>'Inst. Cap. Target'!$D$5</c:f>
              <c:strCache>
                <c:ptCount val="1"/>
                <c:pt idx="0">
                  <c:v>2035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'Inst. Cap. Target'!$B$6:$B$12</c:f>
              <c:strCache>
                <c:ptCount val="7"/>
                <c:pt idx="0">
                  <c:v>Coal</c:v>
                </c:pt>
                <c:pt idx="1">
                  <c:v>Gas</c:v>
                </c:pt>
                <c:pt idx="2">
                  <c:v>Nuclear</c:v>
                </c:pt>
                <c:pt idx="3">
                  <c:v>Hydro</c:v>
                </c:pt>
                <c:pt idx="4">
                  <c:v>Wind</c:v>
                </c:pt>
                <c:pt idx="5">
                  <c:v>Solar</c:v>
                </c:pt>
                <c:pt idx="6">
                  <c:v>Biomass + Geothermal</c:v>
                </c:pt>
              </c:strCache>
              <c:extLst/>
            </c:strRef>
          </c:cat>
          <c:val>
            <c:numRef>
              <c:f>'Inst. Cap. Target'!$D$6:$D$12</c:f>
              <c:numCache>
                <c:formatCode>General</c:formatCode>
                <c:ptCount val="7"/>
                <c:pt idx="0">
                  <c:v>24.3</c:v>
                </c:pt>
                <c:pt idx="1">
                  <c:v>35.5</c:v>
                </c:pt>
                <c:pt idx="2">
                  <c:v>7.2</c:v>
                </c:pt>
                <c:pt idx="3">
                  <c:v>35.1</c:v>
                </c:pt>
                <c:pt idx="4">
                  <c:v>29.6</c:v>
                </c:pt>
                <c:pt idx="5">
                  <c:v>52.9</c:v>
                </c:pt>
                <c:pt idx="6">
                  <c:v>5.0999999999999996</c:v>
                </c:pt>
              </c:numCache>
              <c:extLst/>
            </c:numRef>
          </c:val>
          <c:extLst>
            <c:ext xmlns:c16="http://schemas.microsoft.com/office/drawing/2014/chart" uri="{C3380CC4-5D6E-409C-BE32-E72D297353CC}">
              <c16:uniqueId val="{00000001-E129-4D58-8F22-B4B70DA79AB4}"/>
            </c:ext>
          </c:extLst>
        </c:ser>
        <c:dLbls>
          <c:dLblPos val="outEnd"/>
          <c:showLegendKey val="0"/>
          <c:showVal val="1"/>
          <c:showCatName val="0"/>
          <c:showSerName val="0"/>
          <c:showPercent val="0"/>
          <c:showBubbleSize val="0"/>
        </c:dLbls>
        <c:gapWidth val="100"/>
        <c:overlap val="-15"/>
        <c:axId val="1948479744"/>
        <c:axId val="127950960"/>
      </c:barChart>
      <c:catAx>
        <c:axId val="194847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7950960"/>
        <c:crosses val="autoZero"/>
        <c:auto val="1"/>
        <c:lblAlgn val="ctr"/>
        <c:lblOffset val="100"/>
        <c:noMultiLvlLbl val="0"/>
      </c:catAx>
      <c:valAx>
        <c:axId val="127950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tr-TR"/>
                  <a:t>GW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48479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857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Development of Renewable Generation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863678697054364"/>
          <c:y val="0.14243471582181261"/>
          <c:w val="0.86448149259934881"/>
          <c:h val="0.57500544286802857"/>
        </c:manualLayout>
      </c:layout>
      <c:areaChart>
        <c:grouping val="stacked"/>
        <c:varyColors val="0"/>
        <c:ser>
          <c:idx val="1"/>
          <c:order val="0"/>
          <c:tx>
            <c:strRef>
              <c:f>'Renewable '!$E$49</c:f>
              <c:strCache>
                <c:ptCount val="1"/>
                <c:pt idx="0">
                  <c:v>DAM</c:v>
                </c:pt>
              </c:strCache>
            </c:strRef>
          </c:tx>
          <c:spPr>
            <a:solidFill>
              <a:schemeClr val="accent2"/>
            </a:solidFill>
            <a:ln>
              <a:noFill/>
            </a:ln>
            <a:effectLst/>
          </c:spPr>
          <c:cat>
            <c:numRef>
              <c:f>'Renewable '!$D$50:$D$72</c:f>
              <c:numCache>
                <c:formatCode>0</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'Renewable '!$E$50:$E$73</c:f>
              <c:numCache>
                <c:formatCode>#,##0.0</c:formatCode>
                <c:ptCount val="24"/>
                <c:pt idx="0">
                  <c:v>28788.858613</c:v>
                </c:pt>
                <c:pt idx="1">
                  <c:v>22231.212316500001</c:v>
                </c:pt>
                <c:pt idx="2">
                  <c:v>30799.3194</c:v>
                </c:pt>
                <c:pt idx="3">
                  <c:v>32636.109418700002</c:v>
                </c:pt>
                <c:pt idx="4">
                  <c:v>42871.078498000003</c:v>
                </c:pt>
                <c:pt idx="5">
                  <c:v>36827.401986999997</c:v>
                </c:pt>
                <c:pt idx="6">
                  <c:v>41291.150404499997</c:v>
                </c:pt>
                <c:pt idx="7">
                  <c:v>33320.259073000001</c:v>
                </c:pt>
                <c:pt idx="8">
                  <c:v>30436.0502008</c:v>
                </c:pt>
                <c:pt idx="9">
                  <c:v>30603.3207755</c:v>
                </c:pt>
                <c:pt idx="10">
                  <c:v>44468.436455000003</c:v>
                </c:pt>
                <c:pt idx="11">
                  <c:v>42315.496717333408</c:v>
                </c:pt>
                <c:pt idx="12">
                  <c:v>44856.440968000003</c:v>
                </c:pt>
                <c:pt idx="13">
                  <c:v>44849.073643759351</c:v>
                </c:pt>
                <c:pt idx="14">
                  <c:v>28565.356799403507</c:v>
                </c:pt>
                <c:pt idx="15">
                  <c:v>47514.054470352683</c:v>
                </c:pt>
                <c:pt idx="16">
                  <c:v>48962.058550385191</c:v>
                </c:pt>
                <c:pt idx="17">
                  <c:v>41312.577133118204</c:v>
                </c:pt>
                <c:pt idx="18">
                  <c:v>40972.075167000003</c:v>
                </c:pt>
                <c:pt idx="19">
                  <c:v>65926.203267999997</c:v>
                </c:pt>
                <c:pt idx="20">
                  <c:v>57463.929000479999</c:v>
                </c:pt>
                <c:pt idx="21">
                  <c:v>40746.293980729999</c:v>
                </c:pt>
                <c:pt idx="22">
                  <c:v>46657.939016966498</c:v>
                </c:pt>
                <c:pt idx="23">
                  <c:v>43091.3</c:v>
                </c:pt>
              </c:numCache>
            </c:numRef>
          </c:val>
          <c:extLst>
            <c:ext xmlns:c16="http://schemas.microsoft.com/office/drawing/2014/chart" uri="{C3380CC4-5D6E-409C-BE32-E72D297353CC}">
              <c16:uniqueId val="{00000000-788A-40D9-8774-2B26D8C52671}"/>
            </c:ext>
          </c:extLst>
        </c:ser>
        <c:ser>
          <c:idx val="2"/>
          <c:order val="1"/>
          <c:tx>
            <c:strRef>
              <c:f>'Renewable '!$F$49</c:f>
              <c:strCache>
                <c:ptCount val="1"/>
                <c:pt idx="0">
                  <c:v>Run of River</c:v>
                </c:pt>
              </c:strCache>
            </c:strRef>
          </c:tx>
          <c:spPr>
            <a:solidFill>
              <a:schemeClr val="accent3"/>
            </a:solidFill>
            <a:ln>
              <a:noFill/>
            </a:ln>
            <a:effectLst/>
          </c:spPr>
          <c:cat>
            <c:numRef>
              <c:f>'Renewable '!$D$50:$D$72</c:f>
              <c:numCache>
                <c:formatCode>0</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'Renewable '!$F$50:$F$73</c:f>
              <c:numCache>
                <c:formatCode>#,##0.0</c:formatCode>
                <c:ptCount val="24"/>
                <c:pt idx="0">
                  <c:v>2089.6634450000001</c:v>
                </c:pt>
                <c:pt idx="1">
                  <c:v>1778.6862815999998</c:v>
                </c:pt>
                <c:pt idx="2">
                  <c:v>2884.3954309999999</c:v>
                </c:pt>
                <c:pt idx="3">
                  <c:v>2693.3794990000001</c:v>
                </c:pt>
                <c:pt idx="4">
                  <c:v>3212.6561449999999</c:v>
                </c:pt>
                <c:pt idx="5">
                  <c:v>2733.0820739999999</c:v>
                </c:pt>
                <c:pt idx="6">
                  <c:v>2953.0879382113999</c:v>
                </c:pt>
                <c:pt idx="7">
                  <c:v>2530.5703359399999</c:v>
                </c:pt>
                <c:pt idx="8">
                  <c:v>2833.7563963800003</c:v>
                </c:pt>
                <c:pt idx="9">
                  <c:v>5355.0484256999998</c:v>
                </c:pt>
                <c:pt idx="10">
                  <c:v>7327.0448325100006</c:v>
                </c:pt>
                <c:pt idx="11">
                  <c:v>10023.105454472612</c:v>
                </c:pt>
                <c:pt idx="12">
                  <c:v>13008.51160967879</c:v>
                </c:pt>
                <c:pt idx="13">
                  <c:v>14571.390097406827</c:v>
                </c:pt>
                <c:pt idx="14">
                  <c:v>12079.306545464327</c:v>
                </c:pt>
                <c:pt idx="15">
                  <c:v>19631.772673943418</c:v>
                </c:pt>
                <c:pt idx="16">
                  <c:v>18268.82466006</c:v>
                </c:pt>
                <c:pt idx="17">
                  <c:v>16905.885285726199</c:v>
                </c:pt>
                <c:pt idx="18">
                  <c:v>18966.350415205998</c:v>
                </c:pt>
                <c:pt idx="19">
                  <c:v>22896.572333960004</c:v>
                </c:pt>
                <c:pt idx="20">
                  <c:v>20630.439848043185</c:v>
                </c:pt>
                <c:pt idx="21">
                  <c:v>15180.515394924359</c:v>
                </c:pt>
                <c:pt idx="22">
                  <c:v>20144.557846570366</c:v>
                </c:pt>
                <c:pt idx="23">
                  <c:v>19490.7</c:v>
                </c:pt>
              </c:numCache>
            </c:numRef>
          </c:val>
          <c:extLst>
            <c:ext xmlns:c16="http://schemas.microsoft.com/office/drawing/2014/chart" uri="{C3380CC4-5D6E-409C-BE32-E72D297353CC}">
              <c16:uniqueId val="{00000001-788A-40D9-8774-2B26D8C52671}"/>
            </c:ext>
          </c:extLst>
        </c:ser>
        <c:ser>
          <c:idx val="4"/>
          <c:order val="2"/>
          <c:tx>
            <c:strRef>
              <c:f>'Renewable '!$H$49</c:f>
              <c:strCache>
                <c:ptCount val="1"/>
                <c:pt idx="0">
                  <c:v>GEOTERMAL</c:v>
                </c:pt>
              </c:strCache>
            </c:strRef>
          </c:tx>
          <c:spPr>
            <a:solidFill>
              <a:schemeClr val="accent5"/>
            </a:solidFill>
            <a:ln>
              <a:noFill/>
            </a:ln>
            <a:effectLst/>
          </c:spPr>
          <c:cat>
            <c:numRef>
              <c:f>'Renewable '!$D$50:$D$72</c:f>
              <c:numCache>
                <c:formatCode>0</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'Renewable '!$H$50:$H$73</c:f>
              <c:numCache>
                <c:formatCode>#,##0.0</c:formatCode>
                <c:ptCount val="24"/>
                <c:pt idx="0">
                  <c:v>75.5</c:v>
                </c:pt>
                <c:pt idx="1">
                  <c:v>89.6</c:v>
                </c:pt>
                <c:pt idx="2">
                  <c:v>104.6</c:v>
                </c:pt>
                <c:pt idx="3">
                  <c:v>88.6</c:v>
                </c:pt>
                <c:pt idx="4">
                  <c:v>93.2</c:v>
                </c:pt>
                <c:pt idx="5">
                  <c:v>94.4</c:v>
                </c:pt>
                <c:pt idx="6">
                  <c:v>94</c:v>
                </c:pt>
                <c:pt idx="7">
                  <c:v>156</c:v>
                </c:pt>
                <c:pt idx="8">
                  <c:v>162.4</c:v>
                </c:pt>
                <c:pt idx="9">
                  <c:v>435.7</c:v>
                </c:pt>
                <c:pt idx="10">
                  <c:v>668.2</c:v>
                </c:pt>
                <c:pt idx="11">
                  <c:v>694.4</c:v>
                </c:pt>
                <c:pt idx="12">
                  <c:v>899.3</c:v>
                </c:pt>
                <c:pt idx="13">
                  <c:v>1363.5</c:v>
                </c:pt>
                <c:pt idx="14">
                  <c:v>2364</c:v>
                </c:pt>
                <c:pt idx="15">
                  <c:v>3424.5</c:v>
                </c:pt>
                <c:pt idx="16">
                  <c:v>4818.5236909999994</c:v>
                </c:pt>
                <c:pt idx="17">
                  <c:v>6127.4819070000003</c:v>
                </c:pt>
                <c:pt idx="18">
                  <c:v>7430.9755821750005</c:v>
                </c:pt>
                <c:pt idx="19">
                  <c:v>8951.7400510000007</c:v>
                </c:pt>
                <c:pt idx="20">
                  <c:v>10027.696606865999</c:v>
                </c:pt>
                <c:pt idx="21">
                  <c:v>10793.227527871</c:v>
                </c:pt>
                <c:pt idx="22">
                  <c:v>11118.795035210002</c:v>
                </c:pt>
                <c:pt idx="23">
                  <c:v>11059.9</c:v>
                </c:pt>
              </c:numCache>
            </c:numRef>
          </c:val>
          <c:extLst>
            <c:ext xmlns:c16="http://schemas.microsoft.com/office/drawing/2014/chart" uri="{C3380CC4-5D6E-409C-BE32-E72D297353CC}">
              <c16:uniqueId val="{00000002-788A-40D9-8774-2B26D8C52671}"/>
            </c:ext>
          </c:extLst>
        </c:ser>
        <c:ser>
          <c:idx val="5"/>
          <c:order val="3"/>
          <c:tx>
            <c:strRef>
              <c:f>'Renewable '!$I$49</c:f>
              <c:strCache>
                <c:ptCount val="1"/>
                <c:pt idx="0">
                  <c:v>WIND</c:v>
                </c:pt>
              </c:strCache>
            </c:strRef>
          </c:tx>
          <c:spPr>
            <a:solidFill>
              <a:schemeClr val="accent6"/>
            </a:solidFill>
            <a:ln>
              <a:noFill/>
            </a:ln>
            <a:effectLst/>
          </c:spPr>
          <c:cat>
            <c:numRef>
              <c:f>'Renewable '!$D$50:$D$72</c:f>
              <c:numCache>
                <c:formatCode>0</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'Renewable '!$I$50:$I$73</c:f>
              <c:numCache>
                <c:formatCode>#,##0.0</c:formatCode>
                <c:ptCount val="24"/>
                <c:pt idx="0">
                  <c:v>33.4</c:v>
                </c:pt>
                <c:pt idx="1">
                  <c:v>62.4</c:v>
                </c:pt>
                <c:pt idx="2">
                  <c:v>48</c:v>
                </c:pt>
                <c:pt idx="3">
                  <c:v>61.4</c:v>
                </c:pt>
                <c:pt idx="4">
                  <c:v>57.7</c:v>
                </c:pt>
                <c:pt idx="5">
                  <c:v>59</c:v>
                </c:pt>
                <c:pt idx="6">
                  <c:v>126.5</c:v>
                </c:pt>
                <c:pt idx="7">
                  <c:v>355.1</c:v>
                </c:pt>
                <c:pt idx="8">
                  <c:v>846.5</c:v>
                </c:pt>
                <c:pt idx="9">
                  <c:v>1495.3</c:v>
                </c:pt>
                <c:pt idx="10">
                  <c:v>2916.4</c:v>
                </c:pt>
                <c:pt idx="11">
                  <c:v>4723.8999999999996</c:v>
                </c:pt>
                <c:pt idx="12">
                  <c:v>5860.8</c:v>
                </c:pt>
                <c:pt idx="13">
                  <c:v>7557.5</c:v>
                </c:pt>
                <c:pt idx="14">
                  <c:v>8520.1</c:v>
                </c:pt>
                <c:pt idx="15">
                  <c:v>11652.5</c:v>
                </c:pt>
                <c:pt idx="16">
                  <c:v>15517.086846999999</c:v>
                </c:pt>
                <c:pt idx="17">
                  <c:v>17903.815108999999</c:v>
                </c:pt>
                <c:pt idx="18">
                  <c:v>19949.20617369</c:v>
                </c:pt>
                <c:pt idx="19">
                  <c:v>21730.712959547</c:v>
                </c:pt>
                <c:pt idx="20">
                  <c:v>24828.222367875325</c:v>
                </c:pt>
                <c:pt idx="21">
                  <c:v>31436.749816045998</c:v>
                </c:pt>
                <c:pt idx="22">
                  <c:v>34945.449092621006</c:v>
                </c:pt>
                <c:pt idx="23">
                  <c:v>33874.199999999997</c:v>
                </c:pt>
              </c:numCache>
            </c:numRef>
          </c:val>
          <c:extLst>
            <c:ext xmlns:c16="http://schemas.microsoft.com/office/drawing/2014/chart" uri="{C3380CC4-5D6E-409C-BE32-E72D297353CC}">
              <c16:uniqueId val="{00000003-788A-40D9-8774-2B26D8C52671}"/>
            </c:ext>
          </c:extLst>
        </c:ser>
        <c:ser>
          <c:idx val="6"/>
          <c:order val="4"/>
          <c:tx>
            <c:strRef>
              <c:f>'Renewable '!$J$49</c:f>
              <c:strCache>
                <c:ptCount val="1"/>
                <c:pt idx="0">
                  <c:v>SOLAR</c:v>
                </c:pt>
              </c:strCache>
            </c:strRef>
          </c:tx>
          <c:spPr>
            <a:solidFill>
              <a:schemeClr val="accent1">
                <a:lumMod val="60000"/>
              </a:schemeClr>
            </a:solidFill>
            <a:ln>
              <a:noFill/>
            </a:ln>
            <a:effectLst/>
          </c:spPr>
          <c:cat>
            <c:numRef>
              <c:f>'Renewable '!$D$50:$D$72</c:f>
              <c:numCache>
                <c:formatCode>0</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'Renewable '!$J$50:$J$73</c:f>
              <c:numCache>
                <c:formatCode>General</c:formatCode>
                <c:ptCount val="24"/>
                <c:pt idx="14" formatCode="#,##0.0">
                  <c:v>17.399999999999999</c:v>
                </c:pt>
                <c:pt idx="15" formatCode="#,##0.0">
                  <c:v>194.060202</c:v>
                </c:pt>
                <c:pt idx="16" formatCode="#,##0.0">
                  <c:v>1043.1382771809999</c:v>
                </c:pt>
                <c:pt idx="17" formatCode="#,##0.0">
                  <c:v>2889.3017369999998</c:v>
                </c:pt>
                <c:pt idx="18" formatCode="#,##0.0">
                  <c:v>7799.7979999999998</c:v>
                </c:pt>
                <c:pt idx="19" formatCode="#,##0.0">
                  <c:v>9249.8280054574898</c:v>
                </c:pt>
                <c:pt idx="20" formatCode="#,##0.0">
                  <c:v>10950.17977860419</c:v>
                </c:pt>
                <c:pt idx="21" formatCode="#,##0.0">
                  <c:v>13942.860799371929</c:v>
                </c:pt>
                <c:pt idx="22" formatCode="#,##0.0">
                  <c:v>16887.570607955953</c:v>
                </c:pt>
                <c:pt idx="23" formatCode="#,##0.0">
                  <c:v>18788.2</c:v>
                </c:pt>
              </c:numCache>
            </c:numRef>
          </c:val>
          <c:extLst>
            <c:ext xmlns:c16="http://schemas.microsoft.com/office/drawing/2014/chart" uri="{C3380CC4-5D6E-409C-BE32-E72D297353CC}">
              <c16:uniqueId val="{00000004-788A-40D9-8774-2B26D8C52671}"/>
            </c:ext>
          </c:extLst>
        </c:ser>
        <c:ser>
          <c:idx val="7"/>
          <c:order val="5"/>
          <c:tx>
            <c:strRef>
              <c:f>'Renewable '!$K$49</c:f>
              <c:strCache>
                <c:ptCount val="1"/>
                <c:pt idx="0">
                  <c:v>REN.+WASTE*</c:v>
                </c:pt>
              </c:strCache>
            </c:strRef>
          </c:tx>
          <c:spPr>
            <a:solidFill>
              <a:schemeClr val="accent2">
                <a:lumMod val="60000"/>
              </a:schemeClr>
            </a:solidFill>
            <a:ln>
              <a:noFill/>
            </a:ln>
            <a:effectLst/>
          </c:spPr>
          <c:cat>
            <c:numRef>
              <c:f>'Renewable '!$D$50:$D$72</c:f>
              <c:numCache>
                <c:formatCode>0</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'Renewable '!$K$50:$K$73</c:f>
              <c:numCache>
                <c:formatCode>#,##0.0</c:formatCode>
                <c:ptCount val="24"/>
                <c:pt idx="0">
                  <c:v>173.9</c:v>
                </c:pt>
                <c:pt idx="1">
                  <c:v>187.9</c:v>
                </c:pt>
                <c:pt idx="2">
                  <c:v>133.5</c:v>
                </c:pt>
                <c:pt idx="3">
                  <c:v>85.6</c:v>
                </c:pt>
                <c:pt idx="4">
                  <c:v>83</c:v>
                </c:pt>
                <c:pt idx="5">
                  <c:v>44.7</c:v>
                </c:pt>
                <c:pt idx="6">
                  <c:v>73.099999999999994</c:v>
                </c:pt>
                <c:pt idx="7">
                  <c:v>109.3</c:v>
                </c:pt>
                <c:pt idx="8">
                  <c:v>154.4</c:v>
                </c:pt>
                <c:pt idx="9">
                  <c:v>263.89999999999998</c:v>
                </c:pt>
                <c:pt idx="10">
                  <c:v>346.5</c:v>
                </c:pt>
                <c:pt idx="11">
                  <c:v>363.6</c:v>
                </c:pt>
                <c:pt idx="12">
                  <c:v>608.6</c:v>
                </c:pt>
                <c:pt idx="13">
                  <c:v>893.1</c:v>
                </c:pt>
                <c:pt idx="14">
                  <c:v>1094.4000000000001</c:v>
                </c:pt>
                <c:pt idx="15">
                  <c:v>1350.3</c:v>
                </c:pt>
                <c:pt idx="16">
                  <c:v>1658.5</c:v>
                </c:pt>
                <c:pt idx="17">
                  <c:v>2123.98262845</c:v>
                </c:pt>
                <c:pt idx="18">
                  <c:v>2672.7170000000001</c:v>
                </c:pt>
                <c:pt idx="19">
                  <c:v>3522.7142686099501</c:v>
                </c:pt>
                <c:pt idx="20">
                  <c:v>4459.9143319547993</c:v>
                </c:pt>
                <c:pt idx="21">
                  <c:v>6467.8163436099985</c:v>
                </c:pt>
                <c:pt idx="22">
                  <c:v>8088.2143319903989</c:v>
                </c:pt>
                <c:pt idx="23">
                  <c:v>9468.1</c:v>
                </c:pt>
              </c:numCache>
            </c:numRef>
          </c:val>
          <c:extLst>
            <c:ext xmlns:c16="http://schemas.microsoft.com/office/drawing/2014/chart" uri="{C3380CC4-5D6E-409C-BE32-E72D297353CC}">
              <c16:uniqueId val="{00000005-788A-40D9-8774-2B26D8C52671}"/>
            </c:ext>
          </c:extLst>
        </c:ser>
        <c:dLbls>
          <c:showLegendKey val="0"/>
          <c:showVal val="0"/>
          <c:showCatName val="0"/>
          <c:showSerName val="0"/>
          <c:showPercent val="0"/>
          <c:showBubbleSize val="0"/>
        </c:dLbls>
        <c:axId val="495336464"/>
        <c:axId val="121841696"/>
      </c:areaChart>
      <c:lineChart>
        <c:grouping val="standard"/>
        <c:varyColors val="0"/>
        <c:ser>
          <c:idx val="0"/>
          <c:order val="6"/>
          <c:tx>
            <c:strRef>
              <c:f>'Renewable '!$M$49</c:f>
              <c:strCache>
                <c:ptCount val="1"/>
                <c:pt idx="0">
                  <c:v>TOTAL GENERATION</c:v>
                </c:pt>
              </c:strCache>
            </c:strRef>
          </c:tx>
          <c:spPr>
            <a:ln w="28575" cap="rnd">
              <a:solidFill>
                <a:schemeClr val="accent1"/>
              </a:solidFill>
              <a:round/>
            </a:ln>
            <a:effectLst/>
          </c:spPr>
          <c:marker>
            <c:symbol val="none"/>
          </c:marker>
          <c:cat>
            <c:numRef>
              <c:f>'Renewable '!$D$50:$D$73</c:f>
              <c:numCache>
                <c:formatCode>0</c:formatCode>
                <c:ptCount val="2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numCache>
            </c:numRef>
          </c:cat>
          <c:val>
            <c:numRef>
              <c:f>'Renewable '!$M$50:$M$73</c:f>
              <c:numCache>
                <c:formatCode>#,##0.0</c:formatCode>
                <c:ptCount val="24"/>
                <c:pt idx="0">
                  <c:v>124921.59999999999</c:v>
                </c:pt>
                <c:pt idx="1">
                  <c:v>122724.69999999998</c:v>
                </c:pt>
                <c:pt idx="2">
                  <c:v>129399.5</c:v>
                </c:pt>
                <c:pt idx="3">
                  <c:v>140580.5</c:v>
                </c:pt>
                <c:pt idx="4">
                  <c:v>150698.29999999999</c:v>
                </c:pt>
                <c:pt idx="5">
                  <c:v>161956.19999999998</c:v>
                </c:pt>
                <c:pt idx="6">
                  <c:v>176299.8</c:v>
                </c:pt>
                <c:pt idx="7">
                  <c:v>191558.12940900002</c:v>
                </c:pt>
                <c:pt idx="8">
                  <c:v>198418.00000000003</c:v>
                </c:pt>
                <c:pt idx="9">
                  <c:v>194812.92600000001</c:v>
                </c:pt>
                <c:pt idx="10">
                  <c:v>211207.7</c:v>
                </c:pt>
                <c:pt idx="11">
                  <c:v>229395.10000000003</c:v>
                </c:pt>
                <c:pt idx="12">
                  <c:v>239496.8</c:v>
                </c:pt>
                <c:pt idx="13">
                  <c:v>240153.95300000001</c:v>
                </c:pt>
                <c:pt idx="14">
                  <c:v>251962.81699999998</c:v>
                </c:pt>
                <c:pt idx="15">
                  <c:v>261783.30354659999</c:v>
                </c:pt>
                <c:pt idx="16">
                  <c:v>274407.74903779023</c:v>
                </c:pt>
                <c:pt idx="17">
                  <c:v>297277.52385599999</c:v>
                </c:pt>
                <c:pt idx="18">
                  <c:v>304801.88501538563</c:v>
                </c:pt>
                <c:pt idx="19">
                  <c:v>303897.56042479997</c:v>
                </c:pt>
                <c:pt idx="20">
                  <c:v>306703.09244441759</c:v>
                </c:pt>
                <c:pt idx="21">
                  <c:v>334723.1119286996</c:v>
                </c:pt>
                <c:pt idx="22">
                  <c:v>328379.34151660191</c:v>
                </c:pt>
                <c:pt idx="23">
                  <c:v>322082.40000000002</c:v>
                </c:pt>
              </c:numCache>
            </c:numRef>
          </c:val>
          <c:smooth val="0"/>
          <c:extLst>
            <c:ext xmlns:c16="http://schemas.microsoft.com/office/drawing/2014/chart" uri="{C3380CC4-5D6E-409C-BE32-E72D297353CC}">
              <c16:uniqueId val="{00000006-788A-40D9-8774-2B26D8C52671}"/>
            </c:ext>
          </c:extLst>
        </c:ser>
        <c:dLbls>
          <c:showLegendKey val="0"/>
          <c:showVal val="0"/>
          <c:showCatName val="0"/>
          <c:showSerName val="0"/>
          <c:showPercent val="0"/>
          <c:showBubbleSize val="0"/>
        </c:dLbls>
        <c:marker val="1"/>
        <c:smooth val="0"/>
        <c:axId val="495336464"/>
        <c:axId val="121841696"/>
      </c:lineChart>
      <c:catAx>
        <c:axId val="495336464"/>
        <c:scaling>
          <c:orientation val="minMax"/>
        </c:scaling>
        <c:delete val="0"/>
        <c:axPos val="b"/>
        <c:numFmt formatCode="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1841696"/>
        <c:crosses val="autoZero"/>
        <c:auto val="1"/>
        <c:lblAlgn val="ctr"/>
        <c:lblOffset val="100"/>
        <c:noMultiLvlLbl val="0"/>
      </c:catAx>
      <c:valAx>
        <c:axId val="121841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95336464"/>
        <c:crosses val="autoZero"/>
        <c:crossBetween val="between"/>
      </c:valAx>
      <c:spPr>
        <a:noFill/>
        <a:ln>
          <a:noFill/>
        </a:ln>
        <a:effectLst/>
      </c:spPr>
    </c:plotArea>
    <c:legend>
      <c:legendPos val="b"/>
      <c:layout>
        <c:manualLayout>
          <c:xMode val="edge"/>
          <c:yMode val="edge"/>
          <c:x val="2.3850262852040852E-2"/>
          <c:y val="0.83822828598038146"/>
          <c:w val="0.93763671769767787"/>
          <c:h val="0.1387302393652406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28575" cap="flat" cmpd="sng" algn="ctr">
      <a:solidFill>
        <a:schemeClr val="tx1">
          <a:lumMod val="15000"/>
          <a:lumOff val="85000"/>
        </a:schemeClr>
      </a:solidFill>
      <a:round/>
    </a:ln>
    <a:effectLst/>
  </c:spPr>
  <c:txPr>
    <a:bodyPr/>
    <a:lstStyle/>
    <a:p>
      <a:pPr>
        <a:defRPr baseline="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59047-903C-4C14-81CC-CC3CD48ADEA6}">
  <ds:schemaRefs>
    <ds:schemaRef ds:uri="http://schemas.openxmlformats.org/officeDocument/2006/bibliography"/>
  </ds:schemaRefs>
</ds:datastoreItem>
</file>

<file path=docMetadata/LabelInfo.xml><?xml version="1.0" encoding="utf-8"?>
<clbl:labelList xmlns:clbl="http://schemas.microsoft.com/office/2020/mipLabelMetadata">
  <clbl:label id="{1cb350ab-c2fd-4b20-a9d9-41f8e7e93f2e}" enabled="1" method="Standard" siteId="{172f4752-6874-4876-bad5-e6d61f991171}" contentBits="3"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78</Pages>
  <Words>32153</Words>
  <Characters>183277</Characters>
  <Application>Microsoft Office Word</Application>
  <DocSecurity>0</DocSecurity>
  <Lines>1527</Lines>
  <Paragraphs>429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WBG</Company>
  <LinksUpToDate>false</LinksUpToDate>
  <CharactersWithSpaces>215001</CharactersWithSpaces>
  <SharedDoc>false</SharedDoc>
  <HLinks>
    <vt:vector size="462" baseType="variant">
      <vt:variant>
        <vt:i4>5046395</vt:i4>
      </vt:variant>
      <vt:variant>
        <vt:i4>402</vt:i4>
      </vt:variant>
      <vt:variant>
        <vt:i4>0</vt:i4>
      </vt:variant>
      <vt:variant>
        <vt:i4>5</vt:i4>
      </vt:variant>
      <vt:variant>
        <vt:lpwstr>mailto:murat.akgunduz@teias.gov.tr</vt:lpwstr>
      </vt:variant>
      <vt:variant>
        <vt:lpwstr/>
      </vt:variant>
      <vt:variant>
        <vt:i4>7929935</vt:i4>
      </vt:variant>
      <vt:variant>
        <vt:i4>399</vt:i4>
      </vt:variant>
      <vt:variant>
        <vt:i4>0</vt:i4>
      </vt:variant>
      <vt:variant>
        <vt:i4>5</vt:i4>
      </vt:variant>
      <vt:variant>
        <vt:lpwstr>mailto:serhat.metin@teias.gov.tr</vt:lpwstr>
      </vt:variant>
      <vt:variant>
        <vt:lpwstr/>
      </vt:variant>
      <vt:variant>
        <vt:i4>3014671</vt:i4>
      </vt:variant>
      <vt:variant>
        <vt:i4>396</vt:i4>
      </vt:variant>
      <vt:variant>
        <vt:i4>0</vt:i4>
      </vt:variant>
      <vt:variant>
        <vt:i4>5</vt:i4>
      </vt:variant>
      <vt:variant>
        <vt:lpwstr>mailto:nevin.erturk@teias.gov.tr</vt:lpwstr>
      </vt:variant>
      <vt:variant>
        <vt:lpwstr/>
      </vt:variant>
      <vt:variant>
        <vt:i4>6684701</vt:i4>
      </vt:variant>
      <vt:variant>
        <vt:i4>393</vt:i4>
      </vt:variant>
      <vt:variant>
        <vt:i4>0</vt:i4>
      </vt:variant>
      <vt:variant>
        <vt:i4>5</vt:i4>
      </vt:variant>
      <vt:variant>
        <vt:lpwstr>https://usc-word-edit.officeapps.live.com/we/wordeditorframe.aspx?ui=en-US&amp;rs=en-US&amp;actnavid=eyJjIjo2OTk3MzA2MDR9&amp;wopisrc=https%3A%2F%2Fworldbankgroup-my.sharepoint.com%2Fpersonal%2Fyakcollu_worldbank_org%2F_vti_bin%2Fwopi.ashx%2Ffiles%2Fe707eb6c377a4d31a071760d257a38bb&amp;wdenableroaming=1&amp;mscc=1&amp;wdodb=1&amp;hid=06AC1AA1-701F-5000-314D-D803156EFD0A.0&amp;uih=sharepointcom&amp;wdlcid=en-US&amp;jsapi=1&amp;jsapiver=v2&amp;corrid=98d52f8e-e63f-2e38-f681-110f952976ff&amp;usid=98d52f8e-e63f-2e38-f681-110f952976ff&amp;newsession=1&amp;sftc=1&amp;uihit=docaspx&amp;muv=1&amp;cac=1&amp;sams=1&amp;mtf=1&amp;sfp=1&amp;sdp=1&amp;hch=1&amp;hwfh=1&amp;dchat=1&amp;sc=%7B%22pmo%22%3A%22https%3A%2F%2Fworldbankgroup-my.sharepoint.com%22%2C%22pmshare%22%3Atrue%7D&amp;ctp=LeastProtected&amp;rct=Normal&amp;wdorigin=Outlook-Body.Sharing.DirectLink&amp;wdhostclicktime=1711956788428&amp;instantedit=1&amp;wopicomplete=1&amp;wdredirectionreason=Unified_SingleFlush</vt:lpwstr>
      </vt:variant>
      <vt:variant>
        <vt:lpwstr>_ftn3</vt:lpwstr>
      </vt:variant>
      <vt:variant>
        <vt:i4>6684701</vt:i4>
      </vt:variant>
      <vt:variant>
        <vt:i4>390</vt:i4>
      </vt:variant>
      <vt:variant>
        <vt:i4>0</vt:i4>
      </vt:variant>
      <vt:variant>
        <vt:i4>5</vt:i4>
      </vt:variant>
      <vt:variant>
        <vt:lpwstr>https://usc-word-edit.officeapps.live.com/we/wordeditorframe.aspx?ui=en-US&amp;rs=en-US&amp;actnavid=eyJjIjo2OTk3MzA2MDR9&amp;wopisrc=https%3A%2F%2Fworldbankgroup-my.sharepoint.com%2Fpersonal%2Fyakcollu_worldbank_org%2F_vti_bin%2Fwopi.ashx%2Ffiles%2Fe707eb6c377a4d31a071760d257a38bb&amp;wdenableroaming=1&amp;mscc=1&amp;wdodb=1&amp;hid=06AC1AA1-701F-5000-314D-D803156EFD0A.0&amp;uih=sharepointcom&amp;wdlcid=en-US&amp;jsapi=1&amp;jsapiver=v2&amp;corrid=98d52f8e-e63f-2e38-f681-110f952976ff&amp;usid=98d52f8e-e63f-2e38-f681-110f952976ff&amp;newsession=1&amp;sftc=1&amp;uihit=docaspx&amp;muv=1&amp;cac=1&amp;sams=1&amp;mtf=1&amp;sfp=1&amp;sdp=1&amp;hch=1&amp;hwfh=1&amp;dchat=1&amp;sc=%7B%22pmo%22%3A%22https%3A%2F%2Fworldbankgroup-my.sharepoint.com%22%2C%22pmshare%22%3Atrue%7D&amp;ctp=LeastProtected&amp;rct=Normal&amp;wdorigin=Outlook-Body.Sharing.DirectLink&amp;wdhostclicktime=1711956788428&amp;instantedit=1&amp;wopicomplete=1&amp;wdredirectionreason=Unified_SingleFlush</vt:lpwstr>
      </vt:variant>
      <vt:variant>
        <vt:lpwstr>_ftn2</vt:lpwstr>
      </vt:variant>
      <vt:variant>
        <vt:i4>6684701</vt:i4>
      </vt:variant>
      <vt:variant>
        <vt:i4>387</vt:i4>
      </vt:variant>
      <vt:variant>
        <vt:i4>0</vt:i4>
      </vt:variant>
      <vt:variant>
        <vt:i4>5</vt:i4>
      </vt:variant>
      <vt:variant>
        <vt:lpwstr>https://usc-word-edit.officeapps.live.com/we/wordeditorframe.aspx?ui=en-US&amp;rs=en-US&amp;actnavid=eyJjIjo2OTk3MzA2MDR9&amp;wopisrc=https%3A%2F%2Fworldbankgroup-my.sharepoint.com%2Fpersonal%2Fyakcollu_worldbank_org%2F_vti_bin%2Fwopi.ashx%2Ffiles%2Fe707eb6c377a4d31a071760d257a38bb&amp;wdenableroaming=1&amp;mscc=1&amp;wdodb=1&amp;hid=06AC1AA1-701F-5000-314D-D803156EFD0A.0&amp;uih=sharepointcom&amp;wdlcid=en-US&amp;jsapi=1&amp;jsapiver=v2&amp;corrid=98d52f8e-e63f-2e38-f681-110f952976ff&amp;usid=98d52f8e-e63f-2e38-f681-110f952976ff&amp;newsession=1&amp;sftc=1&amp;uihit=docaspx&amp;muv=1&amp;cac=1&amp;sams=1&amp;mtf=1&amp;sfp=1&amp;sdp=1&amp;hch=1&amp;hwfh=1&amp;dchat=1&amp;sc=%7B%22pmo%22%3A%22https%3A%2F%2Fworldbankgroup-my.sharepoint.com%22%2C%22pmshare%22%3Atrue%7D&amp;ctp=LeastProtected&amp;rct=Normal&amp;wdorigin=Outlook-Body.Sharing.DirectLink&amp;wdhostclicktime=1711956788428&amp;instantedit=1&amp;wopicomplete=1&amp;wdredirectionreason=Unified_SingleFlush</vt:lpwstr>
      </vt:variant>
      <vt:variant>
        <vt:lpwstr>_ftn1</vt:lpwstr>
      </vt:variant>
      <vt:variant>
        <vt:i4>5177399</vt:i4>
      </vt:variant>
      <vt:variant>
        <vt:i4>381</vt:i4>
      </vt:variant>
      <vt:variant>
        <vt:i4>0</vt:i4>
      </vt:variant>
      <vt:variant>
        <vt:i4>5</vt:i4>
      </vt:variant>
      <vt:variant>
        <vt:lpwstr/>
      </vt:variant>
      <vt:variant>
        <vt:lpwstr>_I.__Executive</vt:lpwstr>
      </vt:variant>
      <vt:variant>
        <vt:i4>1245236</vt:i4>
      </vt:variant>
      <vt:variant>
        <vt:i4>374</vt:i4>
      </vt:variant>
      <vt:variant>
        <vt:i4>0</vt:i4>
      </vt:variant>
      <vt:variant>
        <vt:i4>5</vt:i4>
      </vt:variant>
      <vt:variant>
        <vt:lpwstr/>
      </vt:variant>
      <vt:variant>
        <vt:lpwstr>_Toc170211408</vt:lpwstr>
      </vt:variant>
      <vt:variant>
        <vt:i4>1245236</vt:i4>
      </vt:variant>
      <vt:variant>
        <vt:i4>368</vt:i4>
      </vt:variant>
      <vt:variant>
        <vt:i4>0</vt:i4>
      </vt:variant>
      <vt:variant>
        <vt:i4>5</vt:i4>
      </vt:variant>
      <vt:variant>
        <vt:lpwstr/>
      </vt:variant>
      <vt:variant>
        <vt:lpwstr>_Toc170211407</vt:lpwstr>
      </vt:variant>
      <vt:variant>
        <vt:i4>1245236</vt:i4>
      </vt:variant>
      <vt:variant>
        <vt:i4>362</vt:i4>
      </vt:variant>
      <vt:variant>
        <vt:i4>0</vt:i4>
      </vt:variant>
      <vt:variant>
        <vt:i4>5</vt:i4>
      </vt:variant>
      <vt:variant>
        <vt:lpwstr/>
      </vt:variant>
      <vt:variant>
        <vt:lpwstr>_Toc170211406</vt:lpwstr>
      </vt:variant>
      <vt:variant>
        <vt:i4>1245236</vt:i4>
      </vt:variant>
      <vt:variant>
        <vt:i4>356</vt:i4>
      </vt:variant>
      <vt:variant>
        <vt:i4>0</vt:i4>
      </vt:variant>
      <vt:variant>
        <vt:i4>5</vt:i4>
      </vt:variant>
      <vt:variant>
        <vt:lpwstr/>
      </vt:variant>
      <vt:variant>
        <vt:lpwstr>_Toc170211405</vt:lpwstr>
      </vt:variant>
      <vt:variant>
        <vt:i4>1245236</vt:i4>
      </vt:variant>
      <vt:variant>
        <vt:i4>350</vt:i4>
      </vt:variant>
      <vt:variant>
        <vt:i4>0</vt:i4>
      </vt:variant>
      <vt:variant>
        <vt:i4>5</vt:i4>
      </vt:variant>
      <vt:variant>
        <vt:lpwstr/>
      </vt:variant>
      <vt:variant>
        <vt:lpwstr>_Toc170211404</vt:lpwstr>
      </vt:variant>
      <vt:variant>
        <vt:i4>1245236</vt:i4>
      </vt:variant>
      <vt:variant>
        <vt:i4>344</vt:i4>
      </vt:variant>
      <vt:variant>
        <vt:i4>0</vt:i4>
      </vt:variant>
      <vt:variant>
        <vt:i4>5</vt:i4>
      </vt:variant>
      <vt:variant>
        <vt:lpwstr/>
      </vt:variant>
      <vt:variant>
        <vt:lpwstr>_Toc170211403</vt:lpwstr>
      </vt:variant>
      <vt:variant>
        <vt:i4>1245236</vt:i4>
      </vt:variant>
      <vt:variant>
        <vt:i4>338</vt:i4>
      </vt:variant>
      <vt:variant>
        <vt:i4>0</vt:i4>
      </vt:variant>
      <vt:variant>
        <vt:i4>5</vt:i4>
      </vt:variant>
      <vt:variant>
        <vt:lpwstr/>
      </vt:variant>
      <vt:variant>
        <vt:lpwstr>_Toc170211402</vt:lpwstr>
      </vt:variant>
      <vt:variant>
        <vt:i4>1245236</vt:i4>
      </vt:variant>
      <vt:variant>
        <vt:i4>332</vt:i4>
      </vt:variant>
      <vt:variant>
        <vt:i4>0</vt:i4>
      </vt:variant>
      <vt:variant>
        <vt:i4>5</vt:i4>
      </vt:variant>
      <vt:variant>
        <vt:lpwstr/>
      </vt:variant>
      <vt:variant>
        <vt:lpwstr>_Toc170211401</vt:lpwstr>
      </vt:variant>
      <vt:variant>
        <vt:i4>1245236</vt:i4>
      </vt:variant>
      <vt:variant>
        <vt:i4>326</vt:i4>
      </vt:variant>
      <vt:variant>
        <vt:i4>0</vt:i4>
      </vt:variant>
      <vt:variant>
        <vt:i4>5</vt:i4>
      </vt:variant>
      <vt:variant>
        <vt:lpwstr/>
      </vt:variant>
      <vt:variant>
        <vt:lpwstr>_Toc170211400</vt:lpwstr>
      </vt:variant>
      <vt:variant>
        <vt:i4>1703987</vt:i4>
      </vt:variant>
      <vt:variant>
        <vt:i4>320</vt:i4>
      </vt:variant>
      <vt:variant>
        <vt:i4>0</vt:i4>
      </vt:variant>
      <vt:variant>
        <vt:i4>5</vt:i4>
      </vt:variant>
      <vt:variant>
        <vt:lpwstr/>
      </vt:variant>
      <vt:variant>
        <vt:lpwstr>_Toc170211399</vt:lpwstr>
      </vt:variant>
      <vt:variant>
        <vt:i4>1703987</vt:i4>
      </vt:variant>
      <vt:variant>
        <vt:i4>314</vt:i4>
      </vt:variant>
      <vt:variant>
        <vt:i4>0</vt:i4>
      </vt:variant>
      <vt:variant>
        <vt:i4>5</vt:i4>
      </vt:variant>
      <vt:variant>
        <vt:lpwstr/>
      </vt:variant>
      <vt:variant>
        <vt:lpwstr>_Toc170211398</vt:lpwstr>
      </vt:variant>
      <vt:variant>
        <vt:i4>1703987</vt:i4>
      </vt:variant>
      <vt:variant>
        <vt:i4>308</vt:i4>
      </vt:variant>
      <vt:variant>
        <vt:i4>0</vt:i4>
      </vt:variant>
      <vt:variant>
        <vt:i4>5</vt:i4>
      </vt:variant>
      <vt:variant>
        <vt:lpwstr/>
      </vt:variant>
      <vt:variant>
        <vt:lpwstr>_Toc170211397</vt:lpwstr>
      </vt:variant>
      <vt:variant>
        <vt:i4>1703987</vt:i4>
      </vt:variant>
      <vt:variant>
        <vt:i4>302</vt:i4>
      </vt:variant>
      <vt:variant>
        <vt:i4>0</vt:i4>
      </vt:variant>
      <vt:variant>
        <vt:i4>5</vt:i4>
      </vt:variant>
      <vt:variant>
        <vt:lpwstr/>
      </vt:variant>
      <vt:variant>
        <vt:lpwstr>_Toc170211396</vt:lpwstr>
      </vt:variant>
      <vt:variant>
        <vt:i4>1703987</vt:i4>
      </vt:variant>
      <vt:variant>
        <vt:i4>296</vt:i4>
      </vt:variant>
      <vt:variant>
        <vt:i4>0</vt:i4>
      </vt:variant>
      <vt:variant>
        <vt:i4>5</vt:i4>
      </vt:variant>
      <vt:variant>
        <vt:lpwstr/>
      </vt:variant>
      <vt:variant>
        <vt:lpwstr>_Toc170211395</vt:lpwstr>
      </vt:variant>
      <vt:variant>
        <vt:i4>1703987</vt:i4>
      </vt:variant>
      <vt:variant>
        <vt:i4>290</vt:i4>
      </vt:variant>
      <vt:variant>
        <vt:i4>0</vt:i4>
      </vt:variant>
      <vt:variant>
        <vt:i4>5</vt:i4>
      </vt:variant>
      <vt:variant>
        <vt:lpwstr/>
      </vt:variant>
      <vt:variant>
        <vt:lpwstr>_Toc170211394</vt:lpwstr>
      </vt:variant>
      <vt:variant>
        <vt:i4>1703987</vt:i4>
      </vt:variant>
      <vt:variant>
        <vt:i4>284</vt:i4>
      </vt:variant>
      <vt:variant>
        <vt:i4>0</vt:i4>
      </vt:variant>
      <vt:variant>
        <vt:i4>5</vt:i4>
      </vt:variant>
      <vt:variant>
        <vt:lpwstr/>
      </vt:variant>
      <vt:variant>
        <vt:lpwstr>_Toc170211393</vt:lpwstr>
      </vt:variant>
      <vt:variant>
        <vt:i4>1703987</vt:i4>
      </vt:variant>
      <vt:variant>
        <vt:i4>278</vt:i4>
      </vt:variant>
      <vt:variant>
        <vt:i4>0</vt:i4>
      </vt:variant>
      <vt:variant>
        <vt:i4>5</vt:i4>
      </vt:variant>
      <vt:variant>
        <vt:lpwstr/>
      </vt:variant>
      <vt:variant>
        <vt:lpwstr>_Toc170211392</vt:lpwstr>
      </vt:variant>
      <vt:variant>
        <vt:i4>1703987</vt:i4>
      </vt:variant>
      <vt:variant>
        <vt:i4>272</vt:i4>
      </vt:variant>
      <vt:variant>
        <vt:i4>0</vt:i4>
      </vt:variant>
      <vt:variant>
        <vt:i4>5</vt:i4>
      </vt:variant>
      <vt:variant>
        <vt:lpwstr/>
      </vt:variant>
      <vt:variant>
        <vt:lpwstr>_Toc170211391</vt:lpwstr>
      </vt:variant>
      <vt:variant>
        <vt:i4>1703987</vt:i4>
      </vt:variant>
      <vt:variant>
        <vt:i4>266</vt:i4>
      </vt:variant>
      <vt:variant>
        <vt:i4>0</vt:i4>
      </vt:variant>
      <vt:variant>
        <vt:i4>5</vt:i4>
      </vt:variant>
      <vt:variant>
        <vt:lpwstr/>
      </vt:variant>
      <vt:variant>
        <vt:lpwstr>_Toc170211390</vt:lpwstr>
      </vt:variant>
      <vt:variant>
        <vt:i4>1769523</vt:i4>
      </vt:variant>
      <vt:variant>
        <vt:i4>260</vt:i4>
      </vt:variant>
      <vt:variant>
        <vt:i4>0</vt:i4>
      </vt:variant>
      <vt:variant>
        <vt:i4>5</vt:i4>
      </vt:variant>
      <vt:variant>
        <vt:lpwstr/>
      </vt:variant>
      <vt:variant>
        <vt:lpwstr>_Toc170211389</vt:lpwstr>
      </vt:variant>
      <vt:variant>
        <vt:i4>1769523</vt:i4>
      </vt:variant>
      <vt:variant>
        <vt:i4>254</vt:i4>
      </vt:variant>
      <vt:variant>
        <vt:i4>0</vt:i4>
      </vt:variant>
      <vt:variant>
        <vt:i4>5</vt:i4>
      </vt:variant>
      <vt:variant>
        <vt:lpwstr/>
      </vt:variant>
      <vt:variant>
        <vt:lpwstr>_Toc170211388</vt:lpwstr>
      </vt:variant>
      <vt:variant>
        <vt:i4>1769523</vt:i4>
      </vt:variant>
      <vt:variant>
        <vt:i4>248</vt:i4>
      </vt:variant>
      <vt:variant>
        <vt:i4>0</vt:i4>
      </vt:variant>
      <vt:variant>
        <vt:i4>5</vt:i4>
      </vt:variant>
      <vt:variant>
        <vt:lpwstr/>
      </vt:variant>
      <vt:variant>
        <vt:lpwstr>_Toc170211387</vt:lpwstr>
      </vt:variant>
      <vt:variant>
        <vt:i4>1769523</vt:i4>
      </vt:variant>
      <vt:variant>
        <vt:i4>242</vt:i4>
      </vt:variant>
      <vt:variant>
        <vt:i4>0</vt:i4>
      </vt:variant>
      <vt:variant>
        <vt:i4>5</vt:i4>
      </vt:variant>
      <vt:variant>
        <vt:lpwstr/>
      </vt:variant>
      <vt:variant>
        <vt:lpwstr>_Toc170211386</vt:lpwstr>
      </vt:variant>
      <vt:variant>
        <vt:i4>1769523</vt:i4>
      </vt:variant>
      <vt:variant>
        <vt:i4>236</vt:i4>
      </vt:variant>
      <vt:variant>
        <vt:i4>0</vt:i4>
      </vt:variant>
      <vt:variant>
        <vt:i4>5</vt:i4>
      </vt:variant>
      <vt:variant>
        <vt:lpwstr/>
      </vt:variant>
      <vt:variant>
        <vt:lpwstr>_Toc170211385</vt:lpwstr>
      </vt:variant>
      <vt:variant>
        <vt:i4>1769523</vt:i4>
      </vt:variant>
      <vt:variant>
        <vt:i4>230</vt:i4>
      </vt:variant>
      <vt:variant>
        <vt:i4>0</vt:i4>
      </vt:variant>
      <vt:variant>
        <vt:i4>5</vt:i4>
      </vt:variant>
      <vt:variant>
        <vt:lpwstr/>
      </vt:variant>
      <vt:variant>
        <vt:lpwstr>_Toc170211384</vt:lpwstr>
      </vt:variant>
      <vt:variant>
        <vt:i4>1769523</vt:i4>
      </vt:variant>
      <vt:variant>
        <vt:i4>224</vt:i4>
      </vt:variant>
      <vt:variant>
        <vt:i4>0</vt:i4>
      </vt:variant>
      <vt:variant>
        <vt:i4>5</vt:i4>
      </vt:variant>
      <vt:variant>
        <vt:lpwstr/>
      </vt:variant>
      <vt:variant>
        <vt:lpwstr>_Toc170211383</vt:lpwstr>
      </vt:variant>
      <vt:variant>
        <vt:i4>1769523</vt:i4>
      </vt:variant>
      <vt:variant>
        <vt:i4>218</vt:i4>
      </vt:variant>
      <vt:variant>
        <vt:i4>0</vt:i4>
      </vt:variant>
      <vt:variant>
        <vt:i4>5</vt:i4>
      </vt:variant>
      <vt:variant>
        <vt:lpwstr/>
      </vt:variant>
      <vt:variant>
        <vt:lpwstr>_Toc170211382</vt:lpwstr>
      </vt:variant>
      <vt:variant>
        <vt:i4>1769523</vt:i4>
      </vt:variant>
      <vt:variant>
        <vt:i4>212</vt:i4>
      </vt:variant>
      <vt:variant>
        <vt:i4>0</vt:i4>
      </vt:variant>
      <vt:variant>
        <vt:i4>5</vt:i4>
      </vt:variant>
      <vt:variant>
        <vt:lpwstr/>
      </vt:variant>
      <vt:variant>
        <vt:lpwstr>_Toc170211381</vt:lpwstr>
      </vt:variant>
      <vt:variant>
        <vt:i4>1769523</vt:i4>
      </vt:variant>
      <vt:variant>
        <vt:i4>206</vt:i4>
      </vt:variant>
      <vt:variant>
        <vt:i4>0</vt:i4>
      </vt:variant>
      <vt:variant>
        <vt:i4>5</vt:i4>
      </vt:variant>
      <vt:variant>
        <vt:lpwstr/>
      </vt:variant>
      <vt:variant>
        <vt:lpwstr>_Toc170211380</vt:lpwstr>
      </vt:variant>
      <vt:variant>
        <vt:i4>1310771</vt:i4>
      </vt:variant>
      <vt:variant>
        <vt:i4>200</vt:i4>
      </vt:variant>
      <vt:variant>
        <vt:i4>0</vt:i4>
      </vt:variant>
      <vt:variant>
        <vt:i4>5</vt:i4>
      </vt:variant>
      <vt:variant>
        <vt:lpwstr/>
      </vt:variant>
      <vt:variant>
        <vt:lpwstr>_Toc170211379</vt:lpwstr>
      </vt:variant>
      <vt:variant>
        <vt:i4>1310771</vt:i4>
      </vt:variant>
      <vt:variant>
        <vt:i4>194</vt:i4>
      </vt:variant>
      <vt:variant>
        <vt:i4>0</vt:i4>
      </vt:variant>
      <vt:variant>
        <vt:i4>5</vt:i4>
      </vt:variant>
      <vt:variant>
        <vt:lpwstr/>
      </vt:variant>
      <vt:variant>
        <vt:lpwstr>_Toc170211378</vt:lpwstr>
      </vt:variant>
      <vt:variant>
        <vt:i4>1310771</vt:i4>
      </vt:variant>
      <vt:variant>
        <vt:i4>188</vt:i4>
      </vt:variant>
      <vt:variant>
        <vt:i4>0</vt:i4>
      </vt:variant>
      <vt:variant>
        <vt:i4>5</vt:i4>
      </vt:variant>
      <vt:variant>
        <vt:lpwstr/>
      </vt:variant>
      <vt:variant>
        <vt:lpwstr>_Toc170211377</vt:lpwstr>
      </vt:variant>
      <vt:variant>
        <vt:i4>1310771</vt:i4>
      </vt:variant>
      <vt:variant>
        <vt:i4>182</vt:i4>
      </vt:variant>
      <vt:variant>
        <vt:i4>0</vt:i4>
      </vt:variant>
      <vt:variant>
        <vt:i4>5</vt:i4>
      </vt:variant>
      <vt:variant>
        <vt:lpwstr/>
      </vt:variant>
      <vt:variant>
        <vt:lpwstr>_Toc170211376</vt:lpwstr>
      </vt:variant>
      <vt:variant>
        <vt:i4>1310771</vt:i4>
      </vt:variant>
      <vt:variant>
        <vt:i4>176</vt:i4>
      </vt:variant>
      <vt:variant>
        <vt:i4>0</vt:i4>
      </vt:variant>
      <vt:variant>
        <vt:i4>5</vt:i4>
      </vt:variant>
      <vt:variant>
        <vt:lpwstr/>
      </vt:variant>
      <vt:variant>
        <vt:lpwstr>_Toc170211375</vt:lpwstr>
      </vt:variant>
      <vt:variant>
        <vt:i4>1310771</vt:i4>
      </vt:variant>
      <vt:variant>
        <vt:i4>170</vt:i4>
      </vt:variant>
      <vt:variant>
        <vt:i4>0</vt:i4>
      </vt:variant>
      <vt:variant>
        <vt:i4>5</vt:i4>
      </vt:variant>
      <vt:variant>
        <vt:lpwstr/>
      </vt:variant>
      <vt:variant>
        <vt:lpwstr>_Toc170211374</vt:lpwstr>
      </vt:variant>
      <vt:variant>
        <vt:i4>1310771</vt:i4>
      </vt:variant>
      <vt:variant>
        <vt:i4>164</vt:i4>
      </vt:variant>
      <vt:variant>
        <vt:i4>0</vt:i4>
      </vt:variant>
      <vt:variant>
        <vt:i4>5</vt:i4>
      </vt:variant>
      <vt:variant>
        <vt:lpwstr/>
      </vt:variant>
      <vt:variant>
        <vt:lpwstr>_Toc170211373</vt:lpwstr>
      </vt:variant>
      <vt:variant>
        <vt:i4>1310771</vt:i4>
      </vt:variant>
      <vt:variant>
        <vt:i4>158</vt:i4>
      </vt:variant>
      <vt:variant>
        <vt:i4>0</vt:i4>
      </vt:variant>
      <vt:variant>
        <vt:i4>5</vt:i4>
      </vt:variant>
      <vt:variant>
        <vt:lpwstr/>
      </vt:variant>
      <vt:variant>
        <vt:lpwstr>_Toc170211372</vt:lpwstr>
      </vt:variant>
      <vt:variant>
        <vt:i4>1310771</vt:i4>
      </vt:variant>
      <vt:variant>
        <vt:i4>152</vt:i4>
      </vt:variant>
      <vt:variant>
        <vt:i4>0</vt:i4>
      </vt:variant>
      <vt:variant>
        <vt:i4>5</vt:i4>
      </vt:variant>
      <vt:variant>
        <vt:lpwstr/>
      </vt:variant>
      <vt:variant>
        <vt:lpwstr>_Toc170211371</vt:lpwstr>
      </vt:variant>
      <vt:variant>
        <vt:i4>1310771</vt:i4>
      </vt:variant>
      <vt:variant>
        <vt:i4>146</vt:i4>
      </vt:variant>
      <vt:variant>
        <vt:i4>0</vt:i4>
      </vt:variant>
      <vt:variant>
        <vt:i4>5</vt:i4>
      </vt:variant>
      <vt:variant>
        <vt:lpwstr/>
      </vt:variant>
      <vt:variant>
        <vt:lpwstr>_Toc170211370</vt:lpwstr>
      </vt:variant>
      <vt:variant>
        <vt:i4>1376307</vt:i4>
      </vt:variant>
      <vt:variant>
        <vt:i4>140</vt:i4>
      </vt:variant>
      <vt:variant>
        <vt:i4>0</vt:i4>
      </vt:variant>
      <vt:variant>
        <vt:i4>5</vt:i4>
      </vt:variant>
      <vt:variant>
        <vt:lpwstr/>
      </vt:variant>
      <vt:variant>
        <vt:lpwstr>_Toc170211369</vt:lpwstr>
      </vt:variant>
      <vt:variant>
        <vt:i4>1376307</vt:i4>
      </vt:variant>
      <vt:variant>
        <vt:i4>134</vt:i4>
      </vt:variant>
      <vt:variant>
        <vt:i4>0</vt:i4>
      </vt:variant>
      <vt:variant>
        <vt:i4>5</vt:i4>
      </vt:variant>
      <vt:variant>
        <vt:lpwstr/>
      </vt:variant>
      <vt:variant>
        <vt:lpwstr>_Toc170211368</vt:lpwstr>
      </vt:variant>
      <vt:variant>
        <vt:i4>1376307</vt:i4>
      </vt:variant>
      <vt:variant>
        <vt:i4>128</vt:i4>
      </vt:variant>
      <vt:variant>
        <vt:i4>0</vt:i4>
      </vt:variant>
      <vt:variant>
        <vt:i4>5</vt:i4>
      </vt:variant>
      <vt:variant>
        <vt:lpwstr/>
      </vt:variant>
      <vt:variant>
        <vt:lpwstr>_Toc170211367</vt:lpwstr>
      </vt:variant>
      <vt:variant>
        <vt:i4>1376307</vt:i4>
      </vt:variant>
      <vt:variant>
        <vt:i4>122</vt:i4>
      </vt:variant>
      <vt:variant>
        <vt:i4>0</vt:i4>
      </vt:variant>
      <vt:variant>
        <vt:i4>5</vt:i4>
      </vt:variant>
      <vt:variant>
        <vt:lpwstr/>
      </vt:variant>
      <vt:variant>
        <vt:lpwstr>_Toc170211366</vt:lpwstr>
      </vt:variant>
      <vt:variant>
        <vt:i4>1376307</vt:i4>
      </vt:variant>
      <vt:variant>
        <vt:i4>116</vt:i4>
      </vt:variant>
      <vt:variant>
        <vt:i4>0</vt:i4>
      </vt:variant>
      <vt:variant>
        <vt:i4>5</vt:i4>
      </vt:variant>
      <vt:variant>
        <vt:lpwstr/>
      </vt:variant>
      <vt:variant>
        <vt:lpwstr>_Toc170211365</vt:lpwstr>
      </vt:variant>
      <vt:variant>
        <vt:i4>1376307</vt:i4>
      </vt:variant>
      <vt:variant>
        <vt:i4>110</vt:i4>
      </vt:variant>
      <vt:variant>
        <vt:i4>0</vt:i4>
      </vt:variant>
      <vt:variant>
        <vt:i4>5</vt:i4>
      </vt:variant>
      <vt:variant>
        <vt:lpwstr/>
      </vt:variant>
      <vt:variant>
        <vt:lpwstr>_Toc170211364</vt:lpwstr>
      </vt:variant>
      <vt:variant>
        <vt:i4>1376307</vt:i4>
      </vt:variant>
      <vt:variant>
        <vt:i4>104</vt:i4>
      </vt:variant>
      <vt:variant>
        <vt:i4>0</vt:i4>
      </vt:variant>
      <vt:variant>
        <vt:i4>5</vt:i4>
      </vt:variant>
      <vt:variant>
        <vt:lpwstr/>
      </vt:variant>
      <vt:variant>
        <vt:lpwstr>_Toc170211363</vt:lpwstr>
      </vt:variant>
      <vt:variant>
        <vt:i4>1376307</vt:i4>
      </vt:variant>
      <vt:variant>
        <vt:i4>98</vt:i4>
      </vt:variant>
      <vt:variant>
        <vt:i4>0</vt:i4>
      </vt:variant>
      <vt:variant>
        <vt:i4>5</vt:i4>
      </vt:variant>
      <vt:variant>
        <vt:lpwstr/>
      </vt:variant>
      <vt:variant>
        <vt:lpwstr>_Toc170211362</vt:lpwstr>
      </vt:variant>
      <vt:variant>
        <vt:i4>1376307</vt:i4>
      </vt:variant>
      <vt:variant>
        <vt:i4>92</vt:i4>
      </vt:variant>
      <vt:variant>
        <vt:i4>0</vt:i4>
      </vt:variant>
      <vt:variant>
        <vt:i4>5</vt:i4>
      </vt:variant>
      <vt:variant>
        <vt:lpwstr/>
      </vt:variant>
      <vt:variant>
        <vt:lpwstr>_Toc170211361</vt:lpwstr>
      </vt:variant>
      <vt:variant>
        <vt:i4>1376307</vt:i4>
      </vt:variant>
      <vt:variant>
        <vt:i4>86</vt:i4>
      </vt:variant>
      <vt:variant>
        <vt:i4>0</vt:i4>
      </vt:variant>
      <vt:variant>
        <vt:i4>5</vt:i4>
      </vt:variant>
      <vt:variant>
        <vt:lpwstr/>
      </vt:variant>
      <vt:variant>
        <vt:lpwstr>_Toc170211360</vt:lpwstr>
      </vt:variant>
      <vt:variant>
        <vt:i4>1441843</vt:i4>
      </vt:variant>
      <vt:variant>
        <vt:i4>80</vt:i4>
      </vt:variant>
      <vt:variant>
        <vt:i4>0</vt:i4>
      </vt:variant>
      <vt:variant>
        <vt:i4>5</vt:i4>
      </vt:variant>
      <vt:variant>
        <vt:lpwstr/>
      </vt:variant>
      <vt:variant>
        <vt:lpwstr>_Toc170211359</vt:lpwstr>
      </vt:variant>
      <vt:variant>
        <vt:i4>1441843</vt:i4>
      </vt:variant>
      <vt:variant>
        <vt:i4>74</vt:i4>
      </vt:variant>
      <vt:variant>
        <vt:i4>0</vt:i4>
      </vt:variant>
      <vt:variant>
        <vt:i4>5</vt:i4>
      </vt:variant>
      <vt:variant>
        <vt:lpwstr/>
      </vt:variant>
      <vt:variant>
        <vt:lpwstr>_Toc170211358</vt:lpwstr>
      </vt:variant>
      <vt:variant>
        <vt:i4>1441843</vt:i4>
      </vt:variant>
      <vt:variant>
        <vt:i4>68</vt:i4>
      </vt:variant>
      <vt:variant>
        <vt:i4>0</vt:i4>
      </vt:variant>
      <vt:variant>
        <vt:i4>5</vt:i4>
      </vt:variant>
      <vt:variant>
        <vt:lpwstr/>
      </vt:variant>
      <vt:variant>
        <vt:lpwstr>_Toc170211357</vt:lpwstr>
      </vt:variant>
      <vt:variant>
        <vt:i4>1441843</vt:i4>
      </vt:variant>
      <vt:variant>
        <vt:i4>62</vt:i4>
      </vt:variant>
      <vt:variant>
        <vt:i4>0</vt:i4>
      </vt:variant>
      <vt:variant>
        <vt:i4>5</vt:i4>
      </vt:variant>
      <vt:variant>
        <vt:lpwstr/>
      </vt:variant>
      <vt:variant>
        <vt:lpwstr>_Toc170211356</vt:lpwstr>
      </vt:variant>
      <vt:variant>
        <vt:i4>1441843</vt:i4>
      </vt:variant>
      <vt:variant>
        <vt:i4>56</vt:i4>
      </vt:variant>
      <vt:variant>
        <vt:i4>0</vt:i4>
      </vt:variant>
      <vt:variant>
        <vt:i4>5</vt:i4>
      </vt:variant>
      <vt:variant>
        <vt:lpwstr/>
      </vt:variant>
      <vt:variant>
        <vt:lpwstr>_Toc170211355</vt:lpwstr>
      </vt:variant>
      <vt:variant>
        <vt:i4>1441843</vt:i4>
      </vt:variant>
      <vt:variant>
        <vt:i4>50</vt:i4>
      </vt:variant>
      <vt:variant>
        <vt:i4>0</vt:i4>
      </vt:variant>
      <vt:variant>
        <vt:i4>5</vt:i4>
      </vt:variant>
      <vt:variant>
        <vt:lpwstr/>
      </vt:variant>
      <vt:variant>
        <vt:lpwstr>_Toc170211354</vt:lpwstr>
      </vt:variant>
      <vt:variant>
        <vt:i4>1441843</vt:i4>
      </vt:variant>
      <vt:variant>
        <vt:i4>44</vt:i4>
      </vt:variant>
      <vt:variant>
        <vt:i4>0</vt:i4>
      </vt:variant>
      <vt:variant>
        <vt:i4>5</vt:i4>
      </vt:variant>
      <vt:variant>
        <vt:lpwstr/>
      </vt:variant>
      <vt:variant>
        <vt:lpwstr>_Toc170211353</vt:lpwstr>
      </vt:variant>
      <vt:variant>
        <vt:i4>1441843</vt:i4>
      </vt:variant>
      <vt:variant>
        <vt:i4>38</vt:i4>
      </vt:variant>
      <vt:variant>
        <vt:i4>0</vt:i4>
      </vt:variant>
      <vt:variant>
        <vt:i4>5</vt:i4>
      </vt:variant>
      <vt:variant>
        <vt:lpwstr/>
      </vt:variant>
      <vt:variant>
        <vt:lpwstr>_Toc170211352</vt:lpwstr>
      </vt:variant>
      <vt:variant>
        <vt:i4>1441843</vt:i4>
      </vt:variant>
      <vt:variant>
        <vt:i4>32</vt:i4>
      </vt:variant>
      <vt:variant>
        <vt:i4>0</vt:i4>
      </vt:variant>
      <vt:variant>
        <vt:i4>5</vt:i4>
      </vt:variant>
      <vt:variant>
        <vt:lpwstr/>
      </vt:variant>
      <vt:variant>
        <vt:lpwstr>_Toc170211351</vt:lpwstr>
      </vt:variant>
      <vt:variant>
        <vt:i4>1441843</vt:i4>
      </vt:variant>
      <vt:variant>
        <vt:i4>26</vt:i4>
      </vt:variant>
      <vt:variant>
        <vt:i4>0</vt:i4>
      </vt:variant>
      <vt:variant>
        <vt:i4>5</vt:i4>
      </vt:variant>
      <vt:variant>
        <vt:lpwstr/>
      </vt:variant>
      <vt:variant>
        <vt:lpwstr>_Toc170211350</vt:lpwstr>
      </vt:variant>
      <vt:variant>
        <vt:i4>1507379</vt:i4>
      </vt:variant>
      <vt:variant>
        <vt:i4>20</vt:i4>
      </vt:variant>
      <vt:variant>
        <vt:i4>0</vt:i4>
      </vt:variant>
      <vt:variant>
        <vt:i4>5</vt:i4>
      </vt:variant>
      <vt:variant>
        <vt:lpwstr/>
      </vt:variant>
      <vt:variant>
        <vt:lpwstr>_Toc170211349</vt:lpwstr>
      </vt:variant>
      <vt:variant>
        <vt:i4>1507379</vt:i4>
      </vt:variant>
      <vt:variant>
        <vt:i4>14</vt:i4>
      </vt:variant>
      <vt:variant>
        <vt:i4>0</vt:i4>
      </vt:variant>
      <vt:variant>
        <vt:i4>5</vt:i4>
      </vt:variant>
      <vt:variant>
        <vt:lpwstr/>
      </vt:variant>
      <vt:variant>
        <vt:lpwstr>_Toc170211348</vt:lpwstr>
      </vt:variant>
      <vt:variant>
        <vt:i4>1507379</vt:i4>
      </vt:variant>
      <vt:variant>
        <vt:i4>8</vt:i4>
      </vt:variant>
      <vt:variant>
        <vt:i4>0</vt:i4>
      </vt:variant>
      <vt:variant>
        <vt:i4>5</vt:i4>
      </vt:variant>
      <vt:variant>
        <vt:lpwstr/>
      </vt:variant>
      <vt:variant>
        <vt:lpwstr>_Toc170211347</vt:lpwstr>
      </vt:variant>
      <vt:variant>
        <vt:i4>1507379</vt:i4>
      </vt:variant>
      <vt:variant>
        <vt:i4>2</vt:i4>
      </vt:variant>
      <vt:variant>
        <vt:i4>0</vt:i4>
      </vt:variant>
      <vt:variant>
        <vt:i4>5</vt:i4>
      </vt:variant>
      <vt:variant>
        <vt:lpwstr/>
      </vt:variant>
      <vt:variant>
        <vt:lpwstr>_Toc170211346</vt:lpwstr>
      </vt:variant>
      <vt:variant>
        <vt:i4>7077967</vt:i4>
      </vt:variant>
      <vt:variant>
        <vt:i4>18</vt:i4>
      </vt:variant>
      <vt:variant>
        <vt:i4>0</vt:i4>
      </vt:variant>
      <vt:variant>
        <vt:i4>5</vt:i4>
      </vt:variant>
      <vt:variant>
        <vt:lpwstr>https://www.climateinvestmentfunds.org/sites/cif_enc/files/knowledge-documents/tclp_workshop_signalsenergy_framework_may2021.pdf</vt:lpwstr>
      </vt:variant>
      <vt:variant>
        <vt:lpwstr/>
      </vt:variant>
      <vt:variant>
        <vt:i4>4980818</vt:i4>
      </vt:variant>
      <vt:variant>
        <vt:i4>15</vt:i4>
      </vt:variant>
      <vt:variant>
        <vt:i4>0</vt:i4>
      </vt:variant>
      <vt:variant>
        <vt:i4>5</vt:i4>
      </vt:variant>
      <vt:variant>
        <vt:lpwstr>https://www.climateinvestmentfunds.org/sites/cif_enc/files/knowledge-documents/tclp_workshop_updated_tc_concepts_may2021.pdf</vt:lpwstr>
      </vt:variant>
      <vt:variant>
        <vt:lpwstr/>
      </vt:variant>
      <vt:variant>
        <vt:i4>7798797</vt:i4>
      </vt:variant>
      <vt:variant>
        <vt:i4>12</vt:i4>
      </vt:variant>
      <vt:variant>
        <vt:i4>0</vt:i4>
      </vt:variant>
      <vt:variant>
        <vt:i4>5</vt:i4>
      </vt:variant>
      <vt:variant>
        <vt:lpwstr>https://iklim.gov.tr/db/turkce/icerikler/files/%C4%B0klim De%C4%9Fi%C5%9Fikli%C4%9Fine Uyum Stratejisi ve Eylem Plan_ 2024-2030.pdf</vt:lpwstr>
      </vt:variant>
      <vt:variant>
        <vt:lpwstr/>
      </vt:variant>
      <vt:variant>
        <vt:i4>2556013</vt:i4>
      </vt:variant>
      <vt:variant>
        <vt:i4>9</vt:i4>
      </vt:variant>
      <vt:variant>
        <vt:i4>0</vt:i4>
      </vt:variant>
      <vt:variant>
        <vt:i4>5</vt:i4>
      </vt:variant>
      <vt:variant>
        <vt:lpwstr>https://iea.blob.core.windows.net/assets/bf862218-7fd8-4637-aca6-5a347b6ca4f1/IEA_Methodology_Emission_Factors_2023.pdf</vt:lpwstr>
      </vt:variant>
      <vt:variant>
        <vt:lpwstr/>
      </vt:variant>
      <vt:variant>
        <vt:i4>3473524</vt:i4>
      </vt:variant>
      <vt:variant>
        <vt:i4>6</vt:i4>
      </vt:variant>
      <vt:variant>
        <vt:i4>0</vt:i4>
      </vt:variant>
      <vt:variant>
        <vt:i4>5</vt:i4>
      </vt:variant>
      <vt:variant>
        <vt:lpwstr>https://iklim.gov.tr/db/turkce/icerikler/files/undp_azaltim_spread.pdf</vt:lpwstr>
      </vt:variant>
      <vt:variant>
        <vt:lpwstr/>
      </vt:variant>
      <vt:variant>
        <vt:i4>4784154</vt:i4>
      </vt:variant>
      <vt:variant>
        <vt:i4>3</vt:i4>
      </vt:variant>
      <vt:variant>
        <vt:i4>0</vt:i4>
      </vt:variant>
      <vt:variant>
        <vt:i4>5</vt:i4>
      </vt:variant>
      <vt:variant>
        <vt:lpwstr>https://www.cif.org/knowledge-documents/rei-program-monitoring-and-reporting-toolkit</vt:lpwstr>
      </vt:variant>
      <vt:variant>
        <vt:lpwstr/>
      </vt:variant>
      <vt:variant>
        <vt:i4>5898346</vt:i4>
      </vt:variant>
      <vt:variant>
        <vt:i4>0</vt:i4>
      </vt:variant>
      <vt:variant>
        <vt:i4>0</vt:i4>
      </vt:variant>
      <vt:variant>
        <vt:i4>5</vt:i4>
      </vt:variant>
      <vt:variant>
        <vt:lpwstr>https://www.sbb.gov.tr/wp-content/uploads/2023/09/Orta-Vadeli-Program_2024-2026.pdf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Yesim Akcollu</dc:creator>
  <cp:keywords/>
  <dc:description/>
  <cp:lastModifiedBy>Yesim Akcollu</cp:lastModifiedBy>
  <cp:revision>3</cp:revision>
  <cp:lastPrinted>2024-06-05T14:36:00Z</cp:lastPrinted>
  <dcterms:created xsi:type="dcterms:W3CDTF">2024-06-26T16:11:00Z</dcterms:created>
  <dcterms:modified xsi:type="dcterms:W3CDTF">2024-06-26T16:11:00Z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2,3,8</vt:lpwstr>
  </property>
  <property fmtid="{D5CDD505-2E9C-101B-9397-08002B2CF9AE}" pid="3" name="ClassificationContentMarkingHeaderFontProps">
    <vt:lpwstr>#0000ff,10,Calibri</vt:lpwstr>
  </property>
  <property fmtid="{D5CDD505-2E9C-101B-9397-08002B2CF9AE}" pid="4" name="ClassificationContentMarkingHeaderText">
    <vt:lpwstr>OFFICIAL USE</vt:lpwstr>
  </property>
  <property fmtid="{D5CDD505-2E9C-101B-9397-08002B2CF9AE}" pid="5" name="ClassificationContentMarkingFooterShapeIds">
    <vt:lpwstr>9,a,b</vt:lpwstr>
  </property>
  <property fmtid="{D5CDD505-2E9C-101B-9397-08002B2CF9AE}" pid="6" name="ClassificationContentMarkingFooterFontProps">
    <vt:lpwstr>#0000ff,10,Calibri</vt:lpwstr>
  </property>
  <property fmtid="{D5CDD505-2E9C-101B-9397-08002B2CF9AE}" pid="7" name="ClassificationContentMarkingFooterText">
    <vt:lpwstr>OFFICIAL USE</vt:lpwstr>
  </property>
  <property fmtid="{D5CDD505-2E9C-101B-9397-08002B2CF9AE}" pid="8" name="GrammarlyDocumentId">
    <vt:lpwstr>6730e0cdf61385aa4ca61426bd9816db154adbb3b56eb88a06c8e93300101c76</vt:lpwstr>
  </property>
</Properties>
</file>